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（棚改还本付息）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ind w:firstLine="643" w:firstLineChars="200"/>
        <w:jc w:val="both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eastAsia="仿宋_GB2312"/>
          <w:kern w:val="0"/>
          <w:sz w:val="32"/>
          <w:szCs w:val="32"/>
          <w:lang w:val="zh-CN"/>
        </w:rPr>
        <w:t>年初申报当年资金预算，每季度</w:t>
      </w:r>
      <w:r>
        <w:rPr>
          <w:rFonts w:hint="eastAsia" w:eastAsia="仿宋_GB2312"/>
          <w:kern w:val="0"/>
          <w:sz w:val="32"/>
          <w:szCs w:val="32"/>
        </w:rPr>
        <w:t>根据棚改工作推进情况及市</w:t>
      </w:r>
      <w:r>
        <w:rPr>
          <w:rFonts w:hint="eastAsia" w:eastAsia="仿宋_GB2312"/>
          <w:kern w:val="0"/>
          <w:sz w:val="32"/>
          <w:szCs w:val="32"/>
          <w:lang w:eastAsia="zh-CN"/>
        </w:rPr>
        <w:t>住房城乡建设局</w:t>
      </w:r>
      <w:r>
        <w:rPr>
          <w:rFonts w:hint="eastAsia" w:eastAsia="仿宋_GB2312"/>
          <w:kern w:val="0"/>
          <w:sz w:val="32"/>
          <w:szCs w:val="32"/>
        </w:rPr>
        <w:t>有关通知</w:t>
      </w:r>
      <w:r>
        <w:rPr>
          <w:rFonts w:hint="eastAsia" w:eastAsia="仿宋_GB2312"/>
          <w:kern w:val="0"/>
          <w:sz w:val="32"/>
          <w:szCs w:val="32"/>
          <w:lang w:eastAsia="zh-CN"/>
        </w:rPr>
        <w:t>向区财政函报资金支付计划，</w:t>
      </w:r>
      <w:r>
        <w:rPr>
          <w:rFonts w:hint="eastAsia"/>
          <w:kern w:val="0"/>
          <w:sz w:val="32"/>
          <w:szCs w:val="32"/>
          <w:lang w:eastAsia="zh-CN"/>
        </w:rPr>
        <w:t>根据区财政下达资金文件偿（攀仁财资债〔2023〕</w:t>
      </w:r>
      <w:r>
        <w:rPr>
          <w:rFonts w:hint="eastAsia"/>
          <w:kern w:val="0"/>
          <w:sz w:val="32"/>
          <w:szCs w:val="32"/>
          <w:lang w:val="en-US" w:eastAsia="zh-CN"/>
        </w:rPr>
        <w:t>7</w:t>
      </w:r>
      <w:r>
        <w:rPr>
          <w:rFonts w:hint="eastAsia"/>
          <w:kern w:val="0"/>
          <w:sz w:val="32"/>
          <w:szCs w:val="32"/>
          <w:lang w:eastAsia="zh-CN"/>
        </w:rPr>
        <w:t>号、攀仁财资债〔2023〕22号、攀仁财资债〔2023〕2</w:t>
      </w:r>
      <w:r>
        <w:rPr>
          <w:rFonts w:hint="eastAsia"/>
          <w:kern w:val="0"/>
          <w:sz w:val="32"/>
          <w:szCs w:val="32"/>
          <w:lang w:val="en-US" w:eastAsia="zh-CN"/>
        </w:rPr>
        <w:t>6</w:t>
      </w:r>
      <w:r>
        <w:rPr>
          <w:rFonts w:hint="eastAsia"/>
          <w:kern w:val="0"/>
          <w:sz w:val="32"/>
          <w:szCs w:val="32"/>
          <w:lang w:eastAsia="zh-CN"/>
        </w:rPr>
        <w:t>号、攀仁财资债〔2023〕2</w:t>
      </w:r>
      <w:r>
        <w:rPr>
          <w:rFonts w:hint="eastAsia"/>
          <w:kern w:val="0"/>
          <w:sz w:val="32"/>
          <w:szCs w:val="32"/>
          <w:lang w:val="en-US" w:eastAsia="zh-CN"/>
        </w:rPr>
        <w:t>8</w:t>
      </w:r>
      <w:r>
        <w:rPr>
          <w:rFonts w:hint="eastAsia"/>
          <w:kern w:val="0"/>
          <w:sz w:val="32"/>
          <w:szCs w:val="32"/>
          <w:lang w:eastAsia="zh-CN"/>
        </w:rPr>
        <w:t>号、攀仁财资债〔2023〕</w:t>
      </w:r>
      <w:r>
        <w:rPr>
          <w:rFonts w:hint="eastAsia"/>
          <w:kern w:val="0"/>
          <w:sz w:val="32"/>
          <w:szCs w:val="32"/>
          <w:lang w:val="en-US" w:eastAsia="zh-CN"/>
        </w:rPr>
        <w:t>30</w:t>
      </w:r>
      <w:r>
        <w:rPr>
          <w:rFonts w:hint="eastAsia"/>
          <w:kern w:val="0"/>
          <w:sz w:val="32"/>
          <w:szCs w:val="32"/>
          <w:lang w:eastAsia="zh-CN"/>
        </w:rPr>
        <w:t>号）还当季棚改本息资金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/>
          <w:kern w:val="0"/>
          <w:sz w:val="32"/>
          <w:szCs w:val="32"/>
          <w:lang w:val="zh-CN" w:eastAsia="zh-CN"/>
        </w:rPr>
        <w:t>在市级统筹下实施了国开行三期至七期以及农发行二期贷款项目，区级自行实施了国开行一期、二期贷款项目，建设期满后，我区开始筹集资金支付本息。本次年度目标是保障我区棚改项目贷款本息按时偿还。2023年预计需资金8248.29万元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eastAsia="仿宋_GB2312"/>
          <w:kern w:val="0"/>
          <w:sz w:val="32"/>
          <w:szCs w:val="32"/>
        </w:rPr>
        <w:t>申报内容与实际相符，申报目标合理可行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bidi="ar"/>
        </w:rPr>
        <w:t>根据《攀枝花市住房改革和保障工作领导小组办公室关于支付202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eastAsia="zh-CN" w:bidi="ar"/>
        </w:rPr>
        <w:t>一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bidi="ar"/>
        </w:rPr>
        <w:t>季度棚改项目贷款本息有关事项的通知》（攀住改办〔202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bidi="ar"/>
        </w:rPr>
        <w:t>号）</w:t>
      </w:r>
      <w:r>
        <w:rPr>
          <w:rFonts w:hint="eastAsia" w:cs="Times New Roman"/>
          <w:kern w:val="21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《攀枝花市住房改革和保障工作领导小组办公室关于支付2023年二季度棚改本息有关事项的通知》（攀住改办〔2023〕6号）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《攀枝花市住房和城乡建设局关于支付2023年三季度棚改项目贷款利息有关事项的通知》（攀住建发〔2023〕112号）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《攀枝花市住房和城乡建设局关于支付2023年四季度棚改本息有关事项的通知》（攀住建函〔2023〕155号）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要求，区财政下达资金指标</w:t>
      </w:r>
      <w:r>
        <w:rPr>
          <w:rFonts w:hint="eastAsia"/>
          <w:kern w:val="0"/>
          <w:sz w:val="32"/>
          <w:szCs w:val="32"/>
          <w:lang w:val="zh-CN" w:eastAsia="zh-CN"/>
        </w:rPr>
        <w:t>8248.29万元。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按照市住房城乡建设局要求，按时将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每季度本息资金拨付给市国投集团和城建交通集团，共拨付</w:t>
      </w:r>
      <w:r>
        <w:rPr>
          <w:rFonts w:hint="eastAsia"/>
          <w:kern w:val="0"/>
          <w:sz w:val="32"/>
          <w:szCs w:val="32"/>
          <w:lang w:val="zh-CN" w:eastAsia="zh-CN"/>
        </w:rPr>
        <w:t>8248.29万元。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区住建局财务管理制度健全，严格按照财务管理制度使用资金，及时处理账务，会计核算规范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说明项目组织管理架构及具体实施流程，主要包括机构设置、监管措施、执行相关管理制度（如招投标、政府采购、项目公示等）相关情况，其中：基建项目还应介绍基本建设程序执行情况，并对相关问题进行说明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我区已按时偿还2</w:t>
      </w:r>
      <w:r>
        <w:rPr>
          <w:rFonts w:eastAsia="仿宋_GB2312"/>
          <w:kern w:val="0"/>
          <w:sz w:val="32"/>
          <w:szCs w:val="32"/>
        </w:rPr>
        <w:t>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年棚改本息</w:t>
      </w:r>
      <w:r>
        <w:rPr>
          <w:rFonts w:hint="eastAsia"/>
          <w:kern w:val="0"/>
          <w:sz w:val="32"/>
          <w:szCs w:val="32"/>
          <w:lang w:val="zh-CN" w:eastAsia="zh-CN"/>
        </w:rPr>
        <w:t>8248.29</w:t>
      </w:r>
      <w:r>
        <w:rPr>
          <w:rFonts w:hint="eastAsia" w:eastAsia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经济效益</w:t>
      </w:r>
      <w:r>
        <w:rPr>
          <w:rFonts w:hint="eastAsia" w:eastAsia="仿宋_GB2312"/>
          <w:kern w:val="0"/>
          <w:sz w:val="32"/>
          <w:szCs w:val="32"/>
        </w:rPr>
        <w:t>：保证我区棚改项目贷款本息按时偿还，有效降低我区隐性债务率。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社会效益</w:t>
      </w:r>
      <w:r>
        <w:rPr>
          <w:rFonts w:hint="eastAsia" w:eastAsia="仿宋_GB2312"/>
          <w:kern w:val="0"/>
          <w:sz w:val="32"/>
          <w:szCs w:val="32"/>
        </w:rPr>
        <w:t>：保证我区履行还本付息责任，有利于后期申请保障性安居工程资金，开展老旧小区改造项目建设。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满意度指标：服务对象满意度年度指标为≥85%，实际完成指标为≥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hint="eastAsia" w:eastAsia="仿宋_GB2312"/>
          <w:kern w:val="0"/>
          <w:sz w:val="32"/>
          <w:szCs w:val="32"/>
        </w:rPr>
        <w:t>5%。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无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我区棚改债务还未完成还本付息工作，建议区财政局将该笔专项资金纳入年度预算，确保按时偿还我区棚改项目贷款本息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jU0NTNhNDNkZGU1OGVjYTViMDNhNzdiZDg1MWUifQ=="/>
  </w:docVars>
  <w:rsids>
    <w:rsidRoot w:val="291C455A"/>
    <w:rsid w:val="003414A3"/>
    <w:rsid w:val="00490474"/>
    <w:rsid w:val="00515A0C"/>
    <w:rsid w:val="00866E99"/>
    <w:rsid w:val="00FA5FA5"/>
    <w:rsid w:val="0EDB478C"/>
    <w:rsid w:val="17D53B35"/>
    <w:rsid w:val="291C455A"/>
    <w:rsid w:val="36926D0C"/>
    <w:rsid w:val="4DAF2BCF"/>
    <w:rsid w:val="4DDB6F66"/>
    <w:rsid w:val="55F5764C"/>
    <w:rsid w:val="567E4F8E"/>
    <w:rsid w:val="67302E47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132</Words>
  <Characters>753</Characters>
  <Lines>6</Lines>
  <Paragraphs>1</Paragraphs>
  <TotalTime>6</TotalTime>
  <ScaleCrop>false</ScaleCrop>
  <LinksUpToDate>false</LinksUpToDate>
  <CharactersWithSpaces>884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2024-05-20T09:07:10Z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37AB5441F8464A27A92ADD3B0F807CE3</vt:lpwstr>
  </property>
</Properties>
</file>