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jc w:val="center"/>
        <w:rPr>
          <w:rFonts w:ascii="宋体" w:hAnsi="宋体" w:eastAsia="宋体"/>
          <w:sz w:val="30"/>
          <w:szCs w:val="30"/>
        </w:rPr>
      </w:pPr>
      <w:bookmarkStart w:id="0" w:name="_GoBack"/>
      <w:r>
        <w:rPr>
          <w:rFonts w:hint="eastAsia" w:ascii="方正小标宋简体" w:hAnsi="宋体" w:eastAsia="方正小标宋简体"/>
          <w:sz w:val="44"/>
          <w:szCs w:val="44"/>
          <w:lang w:val="en-US" w:eastAsia="zh-CN"/>
        </w:rPr>
        <w:t>攀枝花市仁和区住房和城乡建设局</w:t>
      </w:r>
    </w:p>
    <w:bookmarkEnd w:id="0"/>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公共租赁住房管理费</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根据《攀枝花市城区公共租赁住房和廉租住房并轨运行实施意见》（攀住规建发</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2015</w:t>
      </w:r>
      <w:r>
        <w:rPr>
          <w:rFonts w:hint="eastAsia" w:ascii="仿宋_GB2312" w:hAnsi="仿宋_GB2312" w:eastAsia="仿宋_GB2312" w:cs="仿宋_GB2312"/>
          <w:kern w:val="0"/>
          <w:sz w:val="32"/>
          <w:szCs w:val="32"/>
        </w:rPr>
        <w:t>〕</w:t>
      </w:r>
      <w:r>
        <w:rPr>
          <w:rFonts w:hint="eastAsia" w:ascii="Times New Roman" w:hAnsi="Times New Roman" w:eastAsia="仿宋_GB2312"/>
          <w:kern w:val="0"/>
          <w:sz w:val="32"/>
          <w:szCs w:val="32"/>
        </w:rPr>
        <w:t>23号）相关要求对全区1267套公共租赁住房进行管理。</w:t>
      </w:r>
    </w:p>
    <w:p>
      <w:pPr>
        <w:autoSpaceDE w:val="0"/>
        <w:autoSpaceDN w:val="0"/>
        <w:adjustRightInd w:val="0"/>
        <w:spacing w:line="600" w:lineRule="exact"/>
        <w:ind w:firstLine="643" w:firstLineChars="200"/>
        <w:jc w:val="left"/>
        <w:rPr>
          <w:rFonts w:hint="eastAsia" w:ascii="仿宋_GB2312" w:hAnsi="仿宋_GB2312" w:eastAsia="仿宋_GB2312" w:cs="仿宋_GB2312"/>
          <w:kern w:val="0"/>
          <w:sz w:val="32"/>
          <w:szCs w:val="32"/>
        </w:rPr>
      </w:pPr>
      <w:r>
        <w:rPr>
          <w:rFonts w:hint="eastAsia" w:ascii="楷体_GB2312" w:hAnsi="宋体" w:eastAsia="楷体_GB2312"/>
          <w:b/>
          <w:lang w:val="zh-CN"/>
        </w:rPr>
        <w:t>（一）项目资金申报及批复情况。</w:t>
      </w:r>
      <w:r>
        <w:rPr>
          <w:rFonts w:ascii="Times New Roman" w:hAnsi="Times New Roman" w:eastAsia="仿宋_GB2312"/>
          <w:kern w:val="0"/>
          <w:sz w:val="32"/>
          <w:szCs w:val="32"/>
        </w:rPr>
        <w:t>按照《攀枝花市城区公共租赁住房和廉租住房并轨运行实施意见》（攀住规建发〔2015〕23号）文件中资金配额与使用</w:t>
      </w:r>
      <w:r>
        <w:rPr>
          <w:rFonts w:hint="eastAsia" w:ascii="Times New Roman" w:hAnsi="Times New Roman" w:eastAsia="仿宋_GB2312"/>
          <w:kern w:val="0"/>
          <w:sz w:val="32"/>
          <w:szCs w:val="32"/>
        </w:rPr>
        <w:t>要求执行。</w:t>
      </w:r>
      <w:r>
        <w:rPr>
          <w:rFonts w:ascii="Times New Roman" w:hAnsi="Times New Roman" w:eastAsia="仿宋_GB2312"/>
          <w:kern w:val="0"/>
          <w:sz w:val="32"/>
          <w:szCs w:val="32"/>
        </w:rPr>
        <w:t>市、区配额比例为5</w:t>
      </w:r>
      <w:r>
        <w:rPr>
          <w:rFonts w:hint="eastAsia" w:ascii="Times New Roman" w:hAnsi="Times New Roman" w:eastAsia="仿宋_GB2312"/>
          <w:kern w:val="0"/>
          <w:sz w:val="32"/>
          <w:szCs w:val="32"/>
        </w:rPr>
        <w:t>：</w:t>
      </w:r>
      <w:r>
        <w:rPr>
          <w:rFonts w:ascii="Times New Roman" w:hAnsi="Times New Roman" w:eastAsia="仿宋_GB2312"/>
          <w:kern w:val="0"/>
          <w:sz w:val="32"/>
          <w:szCs w:val="32"/>
        </w:rPr>
        <w:t>5</w:t>
      </w:r>
      <w:r>
        <w:rPr>
          <w:rFonts w:hint="eastAsia" w:ascii="仿宋_GB2312" w:hAnsi="仿宋_GB2312" w:eastAsia="仿宋_GB2312" w:cs="仿宋_GB2312"/>
          <w:kern w:val="0"/>
          <w:sz w:val="32"/>
          <w:szCs w:val="32"/>
        </w:rPr>
        <w:t>。</w:t>
      </w:r>
    </w:p>
    <w:p>
      <w:pPr>
        <w:autoSpaceDE w:val="0"/>
        <w:autoSpaceDN w:val="0"/>
        <w:adjustRightInd w:val="0"/>
        <w:spacing w:line="600" w:lineRule="exact"/>
        <w:ind w:firstLine="643" w:firstLineChars="200"/>
        <w:jc w:val="both"/>
        <w:rPr>
          <w:rFonts w:ascii="仿宋_GB2312" w:hAnsi="宋体"/>
          <w:lang w:val="zh-CN"/>
        </w:rPr>
      </w:pPr>
      <w:r>
        <w:rPr>
          <w:rFonts w:hint="eastAsia" w:ascii="楷体_GB2312" w:hAnsi="宋体" w:eastAsia="楷体_GB2312"/>
          <w:b/>
          <w:lang w:val="zh-CN"/>
        </w:rPr>
        <w:t>（二）项目绩效目标。</w:t>
      </w:r>
      <w:r>
        <w:rPr>
          <w:rFonts w:hint="eastAsia" w:cs="Times New Roman"/>
          <w:kern w:val="0"/>
          <w:sz w:val="32"/>
          <w:szCs w:val="32"/>
          <w:lang w:val="en-US" w:eastAsia="zh-CN"/>
        </w:rPr>
        <w:t>根据攀住规建发</w:t>
      </w:r>
      <w:r>
        <w:rPr>
          <w:rFonts w:ascii="Times New Roman" w:hAnsi="Times New Roman" w:eastAsia="仿宋_GB2312"/>
          <w:kern w:val="0"/>
          <w:sz w:val="32"/>
          <w:szCs w:val="32"/>
        </w:rPr>
        <w:t>〔2015〕23号</w:t>
      </w:r>
      <w:r>
        <w:rPr>
          <w:rFonts w:hint="eastAsia"/>
          <w:kern w:val="0"/>
          <w:sz w:val="32"/>
          <w:szCs w:val="32"/>
          <w:lang w:val="en-US" w:eastAsia="zh-CN"/>
        </w:rPr>
        <w:t>文第一条第十点相关要求，完成全区1267套公共租赁住房管理，确保公租房正常运转和群众生活</w:t>
      </w:r>
      <w:r>
        <w:rPr>
          <w:rFonts w:hint="eastAsia" w:ascii="Times New Roman" w:hAnsi="Times New Roman" w:eastAsia="仿宋_GB2312" w:cs="Times New Roman"/>
          <w:kern w:val="0"/>
          <w:sz w:val="32"/>
          <w:szCs w:val="32"/>
        </w:rPr>
        <w:t>。</w:t>
      </w:r>
    </w:p>
    <w:p>
      <w:pPr>
        <w:autoSpaceDE w:val="0"/>
        <w:autoSpaceDN w:val="0"/>
        <w:adjustRightInd w:val="0"/>
        <w:spacing w:line="600" w:lineRule="exact"/>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eastAsia="仿宋_GB2312"/>
          <w:kern w:val="0"/>
          <w:sz w:val="32"/>
          <w:szCs w:val="32"/>
        </w:rPr>
        <w:t>申报内容与实际相符，申报目标合理可行</w:t>
      </w:r>
      <w:r>
        <w:rPr>
          <w:rFonts w:hint="eastAsia" w:eastAsia="仿宋_GB2312"/>
          <w:kern w:val="0"/>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（一）资金计划、到位及使用情况。</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1．资金计划。</w:t>
      </w:r>
    </w:p>
    <w:p>
      <w:pPr>
        <w:autoSpaceDE w:val="0"/>
        <w:autoSpaceDN w:val="0"/>
        <w:adjustRightInd w:val="0"/>
        <w:spacing w:line="600" w:lineRule="exact"/>
        <w:ind w:firstLine="640" w:firstLineChars="200"/>
        <w:jc w:val="left"/>
        <w:rPr>
          <w:rFonts w:ascii="Times New Roman" w:hAnsi="Times New Roman" w:eastAsia="仿宋_GB2312"/>
          <w:color w:val="auto"/>
          <w:kern w:val="0"/>
          <w:sz w:val="32"/>
          <w:szCs w:val="32"/>
        </w:rPr>
      </w:pPr>
      <w:r>
        <w:rPr>
          <w:rFonts w:hint="eastAsia"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hint="eastAsia" w:ascii="Times New Roman" w:hAnsi="Times New Roman" w:eastAsia="仿宋_GB2312"/>
          <w:color w:val="auto"/>
          <w:kern w:val="0"/>
          <w:sz w:val="32"/>
          <w:szCs w:val="32"/>
        </w:rPr>
        <w:t>年公共租赁住房管理经费区本级配额为</w:t>
      </w:r>
      <w:r>
        <w:rPr>
          <w:rFonts w:hint="eastAsia" w:ascii="Times New Roman" w:hAnsi="Times New Roman"/>
          <w:color w:val="auto"/>
          <w:kern w:val="0"/>
          <w:sz w:val="32"/>
          <w:szCs w:val="32"/>
          <w:lang w:val="en-US" w:eastAsia="zh-CN"/>
        </w:rPr>
        <w:t>11.3854</w:t>
      </w:r>
      <w:r>
        <w:rPr>
          <w:rFonts w:hint="eastAsia" w:ascii="Times New Roman" w:hAnsi="Times New Roman" w:eastAsia="仿宋_GB2312"/>
          <w:color w:val="auto"/>
          <w:kern w:val="0"/>
          <w:sz w:val="32"/>
          <w:szCs w:val="32"/>
        </w:rPr>
        <w:t>万元。</w:t>
      </w:r>
    </w:p>
    <w:p>
      <w:pPr>
        <w:numPr>
          <w:ilvl w:val="0"/>
          <w:numId w:val="1"/>
        </w:num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资金到位。</w:t>
      </w:r>
    </w:p>
    <w:p>
      <w:pPr>
        <w:autoSpaceDE w:val="0"/>
        <w:autoSpaceDN w:val="0"/>
        <w:adjustRightInd w:val="0"/>
        <w:spacing w:line="600" w:lineRule="exact"/>
        <w:ind w:firstLine="640" w:firstLineChars="200"/>
        <w:jc w:val="left"/>
        <w:rPr>
          <w:rFonts w:hint="eastAsia" w:ascii="仿宋_GB2312" w:hAnsi="仿宋_GB2312" w:eastAsia="仿宋_GB2312" w:cs="仿宋_GB2312"/>
          <w:color w:val="auto"/>
          <w:kern w:val="0"/>
          <w:sz w:val="32"/>
          <w:szCs w:val="32"/>
        </w:rPr>
      </w:pPr>
      <w:r>
        <w:rPr>
          <w:rFonts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年下达区本级配额资金</w:t>
      </w:r>
      <w:r>
        <w:rPr>
          <w:rFonts w:hint="eastAsia" w:ascii="Times New Roman" w:hAnsi="Times New Roman" w:eastAsia="仿宋_GB2312"/>
          <w:color w:val="auto"/>
          <w:kern w:val="0"/>
          <w:sz w:val="32"/>
          <w:szCs w:val="32"/>
          <w:lang w:val="en-US" w:eastAsia="zh-CN"/>
        </w:rPr>
        <w:t>11.3854</w:t>
      </w:r>
      <w:r>
        <w:rPr>
          <w:rFonts w:ascii="Times New Roman" w:hAnsi="Times New Roman" w:eastAsia="仿宋_GB2312"/>
          <w:color w:val="auto"/>
          <w:kern w:val="0"/>
          <w:sz w:val="32"/>
          <w:szCs w:val="32"/>
        </w:rPr>
        <w:t>万元</w:t>
      </w:r>
      <w:r>
        <w:rPr>
          <w:rFonts w:hint="eastAsia" w:ascii="仿宋_GB2312" w:hAnsi="仿宋_GB2312" w:eastAsia="仿宋_GB2312" w:cs="仿宋_GB2312"/>
          <w:color w:val="auto"/>
          <w:kern w:val="0"/>
          <w:sz w:val="32"/>
          <w:szCs w:val="32"/>
        </w:rPr>
        <w:t>。</w:t>
      </w:r>
    </w:p>
    <w:p>
      <w:pPr>
        <w:autoSpaceDE w:val="0"/>
        <w:autoSpaceDN w:val="0"/>
        <w:adjustRightInd w:val="0"/>
        <w:spacing w:line="600" w:lineRule="exact"/>
        <w:ind w:firstLine="640" w:firstLineChars="200"/>
        <w:jc w:val="left"/>
        <w:rPr>
          <w:rFonts w:ascii="Times New Roman" w:hAnsi="Times New Roman" w:eastAsia="楷体_GB2312"/>
          <w:color w:val="auto"/>
          <w:kern w:val="0"/>
          <w:sz w:val="32"/>
          <w:szCs w:val="32"/>
        </w:rPr>
      </w:pPr>
      <w:r>
        <w:rPr>
          <w:rFonts w:ascii="Times New Roman" w:hAnsi="Times New Roman" w:eastAsia="楷体_GB2312"/>
          <w:color w:val="auto"/>
          <w:kern w:val="0"/>
          <w:sz w:val="32"/>
          <w:szCs w:val="32"/>
        </w:rPr>
        <w:t>3．资金使用。</w:t>
      </w:r>
    </w:p>
    <w:p>
      <w:pPr>
        <w:numPr>
          <w:ilvl w:val="0"/>
          <w:numId w:val="0"/>
        </w:numPr>
        <w:autoSpaceDE w:val="0"/>
        <w:autoSpaceDN w:val="0"/>
        <w:adjustRightInd w:val="0"/>
        <w:spacing w:line="600" w:lineRule="exact"/>
        <w:ind w:firstLine="640" w:firstLineChars="200"/>
        <w:jc w:val="both"/>
        <w:rPr>
          <w:rFonts w:hint="eastAsia" w:ascii="仿宋_GB2312" w:hAnsi="仿宋_GB2312" w:eastAsia="仿宋_GB2312" w:cs="仿宋_GB2312"/>
          <w:color w:val="auto"/>
          <w:kern w:val="0"/>
          <w:sz w:val="32"/>
          <w:szCs w:val="32"/>
          <w:lang w:val="zh-CN"/>
        </w:rPr>
      </w:pPr>
      <w:r>
        <w:rPr>
          <w:rFonts w:ascii="Times New Roman" w:hAnsi="Times New Roman" w:eastAsia="仿宋_GB2312"/>
          <w:color w:val="auto"/>
          <w:kern w:val="0"/>
          <w:sz w:val="32"/>
          <w:szCs w:val="32"/>
        </w:rPr>
        <w:t>202</w:t>
      </w:r>
      <w:r>
        <w:rPr>
          <w:rFonts w:hint="eastAsia" w:ascii="Times New Roman" w:hAnsi="Times New Roman" w:eastAsia="仿宋_GB2312"/>
          <w:color w:val="auto"/>
          <w:kern w:val="0"/>
          <w:sz w:val="32"/>
          <w:szCs w:val="32"/>
          <w:lang w:val="en-US" w:eastAsia="zh-CN"/>
        </w:rPr>
        <w:t>3</w:t>
      </w:r>
      <w:r>
        <w:rPr>
          <w:rFonts w:ascii="Times New Roman" w:hAnsi="Times New Roman" w:eastAsia="仿宋_GB2312"/>
          <w:color w:val="auto"/>
          <w:kern w:val="0"/>
          <w:sz w:val="32"/>
          <w:szCs w:val="32"/>
        </w:rPr>
        <w:t>年使用</w:t>
      </w:r>
      <w:r>
        <w:rPr>
          <w:rFonts w:hint="eastAsia" w:ascii="Times New Roman" w:hAnsi="Times New Roman" w:eastAsia="仿宋_GB2312"/>
          <w:color w:val="auto"/>
          <w:kern w:val="0"/>
          <w:sz w:val="32"/>
          <w:szCs w:val="32"/>
        </w:rPr>
        <w:t>公共租赁住房管理经费</w:t>
      </w:r>
      <w:r>
        <w:rPr>
          <w:rFonts w:ascii="Times New Roman" w:hAnsi="Times New Roman" w:eastAsia="仿宋_GB2312"/>
          <w:color w:val="auto"/>
          <w:kern w:val="0"/>
          <w:sz w:val="32"/>
          <w:szCs w:val="32"/>
        </w:rPr>
        <w:t>区本级资金</w:t>
      </w:r>
      <w:r>
        <w:rPr>
          <w:rFonts w:hint="eastAsia" w:ascii="Times New Roman" w:hAnsi="Times New Roman" w:eastAsia="仿宋_GB2312"/>
          <w:color w:val="auto"/>
          <w:kern w:val="0"/>
          <w:sz w:val="32"/>
          <w:szCs w:val="32"/>
          <w:lang w:val="en-US" w:eastAsia="zh-CN"/>
        </w:rPr>
        <w:t>11.3854</w:t>
      </w:r>
      <w:r>
        <w:rPr>
          <w:rFonts w:hint="eastAsia" w:ascii="Times New Roman" w:hAnsi="Times New Roman" w:eastAsia="仿宋_GB2312"/>
          <w:color w:val="auto"/>
          <w:kern w:val="0"/>
          <w:sz w:val="32"/>
          <w:szCs w:val="32"/>
        </w:rPr>
        <w:t>万元</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对影响群众生活的损坏部件进行更换</w:t>
      </w:r>
      <w:r>
        <w:rPr>
          <w:rFonts w:hint="eastAsia" w:ascii="仿宋_GB2312" w:hAnsi="仿宋_GB2312" w:eastAsia="仿宋_GB2312" w:cs="仿宋_GB2312"/>
          <w:color w:val="auto"/>
          <w:kern w:val="0"/>
          <w:sz w:val="32"/>
          <w:szCs w:val="32"/>
        </w:rPr>
        <w:t>。</w:t>
      </w:r>
    </w:p>
    <w:p>
      <w:pPr>
        <w:adjustRightInd w:val="0"/>
        <w:snapToGrid w:val="0"/>
        <w:spacing w:line="560" w:lineRule="exact"/>
        <w:ind w:firstLine="720"/>
        <w:rPr>
          <w:rFonts w:hint="eastAsia" w:ascii="Times New Roman" w:hAnsi="Times New Roman" w:eastAsia="仿宋_GB2312"/>
          <w:kern w:val="0"/>
          <w:sz w:val="32"/>
          <w:szCs w:val="32"/>
        </w:rPr>
      </w:pPr>
      <w:r>
        <w:rPr>
          <w:rFonts w:hint="eastAsia" w:ascii="楷体_GB2312" w:hAnsi="宋体" w:eastAsia="楷体_GB2312"/>
          <w:b/>
          <w:lang w:val="zh-CN"/>
        </w:rPr>
        <w:t>（</w:t>
      </w:r>
      <w:r>
        <w:rPr>
          <w:rFonts w:hint="eastAsia" w:ascii="楷体_GB2312" w:hAnsi="宋体" w:eastAsia="楷体_GB2312"/>
          <w:b/>
          <w:lang w:val="en-US" w:eastAsia="zh-CN"/>
        </w:rPr>
        <w:t>二</w:t>
      </w:r>
      <w:r>
        <w:rPr>
          <w:rFonts w:hint="eastAsia" w:ascii="楷体_GB2312" w:hAnsi="宋体" w:eastAsia="楷体_GB2312"/>
          <w:b/>
          <w:lang w:val="zh-CN"/>
        </w:rPr>
        <w:t>）</w:t>
      </w:r>
      <w:r>
        <w:rPr>
          <w:rFonts w:hint="eastAsia" w:ascii="楷体_GB2312" w:hAnsi="宋体" w:eastAsia="楷体_GB2312"/>
          <w:b/>
          <w:lang w:val="en-US" w:eastAsia="zh-CN"/>
        </w:rPr>
        <w:t>项目实施</w:t>
      </w:r>
      <w:r>
        <w:rPr>
          <w:rFonts w:hint="eastAsia" w:ascii="楷体_GB2312" w:hAnsi="宋体" w:eastAsia="楷体_GB2312"/>
          <w:b/>
          <w:lang w:val="zh-CN"/>
        </w:rPr>
        <w:t>管理情况。</w:t>
      </w:r>
      <w:r>
        <w:rPr>
          <w:rFonts w:hint="eastAsia" w:ascii="Times New Roman" w:hAnsi="Times New Roman" w:eastAsia="仿宋_GB2312"/>
          <w:kern w:val="0"/>
          <w:sz w:val="32"/>
          <w:szCs w:val="32"/>
        </w:rPr>
        <w:t>仁和区公共租赁住房管理项目，</w:t>
      </w:r>
      <w:r>
        <w:rPr>
          <w:rFonts w:hint="eastAsia" w:ascii="Times New Roman" w:hAnsi="Times New Roman" w:eastAsia="仿宋_GB2312"/>
          <w:b/>
          <w:bCs/>
          <w:kern w:val="0"/>
          <w:sz w:val="32"/>
          <w:szCs w:val="32"/>
        </w:rPr>
        <w:t>一是</w:t>
      </w:r>
      <w:r>
        <w:rPr>
          <w:rFonts w:hint="eastAsia" w:ascii="Times New Roman" w:hAnsi="Times New Roman" w:eastAsia="仿宋_GB2312"/>
          <w:kern w:val="0"/>
          <w:sz w:val="32"/>
          <w:szCs w:val="32"/>
        </w:rPr>
        <w:t>跟乡镇、街办社区签订托管协议，</w:t>
      </w:r>
      <w:r>
        <w:rPr>
          <w:rFonts w:hint="eastAsia" w:ascii="Times New Roman" w:hAnsi="Times New Roman" w:eastAsia="仿宋_GB2312"/>
          <w:b/>
          <w:bCs/>
          <w:kern w:val="0"/>
          <w:sz w:val="32"/>
          <w:szCs w:val="32"/>
        </w:rPr>
        <w:t>二是</w:t>
      </w:r>
      <w:r>
        <w:rPr>
          <w:rFonts w:hint="eastAsia" w:ascii="Times New Roman" w:hAnsi="Times New Roman" w:eastAsia="仿宋_GB2312"/>
          <w:kern w:val="0"/>
          <w:sz w:val="32"/>
          <w:szCs w:val="32"/>
        </w:rPr>
        <w:t>确保公共租赁住房维修维护及日常管理工作正常开展。</w:t>
      </w:r>
    </w:p>
    <w:p>
      <w:pPr>
        <w:adjustRightInd w:val="0"/>
        <w:snapToGrid w:val="0"/>
        <w:spacing w:line="560" w:lineRule="exact"/>
        <w:ind w:firstLine="720"/>
        <w:rPr>
          <w:rFonts w:ascii="Times New Roman" w:hAnsi="Times New Roman" w:eastAsia="仿宋_GB2312"/>
          <w:color w:val="FF0000"/>
          <w:kern w:val="0"/>
          <w:sz w:val="32"/>
          <w:szCs w:val="32"/>
        </w:rPr>
      </w:pPr>
      <w:r>
        <w:rPr>
          <w:rFonts w:hint="eastAsia" w:ascii="楷体_GB2312" w:hAnsi="宋体" w:eastAsia="楷体_GB2312"/>
          <w:b/>
          <w:lang w:val="zh-CN"/>
        </w:rPr>
        <w:t>（</w:t>
      </w:r>
      <w:r>
        <w:rPr>
          <w:rFonts w:hint="eastAsia" w:ascii="楷体_GB2312" w:hAnsi="宋体" w:eastAsia="楷体_GB2312"/>
          <w:b/>
          <w:lang w:val="en-US" w:eastAsia="zh-CN"/>
        </w:rPr>
        <w:t>三</w:t>
      </w:r>
      <w:r>
        <w:rPr>
          <w:rFonts w:hint="eastAsia" w:ascii="楷体_GB2312" w:hAnsi="宋体" w:eastAsia="楷体_GB2312"/>
          <w:b/>
          <w:lang w:val="zh-CN"/>
        </w:rPr>
        <w:t>）项目财务管理情况。</w:t>
      </w:r>
      <w:r>
        <w:rPr>
          <w:rFonts w:hint="eastAsia" w:ascii="Times New Roman" w:hAnsi="Times New Roman" w:eastAsia="仿宋_GB2312"/>
          <w:kern w:val="0"/>
          <w:sz w:val="32"/>
          <w:szCs w:val="32"/>
          <w:lang w:val="zh-CN"/>
        </w:rPr>
        <w:t>仁和区住建局建立了较为完善的财务管理制度，针对项目建设特别制定了项目报账流程，财务上无混编混岗，会计核算、账务处理及时，及时向分管领导报送项目资金情况。在资金使用过程中，严格执行财务管理制度，对于拨付的每笔工程款都由项目科人员层层把关，审核通过后再报领导签字拨款。</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仿宋_GB2312" w:hAnsi="仿宋_GB2312" w:eastAsia="仿宋_GB2312" w:cs="仿宋_GB2312"/>
          <w:sz w:val="32"/>
          <w:szCs w:val="32"/>
        </w:rPr>
      </w:pPr>
      <w:r>
        <w:rPr>
          <w:rFonts w:hint="eastAsia" w:ascii="楷体_GB2312" w:hAnsi="宋体" w:eastAsia="楷体_GB2312"/>
          <w:b/>
          <w:lang w:val="zh-CN"/>
        </w:rPr>
        <w:t>（一）项目</w:t>
      </w:r>
      <w:r>
        <w:rPr>
          <w:rFonts w:hint="eastAsia" w:ascii="黑体" w:hAnsi="宋体" w:eastAsia="黑体"/>
          <w:lang w:val="zh-CN"/>
        </w:rPr>
        <w:t>完成</w:t>
      </w:r>
      <w:r>
        <w:rPr>
          <w:rFonts w:hint="eastAsia" w:ascii="楷体_GB2312" w:hAnsi="宋体" w:eastAsia="楷体_GB2312"/>
          <w:b/>
          <w:lang w:val="zh-CN"/>
        </w:rPr>
        <w:t>情况。</w:t>
      </w:r>
      <w:r>
        <w:rPr>
          <w:rFonts w:ascii="Times New Roman" w:hAnsi="Times New Roman" w:eastAsia="仿宋_GB2312"/>
          <w:color w:val="auto"/>
          <w:sz w:val="32"/>
          <w:szCs w:val="32"/>
        </w:rPr>
        <w:t>202</w:t>
      </w:r>
      <w:r>
        <w:rPr>
          <w:rFonts w:hint="eastAsia" w:ascii="Times New Roman" w:hAnsi="Times New Roman"/>
          <w:color w:val="auto"/>
          <w:sz w:val="32"/>
          <w:szCs w:val="32"/>
          <w:lang w:val="en-US" w:eastAsia="zh-CN"/>
        </w:rPr>
        <w:t>3</w:t>
      </w:r>
      <w:r>
        <w:rPr>
          <w:rFonts w:ascii="Times New Roman" w:hAnsi="Times New Roman" w:eastAsia="仿宋_GB2312"/>
          <w:color w:val="auto"/>
          <w:sz w:val="32"/>
          <w:szCs w:val="32"/>
        </w:rPr>
        <w:t>年</w:t>
      </w:r>
      <w:r>
        <w:rPr>
          <w:rFonts w:hint="eastAsia" w:ascii="Times New Roman" w:hAnsi="Times New Roman" w:eastAsia="仿宋_GB2312"/>
          <w:color w:val="auto"/>
          <w:sz w:val="32"/>
          <w:szCs w:val="32"/>
        </w:rPr>
        <w:t>已完成跟乡镇、街办社区签订托管协议以及维修维护及公共租赁住房的日常管理工作</w:t>
      </w:r>
      <w:r>
        <w:rPr>
          <w:rFonts w:hint="eastAsia" w:ascii="仿宋_GB2312" w:hAnsi="仿宋_GB2312" w:eastAsia="仿宋_GB2312" w:cs="仿宋_GB2312"/>
          <w:sz w:val="32"/>
          <w:szCs w:val="32"/>
        </w:rPr>
        <w:t>。</w:t>
      </w:r>
    </w:p>
    <w:p>
      <w:pPr>
        <w:autoSpaceDE w:val="0"/>
        <w:autoSpaceDN w:val="0"/>
        <w:adjustRightInd w:val="0"/>
        <w:spacing w:line="60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（二）项目效益情况。</w:t>
      </w:r>
    </w:p>
    <w:p>
      <w:pPr>
        <w:autoSpaceDE w:val="0"/>
        <w:autoSpaceDN w:val="0"/>
        <w:adjustRightInd w:val="0"/>
        <w:spacing w:line="600" w:lineRule="exact"/>
        <w:ind w:firstLine="640" w:firstLineChars="2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社会效益：</w:t>
      </w:r>
      <w:r>
        <w:rPr>
          <w:rFonts w:hint="eastAsia" w:ascii="Times New Roman" w:hAnsi="Times New Roman"/>
          <w:kern w:val="0"/>
          <w:sz w:val="32"/>
          <w:szCs w:val="32"/>
          <w:lang w:val="en-US" w:eastAsia="zh-CN"/>
        </w:rPr>
        <w:t>改善了受益家庭的居住环境</w:t>
      </w:r>
      <w:r>
        <w:rPr>
          <w:rFonts w:hint="eastAsia" w:ascii="仿宋_GB2312" w:hAnsi="仿宋_GB2312" w:eastAsia="仿宋_GB2312" w:cs="仿宋_GB2312"/>
          <w:sz w:val="32"/>
          <w:szCs w:val="32"/>
        </w:rPr>
        <w:t>，进一步帮助缓解补贴对象经济压力，解决住房中的困难。</w:t>
      </w:r>
    </w:p>
    <w:p>
      <w:pPr>
        <w:autoSpaceDE w:val="0"/>
        <w:autoSpaceDN w:val="0"/>
        <w:adjustRightInd w:val="0"/>
        <w:spacing w:line="600" w:lineRule="exact"/>
        <w:jc w:val="left"/>
        <w:rPr>
          <w:rFonts w:ascii="Times New Roman" w:hAnsi="Times New Roman" w:eastAsia="楷体_GB2312"/>
          <w:color w:val="FF0000"/>
          <w:kern w:val="0"/>
          <w:sz w:val="32"/>
          <w:szCs w:val="32"/>
        </w:rPr>
      </w:pPr>
      <w:r>
        <w:rPr>
          <w:rFonts w:hint="eastAsia" w:ascii="Times New Roman" w:hAnsi="Times New Roman" w:eastAsia="楷体_GB2312"/>
          <w:color w:val="FF0000"/>
          <w:kern w:val="0"/>
          <w:sz w:val="32"/>
          <w:szCs w:val="32"/>
        </w:rPr>
        <w:t xml:space="preserve">    </w:t>
      </w:r>
      <w:r>
        <w:rPr>
          <w:rFonts w:hint="eastAsia" w:ascii="仿宋_GB2312" w:hAnsi="仿宋_GB2312" w:eastAsia="仿宋_GB2312" w:cs="仿宋_GB2312"/>
          <w:sz w:val="32"/>
          <w:szCs w:val="32"/>
        </w:rPr>
        <w:t>群众满意度：公共租赁住房住户对公共租赁住房管理工作的满意度</w:t>
      </w:r>
      <w:r>
        <w:rPr>
          <w:rFonts w:ascii="Times New Roman" w:hAnsi="Times New Roman" w:eastAsia="仿宋_GB2312"/>
          <w:sz w:val="32"/>
          <w:szCs w:val="32"/>
        </w:rPr>
        <w:t>达85</w:t>
      </w:r>
      <w:r>
        <w:rPr>
          <w:rFonts w:hint="eastAsia" w:ascii="仿宋_GB2312" w:hAnsi="仿宋_GB2312" w:eastAsia="仿宋_GB2312" w:cs="仿宋_GB2312"/>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utoSpaceDE w:val="0"/>
        <w:autoSpaceDN w:val="0"/>
        <w:adjustRightInd w:val="0"/>
        <w:spacing w:line="600" w:lineRule="exact"/>
        <w:ind w:firstLine="640" w:firstLineChars="200"/>
        <w:jc w:val="left"/>
        <w:rPr>
          <w:rFonts w:hint="eastAsia" w:cs="Times New Roman"/>
          <w:kern w:val="0"/>
          <w:sz w:val="32"/>
          <w:szCs w:val="32"/>
          <w:lang w:eastAsia="zh-CN"/>
        </w:rPr>
      </w:pPr>
      <w:r>
        <w:rPr>
          <w:rFonts w:hint="eastAsia" w:cs="Times New Roman"/>
          <w:kern w:val="0"/>
          <w:sz w:val="32"/>
          <w:szCs w:val="32"/>
          <w:lang w:val="en-US" w:eastAsia="zh-CN"/>
        </w:rPr>
        <w:t>无</w:t>
      </w:r>
      <w:r>
        <w:rPr>
          <w:rFonts w:hint="eastAsia" w:cs="Times New Roman"/>
          <w:kern w:val="0"/>
          <w:sz w:val="32"/>
          <w:szCs w:val="32"/>
          <w:lang w:eastAsia="zh-CN"/>
        </w:rPr>
        <w:t>。</w:t>
      </w:r>
    </w:p>
    <w:p>
      <w:pPr>
        <w:autoSpaceDE w:val="0"/>
        <w:autoSpaceDN w:val="0"/>
        <w:adjustRightInd w:val="0"/>
        <w:spacing w:line="60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（二）相关建议。</w:t>
      </w:r>
    </w:p>
    <w:p>
      <w:pPr>
        <w:autoSpaceDE w:val="0"/>
        <w:autoSpaceDN w:val="0"/>
        <w:adjustRightInd w:val="0"/>
        <w:spacing w:line="600" w:lineRule="exact"/>
        <w:ind w:firstLine="640" w:firstLineChars="200"/>
        <w:jc w:val="left"/>
        <w:rPr>
          <w:rFonts w:hint="eastAsia" w:eastAsia="仿宋_GB2312"/>
          <w:kern w:val="0"/>
          <w:sz w:val="32"/>
          <w:szCs w:val="32"/>
          <w:lang w:eastAsia="zh-CN"/>
        </w:rPr>
      </w:pPr>
      <w:r>
        <w:rPr>
          <w:rFonts w:hint="eastAsia"/>
          <w:kern w:val="0"/>
          <w:sz w:val="32"/>
          <w:szCs w:val="32"/>
          <w:lang w:eastAsia="zh-CN"/>
        </w:rPr>
        <w:t>无。</w:t>
      </w:r>
    </w:p>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B074C"/>
    <w:multiLevelType w:val="singleLevel"/>
    <w:tmpl w:val="04EB074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jU0NTNhNDNkZGU1OGVjYTViMDNhNzdiZDg1MWUifQ=="/>
  </w:docVars>
  <w:rsids>
    <w:rsidRoot w:val="291C455A"/>
    <w:rsid w:val="003414A3"/>
    <w:rsid w:val="00490474"/>
    <w:rsid w:val="00515A0C"/>
    <w:rsid w:val="00866E99"/>
    <w:rsid w:val="00FA5FA5"/>
    <w:rsid w:val="0EDB478C"/>
    <w:rsid w:val="12944F7C"/>
    <w:rsid w:val="28872FAA"/>
    <w:rsid w:val="291C455A"/>
    <w:rsid w:val="2F5072BA"/>
    <w:rsid w:val="36926D0C"/>
    <w:rsid w:val="4DAF2BCF"/>
    <w:rsid w:val="4DDB6F66"/>
    <w:rsid w:val="55F5764C"/>
    <w:rsid w:val="567E4F8E"/>
    <w:rsid w:val="5E8376AB"/>
    <w:rsid w:val="67302E47"/>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132</Words>
  <Characters>753</Characters>
  <Lines>6</Lines>
  <Paragraphs>1</Paragraphs>
  <TotalTime>0</TotalTime>
  <ScaleCrop>false</ScaleCrop>
  <LinksUpToDate>false</LinksUpToDate>
  <CharactersWithSpaces>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2024-05-16T02:30:34Z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37AB5441F8464A27A92ADD3B0F807CE3</vt:lpwstr>
  </property>
</Properties>
</file>