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攀枝花市仁和区交通运输局</w:t>
      </w: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预算项目支出绩效自评报告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（交通海巡艇费用）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zh-CN"/>
        </w:rPr>
        <w:t>202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年，仁和区交通运输局水上巡航艇经费，为了便于开展辖区范围内道路运输行业日常监督工作，川海巡556号执法艇的正常使用、维护，对乌东德库区80公里水路进行执法监督、航道巡查、应急救援、污染整治，起到了很好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维护社会稳定，家庭和睦。</w:t>
      </w:r>
      <w:r>
        <w:rPr>
          <w:rFonts w:hint="eastAsia" w:ascii="仿宋_GB2312" w:hAnsi="宋体"/>
          <w:lang w:val="zh-CN"/>
        </w:rPr>
        <w:t>川海巡556号执法艇的正常使用、维护维护航道执法工作开展。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依据相关文件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zh-CN"/>
        </w:rPr>
        <w:t>仁和区交通运输局水上巡航艇经费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宋体"/>
          <w:lang w:val="zh-CN"/>
        </w:rPr>
        <w:t>仁和区交通运输局水上巡航艇经费，项目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预算资金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万元，财政拨款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万元，已全部到位。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我单位在财务管理、项目资金管理制度健全，财务人员严格执行财务管理制度，账务处理及时，会计核算规范，完善单位的内控制度，确保会计工作的完整性、真实性。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/>
        <w:jc w:val="left"/>
        <w:textAlignment w:val="auto"/>
        <w:outlineLvl w:val="9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1．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按照预期目标完成各项任务。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2．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严格执行相关项目管理制度，各项支出符合专项资金使用要求。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/>
          <w:lang w:val="en-US" w:eastAsia="zh-CN"/>
        </w:rPr>
        <w:t>3</w:t>
      </w:r>
      <w:r>
        <w:rPr>
          <w:rFonts w:hint="eastAsia" w:ascii="楷体_GB2312" w:hAnsi="宋体" w:eastAsia="楷体_GB2312"/>
          <w:lang w:val="zh-CN"/>
        </w:rPr>
        <w:t>．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仁和区交通运输局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严格按照财务管理制度对该项目资金进行管理和使用。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zh-CN"/>
        </w:rPr>
        <w:t>仁和区交通运输局</w:t>
      </w:r>
      <w:r>
        <w:rPr>
          <w:rFonts w:hint="eastAsia" w:ascii="仿宋_GB2312" w:hAnsi="宋体"/>
          <w:lang w:val="en-US" w:eastAsia="zh-CN"/>
        </w:rPr>
        <w:t>1艘</w:t>
      </w:r>
      <w:r>
        <w:rPr>
          <w:rFonts w:hint="eastAsia" w:ascii="仿宋_GB2312" w:hAnsi="宋体"/>
          <w:lang w:val="zh-CN"/>
        </w:rPr>
        <w:t>水上巡航艇经费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工作经费。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按时拨付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各项经费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，保障单位工作顺利开展。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年1-12月。成本指标：</w:t>
      </w:r>
      <w:r>
        <w:rPr>
          <w:rFonts w:hint="eastAsia" w:ascii="仿宋_GB2312" w:hAnsi="宋体"/>
          <w:lang w:val="zh-CN"/>
        </w:rPr>
        <w:t>仁和区交通运输局水上巡航艇经费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为保障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仁和区交通运输局</w:t>
      </w:r>
      <w:r>
        <w:rPr>
          <w:rFonts w:hint="eastAsia" w:ascii="仿宋_GB2312" w:hAnsi="宋体"/>
          <w:lang w:val="zh-CN"/>
        </w:rPr>
        <w:t>水上巡航艇经费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正常发放，维护社会稳定，家庭和睦。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服务对象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zh-CN"/>
        </w:rPr>
        <w:t>无。</w:t>
      </w: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pStyle w:val="2"/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2024年5月15日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ind w:firstLine="3840" w:firstLineChars="1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3633B2B"/>
    <w:rsid w:val="097A7FD3"/>
    <w:rsid w:val="0DBF70D0"/>
    <w:rsid w:val="0EAB7668"/>
    <w:rsid w:val="0EDB478C"/>
    <w:rsid w:val="0FBF647B"/>
    <w:rsid w:val="1EA731C1"/>
    <w:rsid w:val="21C173E3"/>
    <w:rsid w:val="237A3D34"/>
    <w:rsid w:val="24A851AB"/>
    <w:rsid w:val="28736E14"/>
    <w:rsid w:val="291C455A"/>
    <w:rsid w:val="29974E18"/>
    <w:rsid w:val="2DAD6D47"/>
    <w:rsid w:val="2FE10679"/>
    <w:rsid w:val="36926D0C"/>
    <w:rsid w:val="3C9A5E19"/>
    <w:rsid w:val="44233DF6"/>
    <w:rsid w:val="45B7408C"/>
    <w:rsid w:val="46AD4937"/>
    <w:rsid w:val="475D6410"/>
    <w:rsid w:val="48290E80"/>
    <w:rsid w:val="4C0C6465"/>
    <w:rsid w:val="4DAF2BCF"/>
    <w:rsid w:val="4DDB6F66"/>
    <w:rsid w:val="52350C61"/>
    <w:rsid w:val="53767E72"/>
    <w:rsid w:val="57526D5D"/>
    <w:rsid w:val="61637BA0"/>
    <w:rsid w:val="64470445"/>
    <w:rsid w:val="668F7D8F"/>
    <w:rsid w:val="697414BE"/>
    <w:rsid w:val="6ABA03B9"/>
    <w:rsid w:val="6CAE1942"/>
    <w:rsid w:val="70BF7C59"/>
    <w:rsid w:val="720C4BF2"/>
    <w:rsid w:val="77440722"/>
    <w:rsid w:val="792F2AEE"/>
    <w:rsid w:val="7A1C78F0"/>
    <w:rsid w:val="7AE63A4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1743</Words>
  <Characters>1817</Characters>
  <Lines>6</Lines>
  <Paragraphs>1</Paragraphs>
  <TotalTime>1</TotalTime>
  <ScaleCrop>false</ScaleCrop>
  <LinksUpToDate>false</LinksUpToDate>
  <CharactersWithSpaces>1836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2024-05-17T02:34:39Z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3262DF4E9BA34312B47CB78F6D4B87F2</vt:lpwstr>
  </property>
</Properties>
</file>