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lang w:val="en-US" w:eastAsia="zh-CN"/>
        </w:rPr>
      </w:pPr>
      <w:r>
        <w:rPr>
          <w:rFonts w:hint="eastAsia" w:ascii="黑体" w:hAnsi="黑体" w:eastAsia="黑体"/>
        </w:rPr>
        <w:t>附件</w:t>
      </w:r>
      <w:r>
        <w:rPr>
          <w:rFonts w:hint="eastAsia" w:ascii="黑体" w:hAnsi="黑体" w:eastAsia="黑体"/>
          <w:lang w:val="en-US" w:eastAsia="zh-CN"/>
        </w:rPr>
        <w:t>5</w:t>
      </w:r>
    </w:p>
    <w:p>
      <w:pPr>
        <w:tabs>
          <w:tab w:val="left" w:pos="1440"/>
        </w:tabs>
        <w:spacing w:line="560" w:lineRule="exact"/>
        <w:rPr>
          <w:rFonts w:ascii="宋体" w:hAnsi="宋体" w:eastAsia="宋体"/>
          <w:sz w:val="30"/>
          <w:szCs w:val="30"/>
        </w:rPr>
      </w:pPr>
    </w:p>
    <w:p>
      <w:pPr>
        <w:pStyle w:val="6"/>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项目支出绩效自评报告范本</w:t>
      </w:r>
    </w:p>
    <w:p>
      <w:pPr>
        <w:pStyle w:val="6"/>
        <w:spacing w:line="560" w:lineRule="exact"/>
        <w:jc w:val="center"/>
        <w:rPr>
          <w:rFonts w:ascii="仿宋_GB2312" w:hAnsi="宋体" w:eastAsia="仿宋_GB2312"/>
          <w:color w:val="auto"/>
          <w:kern w:val="2"/>
          <w:sz w:val="32"/>
          <w:szCs w:val="32"/>
        </w:rPr>
      </w:pPr>
      <w:r>
        <w:rPr>
          <w:rFonts w:hint="eastAsia" w:ascii="仿宋_GB2312" w:hAnsi="宋体" w:eastAsia="仿宋_GB2312"/>
          <w:color w:val="auto"/>
          <w:kern w:val="2"/>
          <w:sz w:val="32"/>
          <w:szCs w:val="32"/>
        </w:rPr>
        <w:t>（</w:t>
      </w:r>
      <w:r>
        <w:rPr>
          <w:rFonts w:hint="eastAsia" w:ascii="仿宋_GB2312" w:hAnsi="宋体" w:eastAsia="仿宋_GB2312"/>
          <w:color w:val="auto"/>
          <w:kern w:val="2"/>
          <w:sz w:val="32"/>
          <w:szCs w:val="32"/>
          <w:lang w:val="en-US" w:eastAsia="zh-CN"/>
        </w:rPr>
        <w:t>2022年省级体育发展专项资金（第一批）</w:t>
      </w:r>
      <w:r>
        <w:rPr>
          <w:rFonts w:hint="eastAsia" w:ascii="仿宋_GB2312" w:hAnsi="宋体" w:eastAsia="仿宋_GB2312"/>
          <w:color w:val="auto"/>
          <w:kern w:val="2"/>
          <w:sz w:val="32"/>
          <w:szCs w:val="32"/>
        </w:rPr>
        <w:t>）</w:t>
      </w:r>
    </w:p>
    <w:p>
      <w:pPr>
        <w:pStyle w:val="6"/>
        <w:spacing w:line="560" w:lineRule="exact"/>
        <w:ind w:firstLine="640"/>
        <w:jc w:val="center"/>
        <w:rPr>
          <w:rFonts w:ascii="宋体" w:hAnsi="宋体"/>
          <w:color w:val="auto"/>
          <w:kern w:val="2"/>
          <w:sz w:val="32"/>
          <w:szCs w:val="32"/>
        </w:rPr>
      </w:pPr>
    </w:p>
    <w:p>
      <w:pPr>
        <w:adjustRightInd w:val="0"/>
        <w:snapToGrid w:val="0"/>
        <w:spacing w:line="560" w:lineRule="exact"/>
        <w:ind w:firstLine="640" w:firstLineChars="200"/>
        <w:jc w:val="left"/>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jc w:val="left"/>
        <w:rPr>
          <w:rFonts w:hint="eastAsia" w:ascii="仿宋_GB2312" w:hAnsi="宋体"/>
          <w:lang w:val="zh-CN"/>
        </w:rPr>
      </w:pPr>
      <w:r>
        <w:rPr>
          <w:rFonts w:hint="eastAsia" w:ascii="仿宋_GB2312" w:hAnsi="宋体"/>
          <w:lang w:val="zh-CN"/>
        </w:rPr>
        <w:t>介绍项目基本情况，重点说明以下内容：</w:t>
      </w:r>
    </w:p>
    <w:p>
      <w:pPr>
        <w:numPr>
          <w:ilvl w:val="0"/>
          <w:numId w:val="1"/>
        </w:numPr>
        <w:adjustRightInd w:val="0"/>
        <w:snapToGrid w:val="0"/>
        <w:spacing w:line="560" w:lineRule="exact"/>
        <w:ind w:firstLine="643" w:firstLineChars="200"/>
        <w:jc w:val="left"/>
        <w:rPr>
          <w:rFonts w:hint="eastAsia" w:ascii="楷体_GB2312" w:hAnsi="宋体" w:eastAsia="楷体_GB2312"/>
          <w:b/>
          <w:lang w:val="zh-CN"/>
        </w:rPr>
      </w:pPr>
      <w:r>
        <w:rPr>
          <w:rFonts w:hint="eastAsia" w:ascii="楷体_GB2312" w:hAnsi="宋体" w:eastAsia="楷体_GB2312"/>
          <w:b/>
          <w:lang w:val="zh-CN"/>
        </w:rPr>
        <w:t>项目资金申报及批复情况。</w:t>
      </w:r>
    </w:p>
    <w:p>
      <w:pPr>
        <w:adjustRightInd w:val="0"/>
        <w:snapToGrid w:val="0"/>
        <w:spacing w:line="560" w:lineRule="exact"/>
        <w:ind w:firstLine="720"/>
        <w:jc w:val="left"/>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color w:val="000000"/>
          <w:spacing w:val="0"/>
          <w:w w:val="100"/>
          <w:position w:val="0"/>
          <w:sz w:val="32"/>
          <w:szCs w:val="32"/>
          <w:shd w:val="clear" w:color="auto" w:fill="auto"/>
          <w:lang w:val="en-US" w:eastAsia="zh-CN"/>
        </w:rPr>
        <w:t>根据</w:t>
      </w:r>
      <w:r>
        <w:rPr>
          <w:rFonts w:hint="default" w:ascii="Times New Roman" w:hAnsi="Times New Roman" w:eastAsia="仿宋_GB2312" w:cs="Times New Roman"/>
          <w:color w:val="000000"/>
          <w:spacing w:val="0"/>
          <w:w w:val="100"/>
          <w:position w:val="0"/>
          <w:sz w:val="32"/>
          <w:szCs w:val="32"/>
          <w:shd w:val="clear" w:color="auto" w:fill="auto"/>
        </w:rPr>
        <w:t>《四川省体育发展专项资金项目管理办法》《四川省体育产业示范基地（单位、项目）管理办法（试行）》</w:t>
      </w:r>
      <w:r>
        <w:rPr>
          <w:rFonts w:hint="default" w:ascii="Times New Roman" w:hAnsi="Times New Roman" w:eastAsia="仿宋_GB2312" w:cs="Times New Roman"/>
          <w:color w:val="000000"/>
          <w:spacing w:val="0"/>
          <w:w w:val="100"/>
          <w:position w:val="0"/>
          <w:sz w:val="32"/>
          <w:szCs w:val="32"/>
          <w:shd w:val="clear" w:color="auto" w:fill="auto"/>
          <w:lang w:val="en-US" w:eastAsia="zh-CN"/>
        </w:rPr>
        <w:t>等文件</w:t>
      </w:r>
      <w:r>
        <w:rPr>
          <w:rFonts w:hint="eastAsia" w:ascii="Times New Roman" w:hAnsi="Times New Roman" w:eastAsia="仿宋_GB2312" w:cs="Times New Roman"/>
          <w:color w:val="000000"/>
          <w:spacing w:val="0"/>
          <w:w w:val="100"/>
          <w:position w:val="0"/>
          <w:sz w:val="32"/>
          <w:szCs w:val="32"/>
          <w:shd w:val="clear" w:color="auto" w:fill="auto"/>
          <w:lang w:val="en-US" w:eastAsia="zh-CN"/>
        </w:rPr>
        <w:t>要求</w:t>
      </w:r>
      <w:r>
        <w:rPr>
          <w:rFonts w:hint="default" w:ascii="Times New Roman" w:hAnsi="Times New Roman" w:eastAsia="仿宋_GB2312" w:cs="Times New Roman"/>
          <w:color w:val="000000"/>
          <w:spacing w:val="0"/>
          <w:w w:val="100"/>
          <w:position w:val="0"/>
          <w:sz w:val="32"/>
          <w:szCs w:val="32"/>
          <w:shd w:val="clear" w:color="auto" w:fill="auto"/>
          <w:lang w:val="en-US" w:eastAsia="zh-CN"/>
        </w:rPr>
        <w:t>，为圆满完成省体育局</w:t>
      </w:r>
      <w:r>
        <w:rPr>
          <w:rFonts w:hint="eastAsia" w:ascii="Times New Roman" w:hAnsi="Times New Roman" w:eastAsia="仿宋_GB2312" w:cs="Times New Roman"/>
          <w:color w:val="000000"/>
          <w:spacing w:val="0"/>
          <w:w w:val="100"/>
          <w:position w:val="0"/>
          <w:sz w:val="32"/>
          <w:szCs w:val="32"/>
          <w:shd w:val="clear" w:color="auto" w:fill="auto"/>
          <w:lang w:val="en-US" w:eastAsia="zh-CN"/>
        </w:rPr>
        <w:t>对</w:t>
      </w:r>
      <w:r>
        <w:rPr>
          <w:rFonts w:hint="default" w:ascii="Times New Roman" w:hAnsi="Times New Roman" w:eastAsia="仿宋_GB2312" w:cs="Times New Roman"/>
          <w:color w:val="000000"/>
          <w:spacing w:val="0"/>
          <w:w w:val="100"/>
          <w:position w:val="0"/>
          <w:sz w:val="32"/>
          <w:szCs w:val="32"/>
          <w:shd w:val="clear" w:color="auto" w:fill="auto"/>
          <w:lang w:val="en-US" w:eastAsia="zh-CN"/>
        </w:rPr>
        <w:t>仁和区</w:t>
      </w:r>
      <w:r>
        <w:rPr>
          <w:rFonts w:hint="eastAsia" w:ascii="Times New Roman" w:hAnsi="Times New Roman" w:eastAsia="仿宋_GB2312" w:cs="Times New Roman"/>
          <w:color w:val="000000"/>
          <w:spacing w:val="0"/>
          <w:w w:val="100"/>
          <w:position w:val="0"/>
          <w:sz w:val="32"/>
          <w:szCs w:val="32"/>
          <w:shd w:val="clear" w:color="auto" w:fill="auto"/>
          <w:lang w:val="en-US" w:eastAsia="zh-CN"/>
        </w:rPr>
        <w:t>已</w:t>
      </w:r>
      <w:r>
        <w:rPr>
          <w:rFonts w:hint="default" w:ascii="Times New Roman" w:hAnsi="Times New Roman" w:eastAsia="仿宋_GB2312" w:cs="Times New Roman"/>
          <w:color w:val="000000"/>
          <w:spacing w:val="0"/>
          <w:w w:val="100"/>
          <w:position w:val="0"/>
          <w:sz w:val="32"/>
          <w:szCs w:val="32"/>
          <w:shd w:val="clear" w:color="auto" w:fill="auto"/>
          <w:lang w:val="en-US" w:eastAsia="zh-CN"/>
        </w:rPr>
        <w:t>获得的“</w:t>
      </w:r>
      <w:r>
        <w:rPr>
          <w:rFonts w:hint="default" w:ascii="Times New Roman" w:hAnsi="Times New Roman" w:eastAsia="仿宋_GB2312" w:cs="Times New Roman"/>
          <w:bCs/>
          <w:sz w:val="32"/>
          <w:szCs w:val="32"/>
          <w:lang w:val="en-US" w:eastAsia="zh-CN"/>
        </w:rPr>
        <w:t>2022年省级体育发展专项资金（第一批）攀财资教</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bCs/>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bCs/>
          <w:sz w:val="32"/>
          <w:szCs w:val="32"/>
          <w:lang w:val="en-US" w:eastAsia="zh-CN"/>
        </w:rPr>
        <w:t>26号</w:t>
      </w:r>
      <w:r>
        <w:rPr>
          <w:rFonts w:hint="default" w:ascii="Times New Roman" w:hAnsi="Times New Roman" w:eastAsia="仿宋_GB2312" w:cs="Times New Roman"/>
          <w:color w:val="000000"/>
          <w:spacing w:val="0"/>
          <w:w w:val="100"/>
          <w:position w:val="0"/>
          <w:sz w:val="32"/>
          <w:szCs w:val="32"/>
          <w:shd w:val="clear" w:color="auto" w:fill="auto"/>
          <w:lang w:val="en-US" w:eastAsia="zh-CN"/>
        </w:rPr>
        <w:t>”</w:t>
      </w:r>
      <w:r>
        <w:rPr>
          <w:rFonts w:hint="eastAsia" w:ascii="Times New Roman" w:hAnsi="Times New Roman" w:eastAsia="仿宋_GB2312" w:cs="Times New Roman"/>
          <w:color w:val="000000"/>
          <w:spacing w:val="0"/>
          <w:w w:val="100"/>
          <w:position w:val="0"/>
          <w:sz w:val="32"/>
          <w:szCs w:val="32"/>
          <w:shd w:val="clear" w:color="auto" w:fill="auto"/>
          <w:lang w:val="en-US" w:eastAsia="zh-CN"/>
        </w:rPr>
        <w:t xml:space="preserve"> 中，支持</w:t>
      </w:r>
      <w:r>
        <w:rPr>
          <w:rFonts w:hint="default" w:ascii="Times New Roman" w:hAnsi="Times New Roman" w:eastAsia="仿宋_GB2312" w:cs="Times New Roman"/>
          <w:bCs/>
          <w:sz w:val="32"/>
          <w:szCs w:val="32"/>
          <w:lang w:val="en-US" w:eastAsia="zh-CN"/>
        </w:rPr>
        <w:t>攀枝花市乾盛川商贸有限责任公司省级体育产业示范基地建设补助经费</w:t>
      </w:r>
      <w:r>
        <w:rPr>
          <w:rFonts w:hint="eastAsia" w:ascii="Times New Roman" w:hAnsi="Times New Roman" w:eastAsia="仿宋_GB2312" w:cs="Times New Roman"/>
          <w:bCs/>
          <w:sz w:val="32"/>
          <w:szCs w:val="32"/>
          <w:lang w:val="en-US" w:eastAsia="zh-CN"/>
        </w:rPr>
        <w:t>81.213</w:t>
      </w:r>
      <w:r>
        <w:rPr>
          <w:rFonts w:hint="default" w:ascii="Times New Roman" w:hAnsi="Times New Roman" w:eastAsia="仿宋_GB2312" w:cs="Times New Roman"/>
          <w:bCs/>
          <w:sz w:val="32"/>
          <w:szCs w:val="32"/>
          <w:lang w:val="en-US" w:eastAsia="zh-CN"/>
        </w:rPr>
        <w:t>万元</w:t>
      </w:r>
      <w:r>
        <w:rPr>
          <w:rFonts w:hint="default" w:ascii="Times New Roman" w:hAnsi="Times New Roman" w:eastAsia="仿宋_GB2312" w:cs="Times New Roman"/>
          <w:color w:val="000000"/>
          <w:spacing w:val="0"/>
          <w:w w:val="100"/>
          <w:position w:val="0"/>
          <w:sz w:val="32"/>
          <w:szCs w:val="32"/>
          <w:shd w:val="clear" w:color="auto" w:fill="auto"/>
          <w:lang w:val="en-US" w:eastAsia="zh-CN"/>
        </w:rPr>
        <w:t>。</w:t>
      </w:r>
    </w:p>
    <w:p>
      <w:pPr>
        <w:adjustRightInd w:val="0"/>
        <w:snapToGrid w:val="0"/>
        <w:spacing w:line="560" w:lineRule="exact"/>
        <w:ind w:firstLine="720"/>
        <w:jc w:val="left"/>
        <w:rPr>
          <w:rFonts w:hint="eastAsia" w:ascii="楷体_GB2312" w:hAnsi="宋体" w:eastAsia="楷体_GB2312"/>
          <w:b/>
          <w:lang w:val="zh-CN"/>
        </w:rPr>
      </w:pPr>
      <w:r>
        <w:rPr>
          <w:rFonts w:hint="eastAsia" w:ascii="楷体_GB2312" w:hAnsi="宋体" w:eastAsia="楷体_GB2312"/>
          <w:b/>
          <w:lang w:val="zh-CN"/>
        </w:rPr>
        <w:t>（二）项目绩效目标。</w:t>
      </w:r>
    </w:p>
    <w:p>
      <w:pPr>
        <w:numPr>
          <w:ilvl w:val="0"/>
          <w:numId w:val="0"/>
        </w:numPr>
        <w:adjustRightInd w:val="0"/>
        <w:snapToGrid w:val="0"/>
        <w:spacing w:line="560" w:lineRule="exact"/>
        <w:ind w:firstLine="640" w:firstLineChars="200"/>
        <w:jc w:val="left"/>
        <w:rPr>
          <w:rFonts w:hint="eastAsia" w:ascii="仿宋_GB2312" w:hAnsi="仿宋_GB2312" w:cs="仿宋_GB2312"/>
          <w:b w:val="0"/>
          <w:bCs/>
          <w:lang w:val="en-US" w:eastAsia="zh-CN"/>
        </w:rPr>
      </w:pPr>
      <w:r>
        <w:rPr>
          <w:rFonts w:hint="eastAsia" w:ascii="仿宋_GB2312" w:hAnsi="仿宋_GB2312" w:cs="仿宋_GB2312"/>
          <w:b w:val="0"/>
          <w:bCs/>
          <w:lang w:val="en-US" w:eastAsia="zh-CN"/>
        </w:rPr>
        <w:t>对攀枝花市乾盛川商贸有限责任公司智慧场馆、健身房、武术馆改造项目提供建设补助。</w:t>
      </w:r>
    </w:p>
    <w:p>
      <w:pPr>
        <w:numPr>
          <w:ilvl w:val="0"/>
          <w:numId w:val="1"/>
        </w:numPr>
        <w:autoSpaceDE w:val="0"/>
        <w:autoSpaceDN w:val="0"/>
        <w:adjustRightInd w:val="0"/>
        <w:spacing w:line="600" w:lineRule="exact"/>
        <w:ind w:left="0" w:leftChars="0" w:firstLine="643" w:firstLineChars="200"/>
        <w:jc w:val="left"/>
        <w:rPr>
          <w:rFonts w:hint="eastAsia" w:ascii="楷体_GB2312" w:hAnsi="宋体" w:eastAsia="楷体_GB2312"/>
          <w:b/>
          <w:lang w:val="zh-CN"/>
        </w:rPr>
      </w:pPr>
      <w:r>
        <w:rPr>
          <w:rFonts w:hint="eastAsia" w:ascii="楷体_GB2312" w:hAnsi="宋体" w:eastAsia="楷体_GB2312"/>
          <w:b/>
          <w:lang w:val="zh-CN"/>
        </w:rPr>
        <w:t>项目资金申报相符性。</w:t>
      </w:r>
    </w:p>
    <w:p>
      <w:pPr>
        <w:numPr>
          <w:numId w:val="0"/>
        </w:numPr>
        <w:autoSpaceDE w:val="0"/>
        <w:autoSpaceDN w:val="0"/>
        <w:adjustRightInd w:val="0"/>
        <w:spacing w:line="600" w:lineRule="exact"/>
        <w:ind w:leftChars="200"/>
        <w:jc w:val="left"/>
        <w:rPr>
          <w:rFonts w:hint="eastAsia" w:ascii="仿宋_GB2312" w:hAnsi="仿宋_GB2312" w:cs="仿宋_GB2312"/>
          <w:b w:val="0"/>
          <w:bCs/>
          <w:lang w:val="zh-CN" w:eastAsia="zh-CN"/>
        </w:rPr>
      </w:pPr>
      <w:r>
        <w:rPr>
          <w:rFonts w:hint="eastAsia" w:ascii="Times New Roman" w:hAnsi="Times New Roman" w:eastAsia="仿宋_GB2312"/>
          <w:kern w:val="0"/>
          <w:sz w:val="32"/>
          <w:szCs w:val="32"/>
        </w:rPr>
        <w:t>项目申报内容与实际相符，合理可行。</w:t>
      </w:r>
    </w:p>
    <w:p>
      <w:pPr>
        <w:adjustRightInd w:val="0"/>
        <w:snapToGrid w:val="0"/>
        <w:spacing w:line="560" w:lineRule="exact"/>
        <w:ind w:firstLine="640" w:firstLineChars="200"/>
        <w:jc w:val="left"/>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643" w:firstLineChars="200"/>
        <w:jc w:val="left"/>
        <w:rPr>
          <w:rFonts w:ascii="楷体_GB2312" w:hAnsi="宋体" w:eastAsia="楷体_GB2312"/>
          <w:b/>
          <w:lang w:val="zh-CN"/>
        </w:rPr>
      </w:pPr>
      <w:r>
        <w:rPr>
          <w:rFonts w:hint="eastAsia" w:ascii="楷体_GB2312" w:hAnsi="宋体" w:eastAsia="楷体_GB2312"/>
          <w:b/>
          <w:lang w:val="zh-CN"/>
        </w:rPr>
        <w:t>（一）资金计划、到位及使用情况。</w:t>
      </w:r>
    </w:p>
    <w:p>
      <w:pPr>
        <w:adjustRightInd w:val="0"/>
        <w:snapToGrid w:val="0"/>
        <w:spacing w:line="560" w:lineRule="exact"/>
        <w:ind w:firstLine="640" w:firstLineChars="200"/>
        <w:jc w:val="left"/>
        <w:rPr>
          <w:rFonts w:hint="default" w:ascii="仿宋_GB2312" w:hAnsi="宋体" w:eastAsia="楷体_GB2312"/>
          <w:lang w:val="en-US" w:eastAsia="zh-CN"/>
        </w:rPr>
      </w:pPr>
      <w:r>
        <w:rPr>
          <w:rFonts w:hint="eastAsia" w:ascii="楷体_GB2312" w:hAnsi="宋体" w:eastAsia="楷体_GB2312"/>
          <w:lang w:val="zh-CN"/>
        </w:rPr>
        <w:t>1</w:t>
      </w:r>
      <w:r>
        <w:rPr>
          <w:rFonts w:hint="eastAsia" w:ascii="楷体_GB2312" w:hAnsi="宋体" w:eastAsia="楷体_GB2312"/>
          <w:lang w:val="en-US" w:eastAsia="zh-CN"/>
        </w:rPr>
        <w:t>.</w:t>
      </w:r>
      <w:r>
        <w:rPr>
          <w:rFonts w:hint="eastAsia" w:ascii="楷体_GB2312" w:hAnsi="宋体" w:eastAsia="楷体_GB2312"/>
          <w:lang w:val="zh-CN"/>
        </w:rPr>
        <w:t>资金计划及到位。</w:t>
      </w:r>
      <w:r>
        <w:rPr>
          <w:rFonts w:hint="eastAsia" w:ascii="仿宋_GB2312" w:hAnsi="仿宋_GB2312" w:cs="仿宋_GB2312"/>
          <w:b w:val="0"/>
          <w:bCs/>
          <w:lang w:val="en-US" w:eastAsia="zh-CN"/>
        </w:rPr>
        <w:t>2023年下达2022年省级体育发展专项资金（第一批）攀财资教[2022]26号</w:t>
      </w:r>
      <w:r>
        <w:rPr>
          <w:rFonts w:hint="eastAsia" w:ascii="仿宋_GB2312" w:hAnsi="宋体"/>
          <w:color w:val="auto"/>
          <w:kern w:val="2"/>
          <w:sz w:val="32"/>
          <w:szCs w:val="32"/>
          <w:lang w:val="en-US" w:eastAsia="zh-CN"/>
        </w:rPr>
        <w:t>，</w:t>
      </w:r>
      <w:r>
        <w:rPr>
          <w:rFonts w:hint="eastAsia" w:ascii="仿宋_GB2312" w:hAnsi="仿宋_GB2312" w:cs="仿宋_GB2312"/>
          <w:b w:val="0"/>
          <w:bCs/>
          <w:lang w:val="en-US" w:eastAsia="zh-CN"/>
        </w:rPr>
        <w:t>批复资金81.213万元。截止评价时，到位资金81.213万元，资金到位及时，到位率100%。</w:t>
      </w:r>
    </w:p>
    <w:p>
      <w:pPr>
        <w:adjustRightInd w:val="0"/>
        <w:snapToGrid w:val="0"/>
        <w:spacing w:line="560" w:lineRule="exact"/>
        <w:ind w:firstLine="720"/>
        <w:jc w:val="left"/>
        <w:rPr>
          <w:rFonts w:hint="default" w:ascii="楷体_GB2312" w:hAnsi="宋体" w:eastAsia="楷体_GB2312"/>
          <w:color w:val="FF0000"/>
          <w:lang w:val="en-US" w:eastAsia="zh-CN"/>
        </w:rPr>
      </w:pPr>
      <w:r>
        <w:rPr>
          <w:rFonts w:hint="eastAsia" w:ascii="楷体_GB2312" w:hAnsi="宋体" w:eastAsia="楷体_GB2312"/>
          <w:lang w:val="zh-CN"/>
        </w:rPr>
        <w:t>2</w:t>
      </w:r>
      <w:r>
        <w:rPr>
          <w:rFonts w:hint="eastAsia" w:ascii="楷体_GB2312" w:hAnsi="宋体" w:eastAsia="楷体_GB2312"/>
          <w:lang w:val="en-US" w:eastAsia="zh-CN"/>
        </w:rPr>
        <w:t>.</w:t>
      </w:r>
      <w:r>
        <w:rPr>
          <w:rFonts w:hint="eastAsia" w:ascii="楷体_GB2312" w:hAnsi="宋体" w:eastAsia="楷体_GB2312"/>
          <w:lang w:val="zh-CN"/>
        </w:rPr>
        <w:t>资金使用。截止评价时点，</w:t>
      </w:r>
      <w:r>
        <w:rPr>
          <w:rFonts w:hint="eastAsia" w:ascii="楷体_GB2312" w:hAnsi="宋体" w:eastAsia="楷体_GB2312"/>
          <w:color w:val="FF0000"/>
          <w:lang w:val="en-US" w:eastAsia="zh-CN"/>
        </w:rPr>
        <w:t>已支付0，支付进度0、支付依据合规合法，资金支付与预算不相符。</w:t>
      </w:r>
    </w:p>
    <w:p>
      <w:pPr>
        <w:adjustRightInd w:val="0"/>
        <w:snapToGrid w:val="0"/>
        <w:spacing w:line="560" w:lineRule="exact"/>
        <w:ind w:firstLine="720"/>
        <w:jc w:val="left"/>
        <w:rPr>
          <w:rFonts w:hint="eastAsia" w:ascii="楷体_GB2312" w:hAnsi="宋体" w:eastAsia="楷体_GB2312"/>
          <w:b/>
          <w:lang w:val="zh-CN"/>
        </w:rPr>
      </w:pPr>
      <w:r>
        <w:rPr>
          <w:rFonts w:hint="eastAsia" w:ascii="楷体_GB2312" w:hAnsi="宋体" w:eastAsia="楷体_GB2312"/>
          <w:b/>
          <w:lang w:val="zh-CN"/>
        </w:rPr>
        <w:t>（二）项目财务管理情况。</w:t>
      </w:r>
      <w:bookmarkStart w:id="0" w:name="_GoBack"/>
      <w:bookmarkEnd w:id="0"/>
    </w:p>
    <w:p>
      <w:pPr>
        <w:adjustRightInd w:val="0"/>
        <w:snapToGrid w:val="0"/>
        <w:spacing w:line="560" w:lineRule="exact"/>
        <w:ind w:firstLine="640" w:firstLineChars="200"/>
        <w:jc w:val="left"/>
        <w:rPr>
          <w:rFonts w:hint="eastAsia" w:ascii="楷体_GB2312" w:hAnsi="宋体" w:eastAsia="楷体_GB2312"/>
          <w:b/>
          <w:lang w:val="zh-CN"/>
        </w:rPr>
      </w:pPr>
      <w:r>
        <w:rPr>
          <w:rFonts w:ascii="Times New Roman" w:hAnsi="Times New Roman" w:eastAsia="仿宋_GB2312"/>
          <w:kern w:val="0"/>
          <w:sz w:val="32"/>
          <w:szCs w:val="32"/>
        </w:rPr>
        <w:t>单位财务管理制度是健全，严格执行财务管理制度，账务处理及时，会计核算规范。</w:t>
      </w:r>
    </w:p>
    <w:p>
      <w:pPr>
        <w:numPr>
          <w:ilvl w:val="0"/>
          <w:numId w:val="0"/>
        </w:numPr>
        <w:adjustRightInd w:val="0"/>
        <w:snapToGrid w:val="0"/>
        <w:spacing w:line="560" w:lineRule="exact"/>
        <w:ind w:left="720" w:leftChars="0"/>
        <w:jc w:val="left"/>
        <w:rPr>
          <w:rFonts w:hint="eastAsia" w:ascii="楷体_GB2312" w:hAnsi="宋体" w:eastAsia="楷体_GB2312"/>
          <w:b/>
          <w:lang w:val="zh-CN"/>
        </w:rPr>
      </w:pPr>
      <w:r>
        <w:rPr>
          <w:rFonts w:hint="eastAsia" w:ascii="楷体_GB2312" w:hAnsi="宋体" w:eastAsia="楷体_GB2312"/>
          <w:b/>
          <w:lang w:val="zh-CN"/>
        </w:rPr>
        <w:t>（三）项目组织实施情况。</w:t>
      </w:r>
    </w:p>
    <w:p>
      <w:pPr>
        <w:numPr>
          <w:ilvl w:val="0"/>
          <w:numId w:val="0"/>
        </w:numPr>
        <w:adjustRightInd w:val="0"/>
        <w:snapToGrid w:val="0"/>
        <w:spacing w:line="560" w:lineRule="exact"/>
        <w:ind w:firstLine="640" w:firstLineChars="200"/>
        <w:jc w:val="left"/>
        <w:rPr>
          <w:rFonts w:hint="eastAsia" w:ascii="楷体_GB2312" w:hAnsi="宋体" w:eastAsia="楷体_GB2312"/>
          <w:b/>
          <w:lang w:val="zh-CN"/>
        </w:rPr>
      </w:pPr>
      <w:r>
        <w:rPr>
          <w:rFonts w:hint="eastAsia" w:ascii="Times New Roman" w:hAnsi="Times New Roman" w:eastAsia="仿宋_GB2312"/>
          <w:kern w:val="0"/>
          <w:sz w:val="32"/>
          <w:szCs w:val="32"/>
          <w:lang w:val="en-US" w:eastAsia="zh-CN"/>
        </w:rPr>
        <w:t>严格按照</w:t>
      </w:r>
      <w:r>
        <w:rPr>
          <w:rFonts w:hint="eastAsia"/>
          <w:kern w:val="0"/>
          <w:sz w:val="32"/>
          <w:szCs w:val="32"/>
          <w:lang w:val="en-US" w:eastAsia="zh-CN"/>
        </w:rPr>
        <w:t>资金预算进行资金管理和使用，按项目预算进行划拨和使用。</w:t>
      </w:r>
    </w:p>
    <w:p>
      <w:pPr>
        <w:adjustRightInd w:val="0"/>
        <w:snapToGrid w:val="0"/>
        <w:spacing w:line="560" w:lineRule="exact"/>
        <w:ind w:firstLine="720"/>
        <w:jc w:val="left"/>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643" w:firstLineChars="200"/>
        <w:jc w:val="left"/>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640" w:firstLineChars="200"/>
        <w:jc w:val="left"/>
        <w:rPr>
          <w:rFonts w:hint="eastAsia" w:ascii="楷体_GB2312" w:hAnsi="宋体" w:eastAsia="楷体_GB2312"/>
          <w:b/>
          <w:lang w:val="zh-CN"/>
        </w:rPr>
      </w:pPr>
      <w:r>
        <w:rPr>
          <w:rFonts w:hint="eastAsia" w:ascii="Times New Roman" w:hAnsi="Times New Roman" w:eastAsia="仿宋_GB2312" w:cs="Times New Roman"/>
          <w:kern w:val="0"/>
          <w:sz w:val="32"/>
          <w:szCs w:val="32"/>
          <w:lang w:val="en-US" w:eastAsia="zh-CN"/>
        </w:rPr>
        <w:t>按照项目预算资金到位后，区教体局上局长办公会审议通过后，</w:t>
      </w:r>
      <w:r>
        <w:rPr>
          <w:rFonts w:hint="eastAsia" w:cs="Times New Roman"/>
          <w:kern w:val="0"/>
          <w:sz w:val="32"/>
          <w:szCs w:val="32"/>
          <w:lang w:val="en-US" w:eastAsia="zh-CN"/>
        </w:rPr>
        <w:t>按实际产生费用支付</w:t>
      </w:r>
      <w:r>
        <w:rPr>
          <w:rFonts w:hint="eastAsia" w:ascii="Times New Roman" w:hAnsi="Times New Roman" w:eastAsia="仿宋_GB2312" w:cs="Times New Roman"/>
          <w:kern w:val="0"/>
          <w:sz w:val="32"/>
          <w:szCs w:val="32"/>
          <w:lang w:val="en-US" w:eastAsia="zh-CN"/>
        </w:rPr>
        <w:t>。</w:t>
      </w:r>
    </w:p>
    <w:p>
      <w:pPr>
        <w:numPr>
          <w:ilvl w:val="0"/>
          <w:numId w:val="0"/>
        </w:numPr>
        <w:autoSpaceDE w:val="0"/>
        <w:autoSpaceDN w:val="0"/>
        <w:adjustRightInd w:val="0"/>
        <w:spacing w:line="600" w:lineRule="exact"/>
        <w:ind w:firstLine="643" w:firstLineChars="200"/>
        <w:jc w:val="left"/>
        <w:rPr>
          <w:rFonts w:ascii="Times New Roman" w:hAnsi="Times New Roman" w:eastAsia="黑体"/>
          <w:kern w:val="0"/>
          <w:sz w:val="32"/>
          <w:szCs w:val="32"/>
        </w:rPr>
      </w:pPr>
      <w:r>
        <w:rPr>
          <w:rFonts w:hint="eastAsia" w:ascii="楷体_GB2312" w:hAnsi="宋体" w:eastAsia="楷体_GB2312"/>
          <w:b/>
          <w:lang w:val="zh-CN"/>
        </w:rPr>
        <w:t>（二）项目效益情况。</w:t>
      </w:r>
      <w:r>
        <w:rPr>
          <w:rFonts w:hint="eastAsia" w:ascii="Times New Roman" w:hAnsi="Times New Roman" w:eastAsia="仿宋_GB2312" w:cs="Times New Roman"/>
          <w:kern w:val="0"/>
          <w:sz w:val="32"/>
          <w:szCs w:val="32"/>
        </w:rPr>
        <w:t>推进了绩效评价工作的客观性、公正性、规范性；健全全过程预算绩效管理机制，强化预算绩效目标管理工作，提高财政支出绩效。</w:t>
      </w:r>
      <w:r>
        <w:rPr>
          <w:rFonts w:hint="eastAsia" w:ascii="Times New Roman" w:hAnsi="Times New Roman" w:eastAsia="仿宋_GB2312" w:cs="Times New Roman"/>
          <w:kern w:val="0"/>
          <w:sz w:val="32"/>
          <w:szCs w:val="32"/>
          <w:lang w:val="en-US" w:eastAsia="zh-CN"/>
        </w:rPr>
        <w:t>学校、家长、</w:t>
      </w:r>
      <w:r>
        <w:rPr>
          <w:rFonts w:hint="eastAsia" w:ascii="Times New Roman" w:hAnsi="Times New Roman" w:eastAsia="仿宋_GB2312" w:cs="Times New Roman"/>
          <w:kern w:val="0"/>
          <w:sz w:val="32"/>
          <w:szCs w:val="32"/>
        </w:rPr>
        <w:t>社会满意度达到了9</w:t>
      </w:r>
      <w:r>
        <w:rPr>
          <w:rFonts w:hint="eastAsia" w:ascii="Times New Roman" w:hAnsi="Times New Roman" w:eastAsia="仿宋_GB2312" w:cs="Times New Roman"/>
          <w:kern w:val="0"/>
          <w:sz w:val="32"/>
          <w:szCs w:val="32"/>
          <w:lang w:val="en-US" w:eastAsia="zh-CN"/>
        </w:rPr>
        <w:t>5</w:t>
      </w:r>
      <w:r>
        <w:rPr>
          <w:rFonts w:hint="eastAsia" w:ascii="Times New Roman" w:hAnsi="Times New Roman" w:eastAsia="仿宋_GB2312" w:cs="Times New Roman"/>
          <w:kern w:val="0"/>
          <w:sz w:val="32"/>
          <w:szCs w:val="32"/>
        </w:rPr>
        <w:t>%以上。</w:t>
      </w:r>
    </w:p>
    <w:p>
      <w:pPr>
        <w:numPr>
          <w:ilvl w:val="0"/>
          <w:numId w:val="0"/>
        </w:numPr>
        <w:adjustRightInd w:val="0"/>
        <w:snapToGrid w:val="0"/>
        <w:spacing w:line="560" w:lineRule="exact"/>
        <w:ind w:firstLine="640" w:firstLineChars="200"/>
        <w:jc w:val="left"/>
        <w:rPr>
          <w:rFonts w:hint="eastAsia" w:ascii="黑体" w:hAnsi="宋体" w:eastAsia="黑体"/>
        </w:rPr>
      </w:pPr>
      <w:r>
        <w:rPr>
          <w:rFonts w:hint="eastAsia" w:ascii="黑体" w:hAnsi="宋体" w:eastAsia="黑体"/>
        </w:rPr>
        <w:t>四、问题及建议</w:t>
      </w:r>
    </w:p>
    <w:p>
      <w:pPr>
        <w:numPr>
          <w:ilvl w:val="0"/>
          <w:numId w:val="0"/>
        </w:numPr>
        <w:adjustRightInd w:val="0"/>
        <w:snapToGrid w:val="0"/>
        <w:spacing w:line="560" w:lineRule="exact"/>
        <w:ind w:firstLine="643" w:firstLineChars="200"/>
        <w:jc w:val="left"/>
        <w:rPr>
          <w:rFonts w:hint="eastAsia" w:ascii="楷体_GB2312" w:hAnsi="宋体" w:eastAsia="楷体_GB2312"/>
          <w:b/>
          <w:lang w:val="zh-CN"/>
        </w:rPr>
      </w:pPr>
      <w:r>
        <w:rPr>
          <w:rFonts w:hint="eastAsia" w:ascii="楷体_GB2312" w:hAnsi="宋体" w:eastAsia="楷体_GB2312"/>
          <w:b/>
          <w:lang w:val="zh-CN"/>
        </w:rPr>
        <w:t>（一）存在的问题。</w:t>
      </w:r>
    </w:p>
    <w:p>
      <w:pPr>
        <w:numPr>
          <w:ilvl w:val="0"/>
          <w:numId w:val="0"/>
        </w:numPr>
        <w:adjustRightInd w:val="0"/>
        <w:snapToGrid w:val="0"/>
        <w:spacing w:line="560" w:lineRule="exact"/>
        <w:ind w:firstLine="643" w:firstLineChars="200"/>
        <w:jc w:val="left"/>
        <w:rPr>
          <w:rFonts w:hint="eastAsia" w:ascii="楷体_GB2312" w:hAnsi="宋体" w:eastAsia="楷体_GB2312"/>
          <w:b/>
          <w:lang w:val="en-US" w:eastAsia="zh-CN"/>
        </w:rPr>
      </w:pPr>
      <w:r>
        <w:rPr>
          <w:rFonts w:hint="eastAsia" w:ascii="楷体_GB2312" w:hAnsi="宋体" w:eastAsia="楷体_GB2312"/>
          <w:b/>
          <w:lang w:val="en-US" w:eastAsia="zh-CN"/>
        </w:rPr>
        <w:t>无。</w:t>
      </w:r>
    </w:p>
    <w:p>
      <w:pPr>
        <w:numPr>
          <w:ilvl w:val="0"/>
          <w:numId w:val="1"/>
        </w:numPr>
        <w:adjustRightInd w:val="0"/>
        <w:snapToGrid w:val="0"/>
        <w:spacing w:line="560" w:lineRule="exact"/>
        <w:ind w:left="0" w:leftChars="0" w:firstLine="643" w:firstLineChars="200"/>
        <w:jc w:val="left"/>
        <w:rPr>
          <w:rFonts w:hint="eastAsia" w:ascii="楷体_GB2312" w:hAnsi="宋体" w:eastAsia="楷体_GB2312"/>
          <w:b/>
          <w:lang w:val="zh-CN"/>
        </w:rPr>
      </w:pPr>
      <w:r>
        <w:rPr>
          <w:rFonts w:hint="eastAsia" w:ascii="楷体_GB2312" w:hAnsi="宋体" w:eastAsia="楷体_GB2312"/>
          <w:b/>
          <w:lang w:val="zh-CN"/>
        </w:rPr>
        <w:t>相关建议。</w:t>
      </w:r>
    </w:p>
    <w:p>
      <w:pPr>
        <w:numPr>
          <w:ilvl w:val="0"/>
          <w:numId w:val="0"/>
        </w:numPr>
        <w:adjustRightInd w:val="0"/>
        <w:snapToGrid w:val="0"/>
        <w:spacing w:line="560" w:lineRule="exact"/>
        <w:ind w:firstLine="643" w:firstLineChars="200"/>
        <w:jc w:val="left"/>
        <w:rPr>
          <w:rFonts w:hint="default" w:ascii="楷体_GB2312" w:hAnsi="宋体" w:eastAsia="楷体_GB2312"/>
          <w:b/>
          <w:lang w:val="en-US" w:eastAsia="zh-CN"/>
        </w:rPr>
      </w:pPr>
      <w:r>
        <w:rPr>
          <w:rFonts w:hint="eastAsia" w:ascii="楷体_GB2312" w:hAnsi="宋体" w:eastAsia="楷体_GB2312"/>
          <w:b/>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D81C7"/>
    <w:multiLevelType w:val="singleLevel"/>
    <w:tmpl w:val="FFAD81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kY2U5OTRkYWQ0MDY4MTFiYmMyOGRiMmE4ZTNiZjcifQ=="/>
  </w:docVars>
  <w:rsids>
    <w:rsidRoot w:val="291C455A"/>
    <w:rsid w:val="003414A3"/>
    <w:rsid w:val="00490474"/>
    <w:rsid w:val="00515A0C"/>
    <w:rsid w:val="00866E99"/>
    <w:rsid w:val="00FA5FA5"/>
    <w:rsid w:val="0EDB478C"/>
    <w:rsid w:val="25FDD5A3"/>
    <w:rsid w:val="291C455A"/>
    <w:rsid w:val="36926D0C"/>
    <w:rsid w:val="3A8E655E"/>
    <w:rsid w:val="41744CBA"/>
    <w:rsid w:val="45B95C54"/>
    <w:rsid w:val="4DAF2BCF"/>
    <w:rsid w:val="4DDB6F66"/>
    <w:rsid w:val="5497205B"/>
    <w:rsid w:val="57C966F7"/>
    <w:rsid w:val="57DF747F"/>
    <w:rsid w:val="5F60661D"/>
    <w:rsid w:val="5FBBC624"/>
    <w:rsid w:val="67302E47"/>
    <w:rsid w:val="737D4B99"/>
    <w:rsid w:val="74DFB401"/>
    <w:rsid w:val="792F2AEE"/>
    <w:rsid w:val="7E5DF372"/>
    <w:rsid w:val="BFFE83F2"/>
    <w:rsid w:val="D7FDD76B"/>
    <w:rsid w:val="FABF518B"/>
    <w:rsid w:val="FD9575F3"/>
    <w:rsid w:val="FDDF1638"/>
    <w:rsid w:val="FDF91D63"/>
    <w:rsid w:val="FEF608D4"/>
    <w:rsid w:val="FFFDD935"/>
    <w:rsid w:val="FFFF9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四号正文"/>
    <w:basedOn w:val="1"/>
    <w:autoRedefine/>
    <w:qFormat/>
    <w:uiPriority w:val="0"/>
    <w:pPr>
      <w:spacing w:line="360" w:lineRule="auto"/>
    </w:pPr>
    <w:rPr>
      <w:rFonts w:ascii="??" w:hAnsi="??" w:eastAsia="宋体"/>
      <w:color w:val="000000"/>
      <w:kern w:val="0"/>
      <w:sz w:val="28"/>
      <w:szCs w:val="21"/>
      <w:lang w:val="zh-CN"/>
    </w:rPr>
  </w:style>
  <w:style w:type="character" w:customStyle="1" w:styleId="7">
    <w:name w:val="页眉 Char"/>
    <w:basedOn w:val="5"/>
    <w:link w:val="3"/>
    <w:autoRedefine/>
    <w:qFormat/>
    <w:uiPriority w:val="0"/>
    <w:rPr>
      <w:rFonts w:ascii="Times New Roman" w:hAnsi="Times New Roman" w:eastAsia="仿宋_GB2312" w:cs="Times New Roman"/>
      <w:kern w:val="2"/>
      <w:sz w:val="18"/>
      <w:szCs w:val="18"/>
    </w:rPr>
  </w:style>
  <w:style w:type="character" w:customStyle="1" w:styleId="8">
    <w:name w:val="页脚 Char"/>
    <w:basedOn w:val="5"/>
    <w:link w:val="2"/>
    <w:autoRedefine/>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132</Words>
  <Characters>753</Characters>
  <Lines>6</Lines>
  <Paragraphs>1</Paragraphs>
  <TotalTime>6</TotalTime>
  <ScaleCrop>false</ScaleCrop>
  <LinksUpToDate>false</LinksUpToDate>
  <CharactersWithSpaces>884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2020-07-01T16:19:00Z</dcterms:created>
  <dc:creator>Administrator</dc:creator>
  <cp:lastModifiedBy>王玉桂</cp:lastModifiedBy>
  <dcterms:modified xsi:type="dcterms:W3CDTF">2024-05-17T01:19:08Z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FF2FCB377FBD70A55D5F446692E5D754</vt:lpwstr>
  </property>
</Properties>
</file>