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班主任津贴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6"/>
        <w:spacing w:line="560" w:lineRule="exact"/>
        <w:ind w:firstLine="640"/>
        <w:jc w:val="both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仁和区教育和体育局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各学校上报的班主任教师名单以及发放标准进行审核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根据攀委发【2019】15号《攀枝花市全面深化新时代教师队伍建设改革的实施办法》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教体局统一进行预算，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由区财政向全区班主任教师进行发放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0" w:firstLineChars="3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按照每班6000元/年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执行。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964" w:firstLineChars="3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en-US" w:eastAsia="zh-CN"/>
        </w:rPr>
        <w:t>2023年初对实施中小学班主任津贴项目资金教体局进行了申报、人大审议通过，区财政局进行预算批复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宋体"/>
          <w:lang w:val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为完善教师收入分配激励机制，攀委发【2019】15号《攀枝花市全面深化新时代教师队伍建设改革的实施办法》一文中在绩效工资中设立中小学班主任津贴，标准为500元/人/月，并相应核增绩效工资总额（中小学班主任津贴总额按照班级数核算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年全区中小学预计有</w:t>
      </w:r>
      <w:r>
        <w:rPr>
          <w:rFonts w:hint="eastAsia"/>
          <w:kern w:val="0"/>
          <w:sz w:val="32"/>
          <w:szCs w:val="32"/>
          <w:lang w:val="en-US" w:eastAsia="zh-CN"/>
        </w:rPr>
        <w:t>523.5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个班级，需班主任津贴</w:t>
      </w:r>
      <w:r>
        <w:rPr>
          <w:rFonts w:hint="eastAsia"/>
          <w:kern w:val="0"/>
          <w:sz w:val="32"/>
          <w:szCs w:val="32"/>
          <w:lang w:val="en-US" w:eastAsia="zh-CN"/>
        </w:rPr>
        <w:t>314.1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eastAsia="zh-CN"/>
        </w:rPr>
        <w:t>项目资金</w:t>
      </w:r>
      <w:r>
        <w:rPr>
          <w:rFonts w:ascii="Times New Roman" w:hAnsi="Times New Roman" w:eastAsia="仿宋_GB2312"/>
          <w:kern w:val="0"/>
          <w:sz w:val="32"/>
          <w:szCs w:val="32"/>
        </w:rPr>
        <w:t>申报内容与实际相符，合理可行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1．资金计划。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中小学班主任津贴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项目资金由区级财政承担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100%，202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年全区中小学预计有5</w:t>
      </w:r>
      <w:r>
        <w:rPr>
          <w:rFonts w:hint="eastAsia"/>
          <w:kern w:val="0"/>
          <w:sz w:val="32"/>
          <w:szCs w:val="32"/>
          <w:lang w:val="en-US" w:eastAsia="zh-CN"/>
        </w:rPr>
        <w:t>23.5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个班级，需班主任津贴</w:t>
      </w:r>
      <w:r>
        <w:rPr>
          <w:rFonts w:hint="eastAsia"/>
          <w:kern w:val="0"/>
          <w:sz w:val="32"/>
          <w:szCs w:val="32"/>
          <w:lang w:val="en-US" w:eastAsia="zh-CN"/>
        </w:rPr>
        <w:t>314.1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2．资金到位。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资金发放明细目前已经录入平台，财政支付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3．资金使用。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目前资金</w:t>
      </w:r>
      <w:r>
        <w:rPr>
          <w:rFonts w:hint="eastAsia"/>
          <w:kern w:val="0"/>
          <w:sz w:val="32"/>
          <w:szCs w:val="32"/>
          <w:lang w:val="en-US" w:eastAsia="zh-CN"/>
        </w:rPr>
        <w:t>支付完成。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前期资金审批过程</w:t>
      </w:r>
      <w:r>
        <w:rPr>
          <w:rFonts w:ascii="Times New Roman" w:hAnsi="Times New Roman" w:eastAsia="仿宋_GB2312"/>
          <w:kern w:val="0"/>
          <w:sz w:val="32"/>
          <w:szCs w:val="32"/>
        </w:rPr>
        <w:t>安全、规范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资金仅向班主任发放，标准为6000元/班.年，支付流程合规合法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全区中小学预计有</w:t>
      </w:r>
      <w:r>
        <w:rPr>
          <w:rFonts w:hint="eastAsia"/>
          <w:kern w:val="0"/>
          <w:sz w:val="32"/>
          <w:szCs w:val="32"/>
          <w:lang w:val="en-US" w:eastAsia="zh-CN"/>
        </w:rPr>
        <w:t>523.5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个班级，需班主任津贴</w:t>
      </w:r>
      <w:r>
        <w:rPr>
          <w:rFonts w:hint="eastAsia"/>
          <w:kern w:val="0"/>
          <w:sz w:val="32"/>
          <w:szCs w:val="32"/>
          <w:lang w:val="en-US" w:eastAsia="zh-CN"/>
        </w:rPr>
        <w:t>314.1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单位财务管理健全，严格执行财务管理制度，账务处理及时，会计核算规范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严格按照《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攀枝花市全面深化新时代教师队伍建设改革的实施办法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》进行</w:t>
      </w:r>
      <w:r>
        <w:rPr>
          <w:rFonts w:hint="eastAsia"/>
          <w:kern w:val="0"/>
          <w:sz w:val="32"/>
          <w:szCs w:val="32"/>
          <w:lang w:eastAsia="zh-CN"/>
        </w:rPr>
        <w:t>资金管理和使用，按项目预算进行划拨和使用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年全区中小学实有</w:t>
      </w:r>
      <w:r>
        <w:rPr>
          <w:rFonts w:hint="eastAsia"/>
          <w:kern w:val="0"/>
          <w:sz w:val="32"/>
          <w:szCs w:val="32"/>
          <w:lang w:val="en-US" w:eastAsia="zh-CN"/>
        </w:rPr>
        <w:t>523.5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个班级，</w:t>
      </w:r>
      <w:r>
        <w:rPr>
          <w:rFonts w:hint="eastAsia"/>
          <w:kern w:val="0"/>
          <w:sz w:val="32"/>
          <w:szCs w:val="32"/>
          <w:lang w:val="en-US" w:eastAsia="zh-CN"/>
        </w:rPr>
        <w:t>应该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拨付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班主任津贴</w:t>
      </w:r>
      <w:r>
        <w:rPr>
          <w:rFonts w:hint="eastAsia"/>
          <w:kern w:val="0"/>
          <w:sz w:val="32"/>
          <w:szCs w:val="32"/>
          <w:lang w:val="en-US" w:eastAsia="zh-CN"/>
        </w:rPr>
        <w:t>314.1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万元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有效体现教师工作量和工作绩效，切实做到多劳多得、优绩优酬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有利于班主任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认真履行班主任工作职责、完成班级学生管理目标任务；对不负责任、玩忽职守，造成严重教学事故或负面影响的；因事、因病缺岗超过规定天数的班主任，不予发放</w:t>
      </w:r>
      <w:r>
        <w:rPr>
          <w:rFonts w:hint="eastAsia"/>
          <w:kern w:val="0"/>
          <w:sz w:val="32"/>
          <w:szCs w:val="32"/>
          <w:lang w:eastAsia="zh-CN"/>
        </w:rPr>
        <w:t>。</w:t>
      </w:r>
      <w:r>
        <w:rPr>
          <w:rFonts w:hint="eastAsia"/>
          <w:kern w:val="0"/>
          <w:sz w:val="32"/>
          <w:szCs w:val="32"/>
          <w:lang w:val="en-US" w:eastAsia="zh-CN"/>
        </w:rPr>
        <w:t>2023年全区班主任津贴发放到位</w:t>
      </w:r>
      <w:bookmarkStart w:id="0" w:name="_GoBack"/>
      <w:bookmarkEnd w:id="0"/>
      <w:r>
        <w:rPr>
          <w:rFonts w:hint="eastAsia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班主任是学校德育工作者，是教育和教学的基础力量，是学生健康成长的指导者和成才的引路人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更好地激发班主任工作积极性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完善中小学教师待遇保障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加强队伍建设，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才能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提升教育质量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教师满意度和社会满意度均高于95%。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en-US" w:eastAsia="zh-CN"/>
        </w:rPr>
      </w:pPr>
      <w:r>
        <w:rPr>
          <w:rFonts w:hint="eastAsia" w:ascii="楷体_GB2312" w:hAnsi="宋体" w:eastAsia="楷体_GB2312"/>
          <w:b/>
          <w:lang w:val="en-US" w:eastAsia="zh-CN"/>
        </w:rPr>
        <w:t xml:space="preserve">     无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left="0" w:leftChars="0" w:firstLine="720" w:firstLineChars="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相关建议。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="720" w:leftChars="0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 xml:space="preserve">     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F4FBE"/>
    <w:multiLevelType w:val="singleLevel"/>
    <w:tmpl w:val="AF4F4FB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400871"/>
    <w:multiLevelType w:val="singleLevel"/>
    <w:tmpl w:val="2C4008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7C592F"/>
    <w:multiLevelType w:val="singleLevel"/>
    <w:tmpl w:val="7A7C59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2Q2NzQxZjE4MzA3ZGRlOGYxN2Y1NmYxN2E2YjkifQ=="/>
  </w:docVars>
  <w:rsids>
    <w:rsidRoot w:val="291C455A"/>
    <w:rsid w:val="003414A3"/>
    <w:rsid w:val="00490474"/>
    <w:rsid w:val="00515A0C"/>
    <w:rsid w:val="00866E99"/>
    <w:rsid w:val="00FA5FA5"/>
    <w:rsid w:val="0EDB478C"/>
    <w:rsid w:val="291C455A"/>
    <w:rsid w:val="36926D0C"/>
    <w:rsid w:val="38286B33"/>
    <w:rsid w:val="444F5882"/>
    <w:rsid w:val="4A21443A"/>
    <w:rsid w:val="4DAF2BCF"/>
    <w:rsid w:val="4DDB6F66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张晓春</cp:lastModifiedBy>
  <dcterms:modified xsi:type="dcterms:W3CDTF">2024-05-16T08:34:59Z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37AB5441F8464A27A92ADD3B0F807CE3</vt:lpwstr>
  </property>
</Properties>
</file>