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lang w:val="en-US" w:eastAsia="zh-CN"/>
        </w:rPr>
      </w:pPr>
      <w:r>
        <w:rPr>
          <w:rFonts w:eastAsia="黑体"/>
        </w:rPr>
        <w:t>附件</w:t>
      </w:r>
      <w:r>
        <w:rPr>
          <w:rFonts w:hint="eastAsia" w:eastAsia="黑体"/>
          <w:lang w:val="en-US" w:eastAsia="zh-CN"/>
        </w:rPr>
        <w:t>3</w:t>
      </w:r>
    </w:p>
    <w:p>
      <w:pPr>
        <w:pStyle w:val="6"/>
        <w:spacing w:line="600" w:lineRule="exact"/>
        <w:rPr>
          <w:rFonts w:ascii="Times New Roman" w:hAnsi="Times New Roman" w:eastAsia="方正小标宋简体"/>
          <w:color w:val="auto"/>
          <w:kern w:val="2"/>
          <w:sz w:val="40"/>
          <w:szCs w:val="40"/>
          <w:lang w:val="en-US"/>
        </w:rPr>
      </w:pPr>
    </w:p>
    <w:p>
      <w:pPr>
        <w:pStyle w:val="6"/>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项目支出绩效自评报告</w:t>
      </w:r>
    </w:p>
    <w:p>
      <w:pPr>
        <w:pStyle w:val="6"/>
        <w:spacing w:line="600" w:lineRule="exact"/>
        <w:ind w:firstLine="883"/>
        <w:jc w:val="both"/>
        <w:rPr>
          <w:rFonts w:ascii="Times New Roman" w:hAnsi="Times New Roman" w:eastAsia="仿宋_GB2312"/>
          <w:color w:val="auto"/>
          <w:kern w:val="2"/>
          <w:sz w:val="32"/>
          <w:szCs w:val="32"/>
        </w:rPr>
      </w:pPr>
    </w:p>
    <w:p>
      <w:pPr>
        <w:pStyle w:val="6"/>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lang w:val="zh-CN"/>
        </w:rPr>
      </w:pPr>
      <w:r>
        <w:rPr>
          <w:rFonts w:eastAsia="黑体"/>
        </w:rPr>
        <w:t>一、</w:t>
      </w:r>
      <w:r>
        <w:rPr>
          <w:rFonts w:eastAsia="黑体"/>
          <w:lang w:val="zh-CN"/>
        </w:rPr>
        <w:t>项目概况</w:t>
      </w:r>
    </w:p>
    <w:p>
      <w:pPr>
        <w:adjustRightInd w:val="0"/>
        <w:snapToGrid w:val="0"/>
        <w:spacing w:line="600" w:lineRule="exact"/>
        <w:ind w:firstLine="720"/>
        <w:rPr>
          <w:rFonts w:eastAsia="楷体_GB2312"/>
          <w:b/>
          <w:lang w:val="zh-CN"/>
        </w:rPr>
      </w:pPr>
      <w:r>
        <w:rPr>
          <w:rFonts w:eastAsia="楷体_GB2312"/>
          <w:b/>
          <w:lang w:val="zh-CN"/>
        </w:rPr>
        <w:t>（一）项目基本情况。</w:t>
      </w:r>
    </w:p>
    <w:p>
      <w:pPr>
        <w:adjustRightInd w:val="0"/>
        <w:snapToGrid w:val="0"/>
        <w:spacing w:line="600" w:lineRule="exact"/>
        <w:ind w:firstLine="720"/>
        <w:rPr>
          <w:rFonts w:hint="eastAsia" w:eastAsia="仿宋_GB2312"/>
          <w:lang w:val="zh-CN" w:eastAsia="zh-CN"/>
        </w:rPr>
      </w:pPr>
      <w:r>
        <w:rPr>
          <w:lang w:val="zh-CN"/>
        </w:rPr>
        <w:t>1．</w:t>
      </w:r>
      <w:r>
        <w:rPr>
          <w:rFonts w:hint="eastAsia"/>
          <w:lang w:val="zh-CN" w:eastAsia="zh-CN"/>
        </w:rPr>
        <w:t>攀枝花市仁和区南山循环经济发展区服务中心项目管理职能：项目资金的申报、资金管理、项目招投标、项目建设管理、项目竣工验收、项目资金支付等职能。</w:t>
      </w:r>
    </w:p>
    <w:p>
      <w:pPr>
        <w:adjustRightInd w:val="0"/>
        <w:snapToGrid w:val="0"/>
        <w:spacing w:line="600" w:lineRule="exact"/>
        <w:ind w:firstLine="720"/>
        <w:rPr>
          <w:rFonts w:hint="default" w:eastAsia="仿宋_GB2312"/>
          <w:lang w:val="en-US" w:eastAsia="zh-CN"/>
        </w:rPr>
      </w:pPr>
      <w:r>
        <w:rPr>
          <w:lang w:val="zh-CN"/>
        </w:rPr>
        <w:t xml:space="preserve">2. </w:t>
      </w:r>
      <w:r>
        <w:rPr>
          <w:rFonts w:hint="eastAsia"/>
          <w:lang w:val="en-US" w:eastAsia="zh-CN"/>
        </w:rPr>
        <w:t>2023年根据区政府招商工作安排及相关可研报告、立项批复等依据申请了南山园区美亚迪公司厂房租金项目、2022年省级绿色低碳优势产业重点园区补助资金项目、攀枝花钒钛化工园区迤资片区基础设施建设项目。</w:t>
      </w:r>
    </w:p>
    <w:p>
      <w:pPr>
        <w:adjustRightInd w:val="0"/>
        <w:snapToGrid w:val="0"/>
        <w:spacing w:line="600" w:lineRule="exact"/>
        <w:ind w:firstLine="720"/>
        <w:rPr>
          <w:rFonts w:hint="eastAsia" w:eastAsia="仿宋_GB2312"/>
          <w:lang w:val="zh-CN" w:eastAsia="zh-CN"/>
        </w:rPr>
      </w:pPr>
      <w:r>
        <w:rPr>
          <w:lang w:val="zh-CN"/>
        </w:rPr>
        <w:t>3．</w:t>
      </w:r>
      <w:r>
        <w:rPr>
          <w:rFonts w:hint="eastAsia"/>
          <w:lang w:val="zh-CN" w:eastAsia="zh-CN"/>
        </w:rPr>
        <w:t>制定了项目资金管理办法，项目资金严格按照项目进度支付，资金支付范围符合申报资金的实施内容。</w:t>
      </w:r>
    </w:p>
    <w:p>
      <w:pPr>
        <w:adjustRightInd w:val="0"/>
        <w:snapToGrid w:val="0"/>
        <w:spacing w:line="600" w:lineRule="exact"/>
        <w:ind w:firstLine="720"/>
        <w:rPr>
          <w:lang w:val="zh-CN"/>
        </w:rPr>
      </w:pPr>
      <w:r>
        <w:rPr>
          <w:lang w:val="zh-CN"/>
        </w:rPr>
        <w:t xml:space="preserve">4. </w:t>
      </w:r>
      <w:r>
        <w:rPr>
          <w:rFonts w:hint="eastAsia"/>
          <w:lang w:val="zh-CN"/>
        </w:rPr>
        <w:t>资金分配原则按照资金申报方案执行，严格</w:t>
      </w:r>
      <w:r>
        <w:rPr>
          <w:rFonts w:hint="eastAsia"/>
          <w:lang w:val="zh-CN" w:eastAsia="zh-CN"/>
        </w:rPr>
        <w:t>专</w:t>
      </w:r>
      <w:r>
        <w:rPr>
          <w:rFonts w:hint="eastAsia"/>
          <w:lang w:val="zh-CN"/>
        </w:rPr>
        <w:t>款专用。</w:t>
      </w:r>
    </w:p>
    <w:p>
      <w:pPr>
        <w:adjustRightInd w:val="0"/>
        <w:snapToGrid w:val="0"/>
        <w:spacing w:line="600" w:lineRule="exact"/>
        <w:ind w:firstLine="720"/>
        <w:rPr>
          <w:rFonts w:eastAsia="楷体_GB2312"/>
          <w:b/>
          <w:lang w:val="zh-CN"/>
        </w:rPr>
      </w:pPr>
      <w:r>
        <w:rPr>
          <w:rFonts w:eastAsia="楷体_GB2312"/>
          <w:b/>
          <w:lang w:val="zh-CN"/>
        </w:rPr>
        <w:t>（二）项目绩效目标。</w:t>
      </w:r>
    </w:p>
    <w:p>
      <w:pPr>
        <w:adjustRightInd w:val="0"/>
        <w:snapToGrid w:val="0"/>
        <w:spacing w:line="600" w:lineRule="exact"/>
        <w:ind w:firstLine="720"/>
        <w:rPr>
          <w:lang w:val="zh-CN"/>
        </w:rPr>
      </w:pPr>
      <w:r>
        <w:rPr>
          <w:lang w:val="zh-CN"/>
        </w:rPr>
        <w:t>1. 项目主要内容。</w:t>
      </w:r>
      <w:r>
        <w:rPr>
          <w:rFonts w:hint="eastAsia"/>
          <w:lang w:val="en-US" w:eastAsia="zh-CN"/>
        </w:rPr>
        <w:t>南山园区美亚迪公司厂房租金项目主要是根据招商引资政策为园区美亚迪公司租赁厂房；2022年省级绿色低碳优势产业重点园区补助资金主要用于南山园区建设绿色标准化厂房配套设施建设补助；攀枝花钒钛化工园区迤资片区基础设施建设资金主要用于化工园区迤资片区基础设施建设。</w:t>
      </w:r>
    </w:p>
    <w:p>
      <w:pPr>
        <w:adjustRightInd w:val="0"/>
        <w:snapToGrid w:val="0"/>
        <w:spacing w:line="600" w:lineRule="exact"/>
        <w:ind w:firstLine="720"/>
        <w:rPr>
          <w:rFonts w:hint="eastAsia" w:eastAsia="仿宋_GB2312"/>
          <w:lang w:val="zh-CN" w:eastAsia="zh-CN"/>
        </w:rPr>
      </w:pPr>
      <w:r>
        <w:rPr>
          <w:lang w:val="zh-CN"/>
        </w:rPr>
        <w:t>2. 项目应实现的具体绩效目标，包括目标的量化、细化情况以及项目实施进度计划等。</w:t>
      </w:r>
      <w:r>
        <w:rPr>
          <w:rFonts w:hint="eastAsia"/>
          <w:lang w:val="en-US" w:eastAsia="zh-CN"/>
        </w:rPr>
        <w:t>南山园区美亚迪公司厂房租金项目是用于为美亚迪公司租赁厂房，租赁厂房</w:t>
      </w:r>
      <w:r>
        <w:rPr>
          <w:rFonts w:hint="eastAsia" w:ascii="仿宋_GB2312" w:hAnsi="仿宋_GB2312" w:eastAsia="仿宋_GB2312" w:cs="仿宋_GB2312"/>
          <w:sz w:val="28"/>
          <w:szCs w:val="28"/>
          <w:lang w:val="en-US" w:eastAsia="zh-CN"/>
        </w:rPr>
        <w:t>13940.70</w:t>
      </w:r>
      <w:r>
        <w:rPr>
          <w:rFonts w:hint="eastAsia" w:ascii="仿宋_GB2312" w:hAnsi="仿宋_GB2312" w:eastAsia="仿宋_GB2312" w:cs="仿宋_GB2312"/>
          <w:sz w:val="28"/>
          <w:szCs w:val="28"/>
        </w:rPr>
        <w:t>㎡</w:t>
      </w:r>
      <w:r>
        <w:rPr>
          <w:rFonts w:hint="eastAsia" w:ascii="仿宋_GB2312" w:hAnsi="仿宋_GB2312" w:cs="仿宋_GB2312"/>
          <w:sz w:val="28"/>
          <w:szCs w:val="28"/>
          <w:lang w:eastAsia="zh-CN"/>
        </w:rPr>
        <w:t>。</w:t>
      </w:r>
      <w:r>
        <w:rPr>
          <w:rFonts w:hint="eastAsia"/>
          <w:lang w:val="en-US" w:eastAsia="zh-CN"/>
        </w:rPr>
        <w:t>2022年省级绿色低碳优势产业重点园区补助资金主要是用于支付新建标准化厂房26200平米的补助。攀枝花钒钛化工园区迤资片区基础设施建设项目资金主要用于：新建迤资突发环境应急指挥中心，标准化厂房20000平米，危险化学品运输车辆专用停车场等2500平方米，建设配套供水加压泵站一个，供水管网5公里、10KV高压供电线路6公里，配套建设道路2.5公里，配套建设应急信息化监管平台、突发环境应急指挥中心、封闭化管理系统等相关配套设施，化工园区环保设施配套管网、化工园区研发中心。</w:t>
      </w:r>
    </w:p>
    <w:p>
      <w:pPr>
        <w:adjustRightInd w:val="0"/>
        <w:snapToGrid w:val="0"/>
        <w:spacing w:line="600" w:lineRule="exact"/>
        <w:ind w:firstLine="720"/>
        <w:rPr>
          <w:rFonts w:hint="eastAsia" w:eastAsia="仿宋_GB2312"/>
          <w:lang w:val="zh-CN" w:eastAsia="zh-CN"/>
        </w:rPr>
      </w:pPr>
      <w:r>
        <w:rPr>
          <w:lang w:val="zh-CN"/>
        </w:rPr>
        <w:t>3. 分析评价申报内容是否与实际相符，申报目标是否合理可行。</w:t>
      </w:r>
      <w:r>
        <w:rPr>
          <w:rFonts w:hint="eastAsia"/>
          <w:lang w:val="zh-CN" w:eastAsia="zh-CN"/>
        </w:rPr>
        <w:t>上述项目申报内容与实际相符，申报目标合理可行。</w:t>
      </w:r>
    </w:p>
    <w:p>
      <w:pPr>
        <w:adjustRightInd w:val="0"/>
        <w:snapToGrid w:val="0"/>
        <w:spacing w:line="600" w:lineRule="exact"/>
        <w:ind w:firstLine="720"/>
        <w:rPr>
          <w:rFonts w:eastAsia="楷体_GB2312"/>
          <w:b/>
          <w:lang w:val="zh-CN"/>
        </w:rPr>
      </w:pPr>
      <w:r>
        <w:rPr>
          <w:rFonts w:eastAsia="楷体_GB2312"/>
          <w:b/>
          <w:lang w:val="zh-CN"/>
        </w:rPr>
        <w:t>（三）项目自评步骤及方法。</w:t>
      </w:r>
    </w:p>
    <w:p>
      <w:pPr>
        <w:adjustRightInd w:val="0"/>
        <w:snapToGrid w:val="0"/>
        <w:spacing w:line="600" w:lineRule="exact"/>
        <w:ind w:firstLine="720"/>
        <w:rPr>
          <w:lang w:val="zh-CN"/>
        </w:rPr>
      </w:pPr>
      <w:r>
        <w:rPr>
          <w:rFonts w:hint="eastAsia"/>
          <w:lang w:val="zh-CN"/>
        </w:rPr>
        <w:t>结合项目申报方案、项目支出绩效等对项目实施进行自评。</w:t>
      </w:r>
    </w:p>
    <w:p>
      <w:pPr>
        <w:adjustRightInd w:val="0"/>
        <w:snapToGrid w:val="0"/>
        <w:spacing w:line="600" w:lineRule="exact"/>
        <w:ind w:firstLine="720"/>
        <w:rPr>
          <w:rFonts w:eastAsia="黑体"/>
        </w:rPr>
      </w:pPr>
      <w:r>
        <w:rPr>
          <w:rFonts w:eastAsia="黑体"/>
        </w:rPr>
        <w:t>二、项目资金申报及使用情况</w:t>
      </w:r>
    </w:p>
    <w:p>
      <w:pPr>
        <w:adjustRightInd w:val="0"/>
        <w:snapToGrid w:val="0"/>
        <w:spacing w:line="600" w:lineRule="exact"/>
        <w:ind w:firstLine="720"/>
        <w:rPr>
          <w:rFonts w:eastAsia="楷体_GB2312"/>
          <w:b/>
          <w:lang w:val="zh-CN"/>
        </w:rPr>
      </w:pPr>
      <w:r>
        <w:rPr>
          <w:rFonts w:eastAsia="楷体_GB2312"/>
          <w:b/>
          <w:lang w:val="zh-CN"/>
        </w:rPr>
        <w:t>（一）项目资金申报及批复情况。</w:t>
      </w:r>
    </w:p>
    <w:p>
      <w:pPr>
        <w:adjustRightInd w:val="0"/>
        <w:snapToGrid w:val="0"/>
        <w:spacing w:line="600" w:lineRule="exact"/>
        <w:ind w:firstLine="720"/>
        <w:rPr>
          <w:lang w:val="zh-CN"/>
        </w:rPr>
      </w:pPr>
      <w:r>
        <w:rPr>
          <w:rFonts w:hint="eastAsia"/>
          <w:lang w:val="en-US" w:eastAsia="zh-CN"/>
        </w:rPr>
        <w:t>南山园区美亚迪公司厂房租金项目申报资金585.51万元、2022年省级绿色低碳优势产业重点园区补助资金项目申报资金764万元、攀枝花钒钛化工园区迤资片区基础设施建设项目申报资金3000万元。</w:t>
      </w:r>
    </w:p>
    <w:p>
      <w:pPr>
        <w:adjustRightInd w:val="0"/>
        <w:snapToGrid w:val="0"/>
        <w:spacing w:line="600" w:lineRule="exact"/>
        <w:ind w:firstLine="720"/>
        <w:rPr>
          <w:lang w:val="zh-CN"/>
        </w:rPr>
      </w:pPr>
      <w:r>
        <w:rPr>
          <w:rFonts w:eastAsia="楷体_GB2312"/>
          <w:b/>
          <w:lang w:val="zh-CN"/>
        </w:rPr>
        <w:t>（二）资金计划、到位及使用情况（可用表格形式反映）。</w:t>
      </w:r>
    </w:p>
    <w:p>
      <w:pPr>
        <w:adjustRightInd w:val="0"/>
        <w:snapToGrid w:val="0"/>
        <w:spacing w:line="600" w:lineRule="exact"/>
        <w:ind w:firstLine="720"/>
        <w:rPr>
          <w:lang w:val="zh-CN"/>
        </w:rPr>
      </w:pPr>
      <w:r>
        <w:rPr>
          <w:rFonts w:eastAsia="楷体_GB2312"/>
          <w:lang w:val="zh-CN"/>
        </w:rPr>
        <w:t>1．资金计划。</w:t>
      </w:r>
      <w:r>
        <w:rPr>
          <w:rFonts w:hint="eastAsia"/>
          <w:lang w:val="en-US" w:eastAsia="zh-CN"/>
        </w:rPr>
        <w:t>南山园区美亚迪公司厂房租金项目计划申报资金585.51万元、2022年省级绿色低碳优势产业重点园区补助资金项目计划申报资金764万元、攀枝花钒钛化工园区迤资片区基础设施建设项目计划申报资金3000万元。</w:t>
      </w:r>
    </w:p>
    <w:p>
      <w:pPr>
        <w:adjustRightInd w:val="0"/>
        <w:snapToGrid w:val="0"/>
        <w:spacing w:line="600" w:lineRule="exact"/>
        <w:ind w:firstLine="640" w:firstLineChars="200"/>
        <w:rPr>
          <w:lang w:val="zh-CN"/>
        </w:rPr>
      </w:pPr>
      <w:r>
        <w:rPr>
          <w:rFonts w:eastAsia="楷体_GB2312"/>
          <w:lang w:val="zh-CN"/>
        </w:rPr>
        <w:t>2．资金到位。</w:t>
      </w:r>
      <w:r>
        <w:rPr>
          <w:rFonts w:hint="eastAsia"/>
          <w:lang w:val="en-US" w:eastAsia="zh-CN"/>
        </w:rPr>
        <w:t>南山园区美亚迪公司厂房租金项目到位资金585.51万元、2022年省级绿色低碳优势产业重点园区补助资金项目到位资金764万元、攀枝花钒钛化工园区迤资片区基础设施建设项目到位资金3000万元。</w:t>
      </w:r>
    </w:p>
    <w:p>
      <w:pPr>
        <w:adjustRightInd w:val="0"/>
        <w:snapToGrid w:val="0"/>
        <w:spacing w:line="600" w:lineRule="exact"/>
        <w:ind w:firstLine="640" w:firstLineChars="200"/>
        <w:rPr>
          <w:lang w:val="zh-CN"/>
        </w:rPr>
      </w:pPr>
      <w:r>
        <w:rPr>
          <w:rFonts w:eastAsia="楷体_GB2312"/>
          <w:lang w:val="zh-CN"/>
        </w:rPr>
        <w:t>3．资金使用。</w:t>
      </w:r>
      <w:r>
        <w:rPr>
          <w:rFonts w:hint="eastAsia"/>
          <w:lang w:val="en-US" w:eastAsia="zh-CN"/>
        </w:rPr>
        <w:t>南山园区美亚迪公司厂房租金项目使用资金585.51万元、2022年省级绿色低碳优势产业重点园区补助资金项目使用资金380万元、攀枝花钒钛化工园区迤资片区基础设施建设项目使用资金3000万元。</w:t>
      </w:r>
      <w:r>
        <w:rPr>
          <w:lang w:val="zh-CN"/>
        </w:rPr>
        <w:t>资金使用安全、规范</w:t>
      </w:r>
      <w:r>
        <w:rPr>
          <w:rFonts w:hint="eastAsia"/>
          <w:lang w:val="zh-CN"/>
        </w:rPr>
        <w:t>、有效</w:t>
      </w:r>
      <w:r>
        <w:rPr>
          <w:lang w:val="zh-CN"/>
        </w:rPr>
        <w:t>，资金支付范围、支付标准、支付进度、支付依据等合规合法、与预算相符。</w:t>
      </w:r>
    </w:p>
    <w:p>
      <w:pPr>
        <w:adjustRightInd w:val="0"/>
        <w:snapToGrid w:val="0"/>
        <w:spacing w:line="600" w:lineRule="exact"/>
        <w:ind w:firstLine="720"/>
        <w:rPr>
          <w:rFonts w:eastAsia="楷体_GB2312"/>
          <w:b/>
          <w:lang w:val="zh-CN"/>
        </w:rPr>
      </w:pPr>
      <w:r>
        <w:rPr>
          <w:rFonts w:eastAsia="楷体_GB2312"/>
          <w:b/>
          <w:lang w:val="zh-CN"/>
        </w:rPr>
        <w:t>（三）项目财务管理情况。</w:t>
      </w:r>
    </w:p>
    <w:p>
      <w:pPr>
        <w:adjustRightInd w:val="0"/>
        <w:snapToGrid w:val="0"/>
        <w:spacing w:line="600" w:lineRule="exact"/>
        <w:ind w:firstLine="720"/>
        <w:rPr>
          <w:lang w:val="zh-CN"/>
        </w:rPr>
      </w:pPr>
      <w:r>
        <w:rPr>
          <w:lang w:val="zh-CN"/>
        </w:rPr>
        <w:t>财务管理制度健全，严格执行财务管理制度，账务处理及时，会计核算规范。</w:t>
      </w:r>
    </w:p>
    <w:p>
      <w:pPr>
        <w:adjustRightInd w:val="0"/>
        <w:snapToGrid w:val="0"/>
        <w:spacing w:line="600" w:lineRule="exact"/>
        <w:ind w:firstLine="720"/>
        <w:rPr>
          <w:lang w:val="zh-CN"/>
        </w:rPr>
      </w:pPr>
      <w:r>
        <w:rPr>
          <w:rFonts w:eastAsia="黑体"/>
        </w:rPr>
        <w:t>三、项目实施及管理情况</w:t>
      </w:r>
    </w:p>
    <w:p>
      <w:pPr>
        <w:adjustRightInd w:val="0"/>
        <w:snapToGrid w:val="0"/>
        <w:spacing w:line="600" w:lineRule="exact"/>
        <w:ind w:firstLine="720"/>
        <w:rPr>
          <w:rFonts w:eastAsia="楷体_GB2312"/>
          <w:b/>
          <w:lang w:val="zh-CN"/>
        </w:rPr>
      </w:pPr>
      <w:r>
        <w:rPr>
          <w:rFonts w:eastAsia="楷体_GB2312"/>
          <w:b/>
          <w:lang w:val="zh-CN"/>
        </w:rPr>
        <w:t>（一）项目组织架构及实施流程。</w:t>
      </w:r>
      <w:r>
        <w:rPr>
          <w:rFonts w:hint="eastAsia" w:eastAsia="楷体_GB2312"/>
          <w:b w:val="0"/>
          <w:bCs/>
          <w:lang w:val="zh-CN"/>
        </w:rPr>
        <w:t>根据</w:t>
      </w:r>
      <w:r>
        <w:rPr>
          <w:lang w:val="zh-CN"/>
        </w:rPr>
        <w:t>项目组织实施管理办法</w:t>
      </w:r>
      <w:r>
        <w:rPr>
          <w:rFonts w:hint="eastAsia"/>
          <w:lang w:val="zh-CN"/>
        </w:rPr>
        <w:t>，成立项目管理部门，加强对项目实施、项目进展、项目质量、项目资金拨付等进行监管。</w:t>
      </w:r>
    </w:p>
    <w:p>
      <w:pPr>
        <w:adjustRightInd w:val="0"/>
        <w:snapToGrid w:val="0"/>
        <w:spacing w:line="600" w:lineRule="exact"/>
        <w:ind w:firstLine="720"/>
        <w:rPr>
          <w:lang w:val="zh-CN"/>
        </w:rPr>
      </w:pPr>
      <w:r>
        <w:rPr>
          <w:rFonts w:eastAsia="楷体_GB2312"/>
          <w:b/>
          <w:lang w:val="zh-CN"/>
        </w:rPr>
        <w:t>（二）项目管理情况。</w:t>
      </w:r>
      <w:r>
        <w:rPr>
          <w:lang w:val="zh-CN"/>
        </w:rPr>
        <w:t>各项目实施单位</w:t>
      </w:r>
      <w:r>
        <w:rPr>
          <w:rFonts w:hint="eastAsia"/>
          <w:lang w:val="zh-CN"/>
        </w:rPr>
        <w:t>严格</w:t>
      </w:r>
      <w:r>
        <w:rPr>
          <w:lang w:val="zh-CN"/>
        </w:rPr>
        <w:t>执行相关法律法规及项目管理制度，</w:t>
      </w:r>
      <w:r>
        <w:rPr>
          <w:rFonts w:hint="eastAsia"/>
          <w:lang w:val="zh-CN"/>
        </w:rPr>
        <w:t>项目建设符合</w:t>
      </w:r>
      <w:r>
        <w:rPr>
          <w:lang w:val="zh-CN"/>
        </w:rPr>
        <w:t>招投标、政府采购、项目公示制</w:t>
      </w:r>
      <w:r>
        <w:rPr>
          <w:rFonts w:hint="eastAsia"/>
          <w:lang w:val="zh-CN"/>
        </w:rPr>
        <w:t>度</w:t>
      </w:r>
      <w:r>
        <w:rPr>
          <w:lang w:val="zh-CN"/>
        </w:rPr>
        <w:t>等相关规定。</w:t>
      </w:r>
    </w:p>
    <w:p>
      <w:pPr>
        <w:adjustRightInd w:val="0"/>
        <w:snapToGrid w:val="0"/>
        <w:spacing w:line="600" w:lineRule="exact"/>
        <w:ind w:firstLine="720"/>
        <w:rPr>
          <w:lang w:val="zh-CN"/>
        </w:rPr>
      </w:pPr>
      <w:r>
        <w:rPr>
          <w:rFonts w:eastAsia="楷体_GB2312"/>
          <w:b/>
          <w:lang w:val="zh-CN"/>
        </w:rPr>
        <w:t>（三）项目监管情况。</w:t>
      </w:r>
      <w:r>
        <w:rPr>
          <w:lang w:val="zh-CN"/>
        </w:rPr>
        <w:t>为加强项目管理</w:t>
      </w:r>
      <w:r>
        <w:rPr>
          <w:rFonts w:hint="eastAsia"/>
          <w:lang w:val="zh-CN"/>
        </w:rPr>
        <w:t>，对项目实施、项目进展、项目质量等进行现场监管，并按照项目进展情况支付资金。项目监管效果良好。</w:t>
      </w:r>
    </w:p>
    <w:p>
      <w:pPr>
        <w:adjustRightInd w:val="0"/>
        <w:snapToGrid w:val="0"/>
        <w:spacing w:line="600" w:lineRule="exact"/>
        <w:ind w:firstLine="720"/>
        <w:rPr>
          <w:lang w:val="zh-CN"/>
        </w:rPr>
      </w:pPr>
      <w:r>
        <w:rPr>
          <w:rFonts w:eastAsia="黑体"/>
        </w:rPr>
        <w:t>四、项目绩效情况</w:t>
      </w:r>
      <w:r>
        <w:rPr>
          <w:lang w:val="zh-CN"/>
        </w:rPr>
        <w:tab/>
      </w:r>
    </w:p>
    <w:p>
      <w:pPr>
        <w:adjustRightInd w:val="0"/>
        <w:snapToGrid w:val="0"/>
        <w:spacing w:line="600" w:lineRule="exact"/>
        <w:ind w:firstLine="720"/>
        <w:rPr>
          <w:rFonts w:eastAsia="楷体_GB2312"/>
          <w:b/>
          <w:lang w:val="zh-CN"/>
        </w:rPr>
      </w:pPr>
      <w:r>
        <w:rPr>
          <w:rFonts w:eastAsia="楷体_GB2312"/>
          <w:b/>
          <w:lang w:val="zh-CN"/>
        </w:rPr>
        <w:t>（一）项目完成情况。</w:t>
      </w:r>
    </w:p>
    <w:p>
      <w:pPr>
        <w:adjustRightInd w:val="0"/>
        <w:snapToGrid w:val="0"/>
        <w:spacing w:line="600" w:lineRule="exact"/>
        <w:ind w:firstLine="720"/>
        <w:rPr>
          <w:rFonts w:hint="default" w:eastAsia="仿宋_GB2312"/>
          <w:b/>
          <w:lang w:val="en-US" w:eastAsia="zh-CN"/>
        </w:rPr>
      </w:pPr>
      <w:r>
        <w:rPr>
          <w:rFonts w:hint="eastAsia"/>
          <w:lang w:val="en-US" w:eastAsia="zh-CN"/>
        </w:rPr>
        <w:t>1、南山园区美亚迪公司厂房租金项目已实施完成，租赁厂房数量、质量、时效、成本等符合计划，支付资金585.51万元，无资金结余情况。2、2022年省级绿色低碳优势产业重点园区补助资金项目已完成，建设</w:t>
      </w:r>
      <w:bookmarkStart w:id="0" w:name="_GoBack"/>
      <w:bookmarkEnd w:id="0"/>
      <w:r>
        <w:rPr>
          <w:rFonts w:hint="eastAsia"/>
          <w:lang w:val="en-US" w:eastAsia="zh-CN"/>
        </w:rPr>
        <w:t>标准化厂房数量、质量、时效、成本等符合计划，已支付资金380万元，因财政资金困难，尚有384万元资金未支付到项目。3、攀枝花钒钛化工园区迤资片区基础设施建设项目已完成，建设项目</w:t>
      </w:r>
      <w:r>
        <w:rPr>
          <w:lang w:val="zh-CN"/>
        </w:rPr>
        <w:t>数量、质量、时效、成本等情况</w:t>
      </w:r>
      <w:r>
        <w:rPr>
          <w:rFonts w:hint="eastAsia"/>
          <w:lang w:val="zh-CN"/>
        </w:rPr>
        <w:t>符合计划要求，已支付资金</w:t>
      </w:r>
      <w:r>
        <w:rPr>
          <w:rFonts w:hint="eastAsia"/>
          <w:lang w:val="en-US" w:eastAsia="zh-CN"/>
        </w:rPr>
        <w:t>3000万元，无资金结余。</w:t>
      </w:r>
    </w:p>
    <w:p>
      <w:pPr>
        <w:adjustRightInd w:val="0"/>
        <w:snapToGrid w:val="0"/>
        <w:spacing w:line="600" w:lineRule="exact"/>
        <w:ind w:firstLine="720"/>
        <w:rPr>
          <w:rFonts w:eastAsia="楷体_GB2312"/>
          <w:b/>
          <w:lang w:val="zh-CN"/>
        </w:rPr>
      </w:pPr>
      <w:r>
        <w:rPr>
          <w:rFonts w:eastAsia="楷体_GB2312"/>
          <w:b/>
          <w:lang w:val="zh-CN"/>
        </w:rPr>
        <w:t>（二）项目效益情况。</w:t>
      </w:r>
    </w:p>
    <w:p>
      <w:pPr>
        <w:adjustRightInd w:val="0"/>
        <w:snapToGrid w:val="0"/>
        <w:spacing w:line="600" w:lineRule="exact"/>
        <w:ind w:firstLine="720"/>
        <w:rPr>
          <w:lang w:val="zh-CN"/>
        </w:rPr>
      </w:pPr>
      <w:r>
        <w:rPr>
          <w:lang w:val="zh-CN"/>
        </w:rPr>
        <w:t>项目经济效益、社会效益、生态效益、可持续效益以及服务对象满意度等</w:t>
      </w:r>
      <w:r>
        <w:rPr>
          <w:rFonts w:hint="eastAsia"/>
          <w:lang w:val="zh-CN"/>
        </w:rPr>
        <w:t>符合申报项目支出绩效</w:t>
      </w:r>
      <w:r>
        <w:rPr>
          <w:lang w:val="zh-CN"/>
        </w:rPr>
        <w:t>。</w:t>
      </w:r>
    </w:p>
    <w:p>
      <w:pPr>
        <w:adjustRightInd w:val="0"/>
        <w:snapToGrid w:val="0"/>
        <w:spacing w:line="600" w:lineRule="exact"/>
        <w:ind w:firstLine="720"/>
        <w:rPr>
          <w:rFonts w:eastAsia="黑体"/>
        </w:rPr>
      </w:pPr>
      <w:r>
        <w:rPr>
          <w:rFonts w:eastAsia="黑体"/>
        </w:rPr>
        <w:t>五、评价结论及建议</w:t>
      </w:r>
    </w:p>
    <w:p>
      <w:pPr>
        <w:adjustRightInd w:val="0"/>
        <w:snapToGrid w:val="0"/>
        <w:spacing w:line="600" w:lineRule="exact"/>
        <w:ind w:firstLine="720"/>
        <w:rPr>
          <w:rFonts w:eastAsia="楷体_GB2312"/>
          <w:b/>
          <w:lang w:val="zh-CN"/>
        </w:rPr>
      </w:pPr>
      <w:r>
        <w:rPr>
          <w:rFonts w:eastAsia="楷体_GB2312"/>
          <w:b/>
          <w:lang w:val="zh-CN"/>
        </w:rPr>
        <w:t>（一）评价结论。</w:t>
      </w:r>
    </w:p>
    <w:p>
      <w:pPr>
        <w:adjustRightInd w:val="0"/>
        <w:snapToGrid w:val="0"/>
        <w:spacing w:line="600" w:lineRule="exact"/>
        <w:ind w:firstLine="640" w:firstLineChars="200"/>
        <w:rPr>
          <w:bdr w:val="single" w:color="auto" w:sz="4" w:space="0"/>
          <w:lang w:val="zh-CN"/>
        </w:rPr>
      </w:pPr>
      <w:r>
        <w:rPr>
          <w:rFonts w:hint="eastAsia"/>
          <w:lang w:val="zh-CN"/>
        </w:rPr>
        <w:t>综上所述，项目数量指标、质量指标、时效指标、经济成本指标、经济效益指标、社会效益指标、生态效益指标、可持续影响指标、服务对象满意度指标等符合项目支出绩效。</w:t>
      </w:r>
    </w:p>
    <w:p>
      <w:pPr>
        <w:adjustRightInd w:val="0"/>
        <w:snapToGrid w:val="0"/>
        <w:spacing w:line="600" w:lineRule="exact"/>
        <w:ind w:firstLine="720"/>
        <w:rPr>
          <w:rFonts w:eastAsia="楷体_GB2312"/>
          <w:b/>
          <w:lang w:val="zh-CN"/>
        </w:rPr>
      </w:pPr>
      <w:r>
        <w:rPr>
          <w:rFonts w:eastAsia="楷体_GB2312"/>
          <w:b/>
          <w:lang w:val="zh-CN"/>
        </w:rPr>
        <w:t>（二）存在的问题。</w:t>
      </w:r>
    </w:p>
    <w:p>
      <w:pPr>
        <w:adjustRightInd w:val="0"/>
        <w:snapToGrid w:val="0"/>
        <w:spacing w:line="600" w:lineRule="exact"/>
        <w:ind w:firstLine="640" w:firstLineChars="200"/>
        <w:rPr>
          <w:lang w:val="zh-CN"/>
        </w:rPr>
      </w:pPr>
      <w:r>
        <w:rPr>
          <w:rFonts w:hint="eastAsia"/>
          <w:lang w:val="zh-CN"/>
        </w:rPr>
        <w:t>因财政资金困难，个别项目资金支付不及时</w:t>
      </w:r>
      <w:r>
        <w:rPr>
          <w:lang w:val="zh-CN"/>
        </w:rPr>
        <w:t>。</w:t>
      </w:r>
      <w:r>
        <w:rPr>
          <w:lang w:val="zh-CN"/>
        </w:rPr>
        <w:tab/>
      </w:r>
    </w:p>
    <w:p>
      <w:pPr>
        <w:adjustRightInd w:val="0"/>
        <w:snapToGrid w:val="0"/>
        <w:spacing w:line="600" w:lineRule="exact"/>
        <w:ind w:firstLine="720"/>
        <w:rPr>
          <w:rFonts w:eastAsia="楷体_GB2312"/>
          <w:b/>
          <w:lang w:val="zh-CN"/>
        </w:rPr>
      </w:pPr>
      <w:r>
        <w:rPr>
          <w:rFonts w:eastAsia="楷体_GB2312"/>
          <w:b/>
          <w:lang w:val="zh-CN"/>
        </w:rPr>
        <w:t>（三）相关建议。</w:t>
      </w:r>
    </w:p>
    <w:p>
      <w:pPr>
        <w:adjustRightInd w:val="0"/>
        <w:snapToGrid w:val="0"/>
        <w:spacing w:line="600" w:lineRule="exact"/>
        <w:ind w:firstLine="640" w:firstLineChars="200"/>
        <w:rPr>
          <w:lang w:val="zh-CN"/>
        </w:rPr>
      </w:pPr>
      <w:r>
        <w:rPr>
          <w:lang w:val="zh-CN"/>
        </w:rPr>
        <w:t>建议</w:t>
      </w:r>
      <w:r>
        <w:rPr>
          <w:rFonts w:hint="eastAsia"/>
          <w:lang w:val="zh-CN"/>
        </w:rPr>
        <w:t>财政部门及时支付项目资金</w:t>
      </w:r>
      <w:r>
        <w:rPr>
          <w:lang w:val="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NWQ1YzM0OWI4YTUyOTFiMTJjOTVmYmQ0ZWVlN2MifQ=="/>
  </w:docVars>
  <w:rsids>
    <w:rsidRoot w:val="771D4D51"/>
    <w:rsid w:val="003E0697"/>
    <w:rsid w:val="004C4301"/>
    <w:rsid w:val="0087421B"/>
    <w:rsid w:val="009137C6"/>
    <w:rsid w:val="00993141"/>
    <w:rsid w:val="00A51A86"/>
    <w:rsid w:val="00B04AD2"/>
    <w:rsid w:val="00EB3EED"/>
    <w:rsid w:val="08C16BA2"/>
    <w:rsid w:val="0B505D2A"/>
    <w:rsid w:val="0EAE4D3D"/>
    <w:rsid w:val="12377C55"/>
    <w:rsid w:val="1C25106F"/>
    <w:rsid w:val="22AD555F"/>
    <w:rsid w:val="267B5085"/>
    <w:rsid w:val="2AF86ED7"/>
    <w:rsid w:val="2B385C88"/>
    <w:rsid w:val="2DA01C84"/>
    <w:rsid w:val="306A1895"/>
    <w:rsid w:val="306E0DE9"/>
    <w:rsid w:val="3265737E"/>
    <w:rsid w:val="35874596"/>
    <w:rsid w:val="37B968F9"/>
    <w:rsid w:val="45B852CF"/>
    <w:rsid w:val="4DC34FAA"/>
    <w:rsid w:val="550902DD"/>
    <w:rsid w:val="55936598"/>
    <w:rsid w:val="5A312DCE"/>
    <w:rsid w:val="5DE663A3"/>
    <w:rsid w:val="614B3770"/>
    <w:rsid w:val="6460597D"/>
    <w:rsid w:val="720D0440"/>
    <w:rsid w:val="74A708C5"/>
    <w:rsid w:val="771D4D51"/>
    <w:rsid w:val="7B8012D3"/>
    <w:rsid w:val="7EA27C8B"/>
    <w:rsid w:val="7F0F1FA1"/>
    <w:rsid w:val="F1F6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lang w:val="zh-CN"/>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customStyle="1" w:styleId="6">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200</Words>
  <Characters>1141</Characters>
  <Lines>9</Lines>
  <Paragraphs>2</Paragraphs>
  <TotalTime>10</TotalTime>
  <ScaleCrop>false</ScaleCrop>
  <LinksUpToDate>false</LinksUpToDate>
  <CharactersWithSpaces>1339</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2020-07-01T00:13:00Z</dcterms:created>
  <dc:creator>Administrator</dc:creator>
  <cp:lastModifiedBy>Administrator</cp:lastModifiedBy>
  <dcterms:modified xsi:type="dcterms:W3CDTF">2024-05-17T03:03:32Z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2B76F10592CB49BEB392ADA4C6F02BFF</vt:lpwstr>
  </property>
</Properties>
</file>