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rPr>
          <w:rFonts w:ascii="宋体" w:hAnsi="宋体" w:eastAsia="宋体"/>
          <w:sz w:val="30"/>
          <w:szCs w:val="30"/>
        </w:rPr>
      </w:pPr>
    </w:p>
    <w:p>
      <w:pPr>
        <w:pStyle w:val="7"/>
        <w:spacing w:line="560" w:lineRule="exact"/>
        <w:jc w:val="center"/>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lang w:val="en-US" w:eastAsia="zh-CN"/>
        </w:rPr>
        <w:t>2023年</w:t>
      </w:r>
      <w:r>
        <w:rPr>
          <w:rFonts w:hint="eastAsia" w:ascii="方正小标宋简体" w:hAnsi="方正小标宋简体" w:eastAsia="方正小标宋简体" w:cs="方正小标宋简体"/>
          <w:color w:val="auto"/>
          <w:kern w:val="2"/>
          <w:sz w:val="44"/>
          <w:szCs w:val="44"/>
        </w:rPr>
        <w:t>建设项目土地划拨成本</w:t>
      </w:r>
    </w:p>
    <w:p>
      <w:pPr>
        <w:pStyle w:val="7"/>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项目支出绩效自评报告</w:t>
      </w:r>
    </w:p>
    <w:p>
      <w:pPr>
        <w:pStyle w:val="7"/>
        <w:spacing w:line="560" w:lineRule="exact"/>
        <w:ind w:firstLine="640"/>
        <w:jc w:val="center"/>
        <w:rPr>
          <w:rFonts w:ascii="宋体" w:hAnsi="宋体"/>
          <w:color w:val="auto"/>
          <w:kern w:val="2"/>
          <w:sz w:val="32"/>
          <w:szCs w:val="32"/>
        </w:rPr>
      </w:pPr>
      <w:bookmarkStart w:id="0" w:name="_GoBack"/>
      <w:bookmarkEnd w:id="0"/>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keepNext w:val="0"/>
        <w:keepLines w:val="0"/>
        <w:widowControl/>
        <w:suppressLineNumbers w:val="0"/>
        <w:ind w:firstLine="640" w:firstLineChars="2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olor w:val="auto"/>
          <w:kern w:val="2"/>
          <w:sz w:val="32"/>
          <w:szCs w:val="32"/>
        </w:rPr>
        <w:t>建设项目土地划拨成本</w:t>
      </w:r>
      <w:r>
        <w:rPr>
          <w:rFonts w:hint="eastAsia" w:ascii="仿宋_GB2312" w:hAnsi="宋体" w:eastAsia="仿宋_GB2312"/>
          <w:color w:val="auto"/>
          <w:kern w:val="2"/>
          <w:sz w:val="32"/>
          <w:szCs w:val="32"/>
          <w:lang w:val="en-US" w:eastAsia="zh-CN"/>
        </w:rPr>
        <w:t>包含普达及南向片区基础设施建设项目约145428.8平方米</w:t>
      </w:r>
      <w:r>
        <w:rPr>
          <w:rFonts w:hint="eastAsia" w:ascii="仿宋_GB2312"/>
          <w:b w:val="0"/>
          <w:bCs w:val="0"/>
          <w:sz w:val="32"/>
          <w:szCs w:val="32"/>
          <w:lang w:val="en-US" w:eastAsia="zh-CN"/>
        </w:rPr>
        <w:t>的土地划拨产生的成本费用，涉及项目为</w:t>
      </w:r>
      <w:r>
        <w:rPr>
          <w:rFonts w:ascii="仿宋_GB2312" w:hAnsi="宋体" w:eastAsia="仿宋_GB2312" w:cs="仿宋_GB2312"/>
          <w:color w:val="000000"/>
          <w:kern w:val="0"/>
          <w:sz w:val="31"/>
          <w:szCs w:val="31"/>
          <w:lang w:val="en-US" w:eastAsia="zh-CN" w:bidi="ar"/>
        </w:rPr>
        <w:t>仁和大道及支线道路</w:t>
      </w:r>
      <w:r>
        <w:rPr>
          <w:rFonts w:hint="eastAsia" w:ascii="仿宋_GB2312" w:hAnsi="宋体" w:eastAsia="仿宋_GB2312" w:cs="仿宋_GB2312"/>
          <w:color w:val="000000"/>
          <w:kern w:val="0"/>
          <w:sz w:val="31"/>
          <w:szCs w:val="31"/>
          <w:lang w:val="en-US" w:eastAsia="zh-CN" w:bidi="ar"/>
        </w:rPr>
        <w:t>工程一期、炳仁线延长线普达段支路、</w:t>
      </w:r>
      <w:r>
        <w:rPr>
          <w:rFonts w:hint="eastAsia" w:ascii="仿宋_GB2312" w:hAnsi="宋体" w:cs="仿宋_GB2312"/>
          <w:color w:val="000000"/>
          <w:kern w:val="0"/>
          <w:sz w:val="31"/>
          <w:szCs w:val="31"/>
          <w:lang w:val="en-US" w:eastAsia="zh-CN" w:bidi="ar"/>
        </w:rPr>
        <w:t>公共绿化二期项目、</w:t>
      </w:r>
      <w:r>
        <w:rPr>
          <w:rFonts w:hint="eastAsia" w:ascii="仿宋_GB2312" w:hAnsi="宋体" w:eastAsia="仿宋_GB2312" w:cs="仿宋_GB2312"/>
          <w:color w:val="000000"/>
          <w:kern w:val="0"/>
          <w:sz w:val="31"/>
          <w:szCs w:val="31"/>
          <w:lang w:val="en-US" w:eastAsia="zh-CN" w:bidi="ar"/>
        </w:rPr>
        <w:t>火车南站污水处理厂及配套工程、城市绿化打造项目工程、仁和区互惠路道路工程、智仁公园项目、普达阳光红湖广场、总园北一路、站前公园</w:t>
      </w:r>
      <w:r>
        <w:rPr>
          <w:rFonts w:hint="eastAsia" w:ascii="仿宋_GB2312" w:hAnsi="宋体" w:cs="仿宋_GB2312"/>
          <w:color w:val="000000"/>
          <w:kern w:val="0"/>
          <w:sz w:val="31"/>
          <w:szCs w:val="31"/>
          <w:lang w:val="en-US" w:eastAsia="zh-CN" w:bidi="ar"/>
        </w:rPr>
        <w:t>等，费用总金额为16617.3万元。</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项目资金申报及批复情况。</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zh-CN" w:eastAsia="zh-CN" w:bidi="ar"/>
        </w:rPr>
      </w:pPr>
      <w:r>
        <w:rPr>
          <w:rFonts w:hint="eastAsia" w:ascii="仿宋_GB2312" w:hAnsi="宋体" w:eastAsia="仿宋_GB2312" w:cs="仿宋_GB2312"/>
          <w:color w:val="000000"/>
          <w:kern w:val="0"/>
          <w:sz w:val="31"/>
          <w:szCs w:val="31"/>
          <w:lang w:val="en-US" w:eastAsia="zh-CN" w:bidi="ar"/>
        </w:rPr>
        <w:t>建设项目土地划拨成本涉及</w:t>
      </w:r>
      <w:r>
        <w:rPr>
          <w:rFonts w:hint="default" w:ascii="仿宋_GB2312" w:hAnsi="宋体" w:eastAsia="仿宋_GB2312" w:cs="仿宋_GB2312"/>
          <w:color w:val="000000"/>
          <w:kern w:val="0"/>
          <w:sz w:val="31"/>
          <w:szCs w:val="31"/>
          <w:lang w:val="en-US" w:eastAsia="zh-CN" w:bidi="ar"/>
        </w:rPr>
        <w:t>项目</w:t>
      </w:r>
      <w:r>
        <w:rPr>
          <w:rFonts w:hint="eastAsia" w:ascii="仿宋_GB2312" w:hAnsi="宋体" w:eastAsia="仿宋_GB2312" w:cs="仿宋_GB2312"/>
          <w:color w:val="000000"/>
          <w:kern w:val="0"/>
          <w:sz w:val="31"/>
          <w:szCs w:val="31"/>
          <w:lang w:val="en-US" w:eastAsia="zh-CN" w:bidi="ar"/>
        </w:rPr>
        <w:t>经发改立项，并于2023年11月前</w:t>
      </w:r>
      <w:r>
        <w:rPr>
          <w:rFonts w:hint="default" w:ascii="仿宋_GB2312" w:hAnsi="宋体" w:eastAsia="仿宋_GB2312" w:cs="仿宋_GB2312"/>
          <w:color w:val="000000"/>
          <w:kern w:val="0"/>
          <w:sz w:val="31"/>
          <w:szCs w:val="31"/>
          <w:lang w:val="en-US" w:eastAsia="zh-CN" w:bidi="ar"/>
        </w:rPr>
        <w:t>取得</w:t>
      </w:r>
      <w:r>
        <w:rPr>
          <w:rFonts w:hint="eastAsia" w:ascii="仿宋_GB2312" w:hAnsi="宋体" w:eastAsia="仿宋_GB2312" w:cs="仿宋_GB2312"/>
          <w:color w:val="000000"/>
          <w:kern w:val="0"/>
          <w:sz w:val="31"/>
          <w:szCs w:val="31"/>
          <w:lang w:val="en-US" w:eastAsia="zh-CN" w:bidi="ar"/>
        </w:rPr>
        <w:t>所有项目</w:t>
      </w:r>
      <w:r>
        <w:rPr>
          <w:rFonts w:hint="default" w:ascii="仿宋_GB2312" w:hAnsi="宋体" w:eastAsia="仿宋_GB2312" w:cs="仿宋_GB2312"/>
          <w:color w:val="000000"/>
          <w:kern w:val="0"/>
          <w:sz w:val="31"/>
          <w:szCs w:val="31"/>
          <w:lang w:val="en-US" w:eastAsia="zh-CN" w:bidi="ar"/>
        </w:rPr>
        <w:t>可行性研究报告的批复</w:t>
      </w:r>
      <w:r>
        <w:rPr>
          <w:rFonts w:hint="eastAsia" w:ascii="仿宋_GB2312" w:hAnsi="宋体" w:eastAsia="仿宋_GB2312" w:cs="仿宋_GB2312"/>
          <w:color w:val="000000"/>
          <w:kern w:val="0"/>
          <w:sz w:val="31"/>
          <w:szCs w:val="31"/>
          <w:lang w:val="en-US" w:eastAsia="zh-CN" w:bidi="ar"/>
        </w:rPr>
        <w:t>。</w:t>
      </w:r>
      <w:r>
        <w:rPr>
          <w:rFonts w:hint="eastAsia" w:ascii="仿宋_GB2312" w:hAnsi="宋体" w:cs="仿宋_GB2312"/>
          <w:color w:val="000000"/>
          <w:kern w:val="0"/>
          <w:sz w:val="31"/>
          <w:szCs w:val="31"/>
          <w:lang w:val="en-US" w:eastAsia="zh-CN" w:bidi="ar"/>
        </w:rPr>
        <w:t>相关</w:t>
      </w:r>
      <w:r>
        <w:rPr>
          <w:rFonts w:hint="eastAsia" w:ascii="仿宋_GB2312" w:hAnsi="宋体" w:eastAsia="仿宋_GB2312" w:cs="仿宋_GB2312"/>
          <w:color w:val="000000"/>
          <w:kern w:val="0"/>
          <w:sz w:val="31"/>
          <w:szCs w:val="31"/>
          <w:lang w:val="en-US" w:eastAsia="zh-CN" w:bidi="ar"/>
        </w:rPr>
        <w:t>项目按照《国有建设用地使用权划拨批准》工作要求，委托四川仁信房地产土地资产咨询评估有限公司对涉及土地进行土地价格评估，土地估价报告经相关部门审核通过，报告真实有效。根据土地</w:t>
      </w:r>
      <w:r>
        <w:rPr>
          <w:rFonts w:hint="eastAsia" w:ascii="仿宋_GB2312" w:hAnsi="宋体" w:cs="仿宋_GB2312"/>
          <w:color w:val="000000"/>
          <w:kern w:val="0"/>
          <w:sz w:val="31"/>
          <w:szCs w:val="31"/>
          <w:lang w:val="en-US" w:eastAsia="zh-CN" w:bidi="ar"/>
        </w:rPr>
        <w:t>价格</w:t>
      </w:r>
      <w:r>
        <w:rPr>
          <w:rFonts w:hint="eastAsia" w:ascii="仿宋_GB2312" w:hAnsi="宋体" w:eastAsia="仿宋_GB2312" w:cs="仿宋_GB2312"/>
          <w:color w:val="000000"/>
          <w:kern w:val="0"/>
          <w:sz w:val="31"/>
          <w:szCs w:val="31"/>
          <w:lang w:val="en-US" w:eastAsia="zh-CN" w:bidi="ar"/>
        </w:rPr>
        <w:t>评估结果，财政安排16617.3万元用于土地划拨成本支付，保障</w:t>
      </w:r>
      <w:r>
        <w:rPr>
          <w:rFonts w:hint="eastAsia" w:ascii="仿宋_GB2312" w:hAnsi="宋体" w:cs="仿宋_GB2312"/>
          <w:color w:val="000000"/>
          <w:kern w:val="0"/>
          <w:sz w:val="31"/>
          <w:szCs w:val="31"/>
          <w:lang w:val="en-US" w:eastAsia="zh-CN" w:bidi="ar"/>
        </w:rPr>
        <w:t>本次</w:t>
      </w:r>
      <w:r>
        <w:rPr>
          <w:rFonts w:hint="eastAsia" w:ascii="仿宋_GB2312" w:hAnsi="宋体" w:eastAsia="仿宋_GB2312" w:cs="仿宋_GB2312"/>
          <w:color w:val="000000"/>
          <w:kern w:val="0"/>
          <w:sz w:val="31"/>
          <w:szCs w:val="31"/>
          <w:lang w:val="en-US" w:eastAsia="zh-CN" w:bidi="ar"/>
        </w:rPr>
        <w:t>土地划拨工作顺利开展</w:t>
      </w: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资金到位后，</w:t>
      </w:r>
      <w:r>
        <w:rPr>
          <w:rFonts w:hint="default" w:ascii="仿宋_GB2312" w:hAnsi="宋体" w:eastAsia="仿宋_GB2312" w:cs="仿宋_GB2312"/>
          <w:color w:val="000000"/>
          <w:kern w:val="0"/>
          <w:sz w:val="31"/>
          <w:szCs w:val="31"/>
          <w:lang w:val="en-US" w:eastAsia="zh-CN" w:bidi="ar"/>
        </w:rPr>
        <w:t>按</w:t>
      </w:r>
      <w:r>
        <w:rPr>
          <w:rFonts w:hint="eastAsia" w:ascii="仿宋_GB2312" w:hAnsi="宋体" w:cs="仿宋_GB2312"/>
          <w:color w:val="000000"/>
          <w:kern w:val="0"/>
          <w:sz w:val="31"/>
          <w:szCs w:val="31"/>
          <w:lang w:val="en-US" w:eastAsia="zh-CN" w:bidi="ar"/>
        </w:rPr>
        <w:t>照</w:t>
      </w:r>
      <w:r>
        <w:rPr>
          <w:rFonts w:hint="default" w:ascii="仿宋_GB2312" w:hAnsi="宋体" w:eastAsia="仿宋_GB2312" w:cs="仿宋_GB2312"/>
          <w:color w:val="000000"/>
          <w:kern w:val="0"/>
          <w:sz w:val="31"/>
          <w:szCs w:val="31"/>
          <w:lang w:val="zh-CN" w:eastAsia="zh-CN" w:bidi="ar"/>
        </w:rPr>
        <w:t>资金管理办法相关规定</w:t>
      </w:r>
      <w:r>
        <w:rPr>
          <w:rFonts w:hint="eastAsia" w:ascii="仿宋_GB2312" w:hAnsi="宋体" w:eastAsia="仿宋_GB2312" w:cs="仿宋_GB2312"/>
          <w:color w:val="000000"/>
          <w:kern w:val="0"/>
          <w:sz w:val="31"/>
          <w:szCs w:val="31"/>
          <w:lang w:val="zh-CN" w:eastAsia="zh-CN" w:bidi="ar"/>
        </w:rPr>
        <w:t>，</w:t>
      </w:r>
      <w:r>
        <w:rPr>
          <w:rFonts w:hint="eastAsia" w:ascii="仿宋_GB2312" w:hAnsi="宋体" w:eastAsia="仿宋_GB2312" w:cs="仿宋_GB2312"/>
          <w:color w:val="000000"/>
          <w:kern w:val="0"/>
          <w:sz w:val="31"/>
          <w:szCs w:val="31"/>
          <w:lang w:val="en-US" w:eastAsia="zh-CN" w:bidi="ar"/>
        </w:rPr>
        <w:t>全部用于支付本次建设项目土地划拨成本费用，</w:t>
      </w:r>
      <w:r>
        <w:rPr>
          <w:rFonts w:hint="default" w:ascii="仿宋_GB2312" w:hAnsi="宋体" w:eastAsia="仿宋_GB2312" w:cs="仿宋_GB2312"/>
          <w:color w:val="000000"/>
          <w:kern w:val="0"/>
          <w:sz w:val="31"/>
          <w:szCs w:val="31"/>
          <w:lang w:val="zh-CN" w:eastAsia="zh-CN" w:bidi="ar"/>
        </w:rPr>
        <w:t>符合</w:t>
      </w:r>
      <w:r>
        <w:rPr>
          <w:rFonts w:hint="default" w:ascii="仿宋_GB2312" w:hAnsi="宋体" w:eastAsia="仿宋_GB2312" w:cs="仿宋_GB2312"/>
          <w:color w:val="000000"/>
          <w:kern w:val="0"/>
          <w:sz w:val="31"/>
          <w:szCs w:val="31"/>
          <w:lang w:val="en-US" w:eastAsia="zh-CN" w:bidi="ar"/>
        </w:rPr>
        <w:t>资金使用要求</w:t>
      </w:r>
      <w:r>
        <w:rPr>
          <w:rFonts w:hint="default" w:ascii="仿宋_GB2312" w:hAnsi="宋体" w:eastAsia="仿宋_GB2312" w:cs="仿宋_GB2312"/>
          <w:color w:val="000000"/>
          <w:kern w:val="0"/>
          <w:sz w:val="31"/>
          <w:szCs w:val="31"/>
          <w:lang w:val="zh-CN" w:eastAsia="zh-CN" w:bidi="ar"/>
        </w:rPr>
        <w:t>。</w:t>
      </w:r>
    </w:p>
    <w:p>
      <w:pPr>
        <w:numPr>
          <w:ilvl w:val="0"/>
          <w:numId w:val="1"/>
        </w:numPr>
        <w:adjustRightInd w:val="0"/>
        <w:snapToGrid w:val="0"/>
        <w:spacing w:line="560" w:lineRule="exact"/>
        <w:ind w:left="0" w:leftChars="0" w:firstLine="720" w:firstLineChars="0"/>
        <w:rPr>
          <w:rFonts w:ascii="仿宋_GB2312" w:hAnsi="宋体"/>
          <w:lang w:val="zh-CN"/>
        </w:rPr>
      </w:pPr>
      <w:r>
        <w:rPr>
          <w:rFonts w:hint="eastAsia" w:ascii="楷体_GB2312" w:hAnsi="宋体" w:eastAsia="楷体_GB2312"/>
          <w:b/>
          <w:lang w:val="zh-CN"/>
        </w:rPr>
        <w:t>项目绩效目标。</w:t>
      </w:r>
    </w:p>
    <w:p>
      <w:pPr>
        <w:numPr>
          <w:ilvl w:val="0"/>
          <w:numId w:val="0"/>
        </w:numPr>
        <w:adjustRightInd w:val="0"/>
        <w:snapToGrid w:val="0"/>
        <w:spacing w:line="560" w:lineRule="exact"/>
        <w:ind w:firstLine="640" w:firstLineChars="200"/>
        <w:rPr>
          <w:rFonts w:hint="default" w:ascii="仿宋_GB2312" w:hAnsi="宋体" w:cs="仿宋_GB2312"/>
          <w:color w:val="000000"/>
          <w:kern w:val="0"/>
          <w:sz w:val="31"/>
          <w:szCs w:val="31"/>
          <w:lang w:val="en-US" w:eastAsia="zh-CN" w:bidi="ar"/>
        </w:rPr>
      </w:pPr>
      <w:r>
        <w:rPr>
          <w:rFonts w:hint="eastAsia" w:ascii="仿宋_GB2312" w:hAnsi="宋体" w:eastAsia="仿宋_GB2312"/>
          <w:color w:val="auto"/>
          <w:kern w:val="2"/>
          <w:sz w:val="32"/>
          <w:szCs w:val="32"/>
        </w:rPr>
        <w:t>建设项目土地划拨成本</w:t>
      </w:r>
      <w:r>
        <w:rPr>
          <w:rFonts w:hint="eastAsia" w:ascii="仿宋_GB2312" w:hAnsi="宋体"/>
          <w:color w:val="auto"/>
          <w:kern w:val="2"/>
          <w:sz w:val="32"/>
          <w:szCs w:val="32"/>
          <w:lang w:val="en-US" w:eastAsia="zh-CN"/>
        </w:rPr>
        <w:t>包含</w:t>
      </w:r>
      <w:r>
        <w:rPr>
          <w:rFonts w:ascii="仿宋_GB2312" w:hAnsi="宋体" w:eastAsia="仿宋_GB2312" w:cs="仿宋_GB2312"/>
          <w:color w:val="000000"/>
          <w:kern w:val="0"/>
          <w:sz w:val="31"/>
          <w:szCs w:val="31"/>
          <w:lang w:val="en-US" w:eastAsia="zh-CN" w:bidi="ar"/>
        </w:rPr>
        <w:t>仁和大道及支线道路</w:t>
      </w:r>
      <w:r>
        <w:rPr>
          <w:rFonts w:hint="eastAsia" w:ascii="仿宋_GB2312" w:hAnsi="宋体" w:eastAsia="仿宋_GB2312" w:cs="仿宋_GB2312"/>
          <w:color w:val="000000"/>
          <w:kern w:val="0"/>
          <w:sz w:val="31"/>
          <w:szCs w:val="31"/>
          <w:lang w:val="en-US" w:eastAsia="zh-CN" w:bidi="ar"/>
        </w:rPr>
        <w:t>工程一期、炳仁线延长线普达段支路、</w:t>
      </w:r>
      <w:r>
        <w:rPr>
          <w:rFonts w:hint="eastAsia" w:ascii="仿宋_GB2312" w:hAnsi="宋体" w:cs="仿宋_GB2312"/>
          <w:color w:val="000000"/>
          <w:kern w:val="0"/>
          <w:sz w:val="31"/>
          <w:szCs w:val="31"/>
          <w:lang w:val="en-US" w:eastAsia="zh-CN" w:bidi="ar"/>
        </w:rPr>
        <w:t>公共绿化二期项目、</w:t>
      </w:r>
      <w:r>
        <w:rPr>
          <w:rFonts w:hint="eastAsia" w:ascii="仿宋_GB2312" w:hAnsi="宋体" w:eastAsia="仿宋_GB2312" w:cs="仿宋_GB2312"/>
          <w:color w:val="000000"/>
          <w:kern w:val="0"/>
          <w:sz w:val="31"/>
          <w:szCs w:val="31"/>
          <w:lang w:val="en-US" w:eastAsia="zh-CN" w:bidi="ar"/>
        </w:rPr>
        <w:t>火车南站污水处理厂及配套工程、城市绿化打造项目工程、仁和区互惠路道路工程、智仁公园项目、普达阳光红湖广场、总园北一路、站前公园</w:t>
      </w:r>
      <w:r>
        <w:rPr>
          <w:rFonts w:hint="eastAsia" w:ascii="仿宋_GB2312" w:hAnsi="宋体" w:cs="仿宋_GB2312"/>
          <w:color w:val="000000"/>
          <w:kern w:val="0"/>
          <w:sz w:val="31"/>
          <w:szCs w:val="31"/>
          <w:lang w:val="en-US" w:eastAsia="zh-CN" w:bidi="ar"/>
        </w:rPr>
        <w:t>等建设项目土地划拨成本，涉及划拨土地面积为</w:t>
      </w:r>
      <w:r>
        <w:rPr>
          <w:rFonts w:hint="eastAsia" w:ascii="仿宋_GB2312" w:hAnsi="宋体" w:eastAsia="仿宋_GB2312"/>
          <w:color w:val="auto"/>
          <w:kern w:val="2"/>
          <w:sz w:val="32"/>
          <w:szCs w:val="32"/>
          <w:lang w:val="en-US" w:eastAsia="zh-CN"/>
        </w:rPr>
        <w:t>145428.8</w:t>
      </w:r>
      <w:r>
        <w:rPr>
          <w:rFonts w:hint="eastAsia" w:ascii="仿宋_GB2312" w:eastAsia="仿宋_GB2312"/>
          <w:b w:val="0"/>
          <w:bCs w:val="0"/>
          <w:sz w:val="32"/>
          <w:szCs w:val="32"/>
          <w:lang w:val="en-US" w:eastAsia="zh-CN"/>
        </w:rPr>
        <w:t>平方米</w:t>
      </w:r>
      <w:r>
        <w:rPr>
          <w:rFonts w:hint="eastAsia" w:ascii="仿宋_GB2312"/>
          <w:b w:val="0"/>
          <w:bCs w:val="0"/>
          <w:sz w:val="32"/>
          <w:szCs w:val="32"/>
          <w:lang w:val="en-US" w:eastAsia="zh-CN"/>
        </w:rPr>
        <w:t>。</w:t>
      </w:r>
      <w:r>
        <w:rPr>
          <w:rFonts w:hint="eastAsia" w:ascii="仿宋_GB2312" w:hAnsi="宋体" w:cs="仿宋_GB2312"/>
          <w:color w:val="000000"/>
          <w:kern w:val="0"/>
          <w:sz w:val="31"/>
          <w:szCs w:val="31"/>
          <w:lang w:val="en-US" w:eastAsia="zh-CN" w:bidi="ar"/>
        </w:rPr>
        <w:t>2023年计划完成</w:t>
      </w:r>
      <w:r>
        <w:rPr>
          <w:rFonts w:hint="eastAsia" w:ascii="仿宋_GB2312" w:hAnsi="宋体" w:eastAsia="仿宋_GB2312"/>
          <w:color w:val="auto"/>
          <w:kern w:val="2"/>
          <w:sz w:val="32"/>
          <w:szCs w:val="32"/>
          <w:lang w:val="en-US" w:eastAsia="zh-CN"/>
        </w:rPr>
        <w:t>145428.8</w:t>
      </w:r>
      <w:r>
        <w:rPr>
          <w:rFonts w:hint="eastAsia" w:ascii="仿宋_GB2312" w:eastAsia="仿宋_GB2312"/>
          <w:b w:val="0"/>
          <w:bCs w:val="0"/>
          <w:sz w:val="32"/>
          <w:szCs w:val="32"/>
          <w:lang w:val="en-US" w:eastAsia="zh-CN"/>
        </w:rPr>
        <w:t>平方米</w:t>
      </w:r>
      <w:r>
        <w:rPr>
          <w:rFonts w:hint="eastAsia" w:ascii="仿宋_GB2312" w:hAnsi="宋体" w:cs="仿宋_GB2312"/>
          <w:color w:val="000000"/>
          <w:kern w:val="0"/>
          <w:sz w:val="31"/>
          <w:szCs w:val="31"/>
          <w:lang w:val="en-US" w:eastAsia="zh-CN" w:bidi="ar"/>
        </w:rPr>
        <w:t>土地划拨手续办理。截至2023年12月31日，已完成</w:t>
      </w:r>
      <w:r>
        <w:rPr>
          <w:rFonts w:hint="eastAsia" w:ascii="仿宋_GB2312" w:hAnsi="宋体" w:eastAsia="仿宋_GB2312"/>
          <w:color w:val="auto"/>
          <w:kern w:val="2"/>
          <w:sz w:val="32"/>
          <w:szCs w:val="32"/>
          <w:lang w:val="en-US" w:eastAsia="zh-CN"/>
        </w:rPr>
        <w:t>145428.8平方米</w:t>
      </w:r>
      <w:r>
        <w:rPr>
          <w:rFonts w:hint="eastAsia" w:ascii="仿宋_GB2312"/>
          <w:b w:val="0"/>
          <w:bCs w:val="0"/>
          <w:sz w:val="32"/>
          <w:szCs w:val="32"/>
          <w:lang w:val="en-US" w:eastAsia="zh-CN"/>
        </w:rPr>
        <w:t>土地</w:t>
      </w:r>
      <w:r>
        <w:rPr>
          <w:rFonts w:hint="eastAsia" w:ascii="仿宋_GB2312" w:hAnsi="宋体" w:cs="仿宋_GB2312"/>
          <w:color w:val="000000"/>
          <w:kern w:val="0"/>
          <w:sz w:val="31"/>
          <w:szCs w:val="31"/>
          <w:lang w:val="en-US" w:eastAsia="zh-CN" w:bidi="ar"/>
        </w:rPr>
        <w:t>划拨手续办理。</w:t>
      </w:r>
    </w:p>
    <w:p>
      <w:pPr>
        <w:numPr>
          <w:ilvl w:val="0"/>
          <w:numId w:val="1"/>
        </w:numPr>
        <w:adjustRightInd w:val="0"/>
        <w:snapToGrid w:val="0"/>
        <w:spacing w:line="560" w:lineRule="exact"/>
        <w:ind w:left="0" w:leftChars="0" w:firstLine="720" w:firstLineChars="0"/>
        <w:rPr>
          <w:rFonts w:hint="eastAsia" w:ascii="楷体_GB2312" w:hAnsi="宋体" w:eastAsia="楷体_GB2312"/>
          <w:b/>
          <w:lang w:val="zh-CN"/>
        </w:rPr>
      </w:pPr>
      <w:r>
        <w:rPr>
          <w:rFonts w:hint="eastAsia" w:ascii="楷体_GB2312" w:hAnsi="宋体" w:eastAsia="楷体_GB2312"/>
          <w:b/>
          <w:lang w:val="zh-CN"/>
        </w:rPr>
        <w:t>项目资金申报相符性。</w:t>
      </w:r>
    </w:p>
    <w:p>
      <w:pPr>
        <w:adjustRightInd w:val="0"/>
        <w:snapToGrid w:val="0"/>
        <w:spacing w:line="560" w:lineRule="exact"/>
        <w:ind w:firstLine="720"/>
        <w:rPr>
          <w:rFonts w:ascii="仿宋_GB2312" w:hAnsi="宋体"/>
          <w:lang w:val="zh-CN"/>
        </w:rPr>
      </w:pPr>
      <w:r>
        <w:rPr>
          <w:rFonts w:hint="eastAsia" w:ascii="仿宋_GB2312" w:hAnsi="宋体"/>
          <w:lang w:val="zh-CN"/>
        </w:rPr>
        <w:t>项目申报内容与具体实施内容相符，申报目标合理可行。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hint="default" w:ascii="Times New Roman" w:hAnsi="Times New Roman" w:cs="Times New Roman"/>
          <w:b w:val="0"/>
          <w:bCs w:val="0"/>
          <w:sz w:val="32"/>
          <w:szCs w:val="32"/>
          <w:highlight w:val="none"/>
          <w:lang w:val="en-US" w:eastAsia="zh-CN"/>
        </w:rPr>
      </w:pPr>
      <w:r>
        <w:rPr>
          <w:rFonts w:hint="eastAsia" w:ascii="仿宋_GB2312" w:hAnsi="宋体" w:eastAsia="仿宋_GB2312"/>
          <w:color w:val="auto"/>
          <w:kern w:val="2"/>
          <w:sz w:val="32"/>
          <w:szCs w:val="32"/>
        </w:rPr>
        <w:t>建设项目土地划拨成本</w:t>
      </w:r>
      <w:r>
        <w:rPr>
          <w:rFonts w:hint="eastAsia" w:ascii="仿宋_GB2312" w:hAnsi="宋体"/>
          <w:color w:val="auto"/>
          <w:kern w:val="2"/>
          <w:sz w:val="32"/>
          <w:szCs w:val="32"/>
          <w:lang w:val="en-US" w:eastAsia="zh-CN"/>
        </w:rPr>
        <w:t>涉及总金额为</w:t>
      </w:r>
      <w:r>
        <w:rPr>
          <w:rFonts w:hint="eastAsia" w:ascii="仿宋_GB2312" w:hAnsi="宋体" w:eastAsia="仿宋_GB2312" w:cs="仿宋_GB2312"/>
          <w:color w:val="000000"/>
          <w:kern w:val="0"/>
          <w:sz w:val="31"/>
          <w:szCs w:val="31"/>
          <w:lang w:val="en-US" w:eastAsia="zh-CN" w:bidi="ar"/>
        </w:rPr>
        <w:t>16617.3万元</w:t>
      </w:r>
      <w:r>
        <w:rPr>
          <w:rFonts w:hint="eastAsia" w:ascii="仿宋_GB2312" w:hAnsi="宋体" w:cs="仿宋_GB2312"/>
          <w:color w:val="000000"/>
          <w:kern w:val="0"/>
          <w:sz w:val="31"/>
          <w:szCs w:val="31"/>
          <w:lang w:val="en-US" w:eastAsia="zh-CN" w:bidi="ar"/>
        </w:rPr>
        <w:t>，</w:t>
      </w:r>
      <w:r>
        <w:rPr>
          <w:rFonts w:hint="default" w:ascii="Times New Roman" w:hAnsi="Times New Roman" w:cs="Times New Roman"/>
          <w:lang w:val="en-US" w:eastAsia="zh-CN"/>
        </w:rPr>
        <w:t>资金来源于</w:t>
      </w:r>
      <w:r>
        <w:rPr>
          <w:rFonts w:hint="eastAsia" w:cs="Times New Roman"/>
          <w:lang w:val="en-US" w:eastAsia="zh-CN"/>
        </w:rPr>
        <w:t>区级财政资金。</w:t>
      </w:r>
      <w:r>
        <w:rPr>
          <w:rFonts w:hint="default" w:ascii="Times New Roman" w:hAnsi="Times New Roman" w:cs="Times New Roman"/>
          <w:lang w:val="en-US" w:eastAsia="zh-CN"/>
        </w:rPr>
        <w:t>2</w:t>
      </w:r>
      <w:r>
        <w:rPr>
          <w:rFonts w:hint="default" w:ascii="Times New Roman" w:hAnsi="Times New Roman" w:eastAsia="仿宋_GB2312" w:cs="Times New Roman"/>
          <w:b w:val="0"/>
          <w:bCs w:val="0"/>
          <w:sz w:val="32"/>
          <w:szCs w:val="32"/>
          <w:highlight w:val="none"/>
          <w:lang w:val="en-US" w:eastAsia="zh-CN"/>
        </w:rPr>
        <w:t>02</w:t>
      </w:r>
      <w:r>
        <w:rPr>
          <w:rFonts w:hint="eastAsia" w:ascii="Times New Roman" w:hAnsi="Times New Roman"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年</w:t>
      </w:r>
      <w:r>
        <w:rPr>
          <w:rFonts w:hint="default" w:ascii="Times New Roman" w:hAnsi="Times New Roman" w:cs="Times New Roman"/>
          <w:b w:val="0"/>
          <w:bCs w:val="0"/>
          <w:sz w:val="32"/>
          <w:szCs w:val="32"/>
          <w:highlight w:val="none"/>
          <w:lang w:val="en-US" w:eastAsia="zh-CN"/>
        </w:rPr>
        <w:t>已</w:t>
      </w:r>
      <w:r>
        <w:rPr>
          <w:rFonts w:hint="default" w:ascii="Times New Roman" w:hAnsi="Times New Roman" w:cs="Times New Roman"/>
          <w:kern w:val="0"/>
          <w:sz w:val="32"/>
          <w:szCs w:val="32"/>
          <w:highlight w:val="none"/>
          <w:lang w:val="en-US" w:eastAsia="zh-CN"/>
        </w:rPr>
        <w:t>申请到位</w:t>
      </w:r>
      <w:r>
        <w:rPr>
          <w:rFonts w:hint="eastAsia" w:ascii="Times New Roman" w:hAnsi="Times New Roman" w:cs="Times New Roman"/>
          <w:kern w:val="0"/>
          <w:sz w:val="32"/>
          <w:szCs w:val="32"/>
          <w:highlight w:val="none"/>
          <w:lang w:val="en-US" w:eastAsia="zh-CN"/>
        </w:rPr>
        <w:t>财政</w:t>
      </w:r>
      <w:r>
        <w:rPr>
          <w:rFonts w:hint="default" w:ascii="Times New Roman" w:hAnsi="Times New Roman" w:cs="Times New Roman"/>
          <w:kern w:val="0"/>
          <w:sz w:val="32"/>
          <w:szCs w:val="32"/>
          <w:highlight w:val="none"/>
          <w:lang w:val="en-US" w:eastAsia="zh-CN"/>
        </w:rPr>
        <w:t>金</w:t>
      </w:r>
      <w:r>
        <w:rPr>
          <w:rFonts w:hint="eastAsia" w:ascii="仿宋_GB2312" w:hAnsi="宋体" w:eastAsia="仿宋_GB2312" w:cs="仿宋_GB2312"/>
          <w:color w:val="000000"/>
          <w:kern w:val="0"/>
          <w:sz w:val="31"/>
          <w:szCs w:val="31"/>
          <w:lang w:val="en-US" w:eastAsia="zh-CN" w:bidi="ar"/>
        </w:rPr>
        <w:t>16617.3万元</w:t>
      </w:r>
      <w:r>
        <w:rPr>
          <w:rFonts w:hint="default" w:ascii="Times New Roman" w:hAnsi="Times New Roman" w:cs="Times New Roman"/>
          <w:kern w:val="0"/>
          <w:sz w:val="32"/>
          <w:szCs w:val="32"/>
          <w:highlight w:val="none"/>
          <w:lang w:val="en-US" w:eastAsia="zh-CN"/>
        </w:rPr>
        <w:t>，</w:t>
      </w:r>
      <w:r>
        <w:rPr>
          <w:rFonts w:hint="default" w:ascii="Times New Roman" w:hAnsi="Times New Roman" w:cs="Times New Roman"/>
          <w:b w:val="0"/>
          <w:bCs w:val="0"/>
          <w:sz w:val="32"/>
          <w:szCs w:val="32"/>
          <w:highlight w:val="none"/>
          <w:lang w:val="en-US" w:eastAsia="zh-CN"/>
        </w:rPr>
        <w:t>资金到位率100%。</w:t>
      </w:r>
    </w:p>
    <w:p>
      <w:pPr>
        <w:numPr>
          <w:ilvl w:val="0"/>
          <w:numId w:val="2"/>
        </w:num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ascii="仿宋_GB2312" w:hAnsi="宋体"/>
          <w:lang w:val="zh-CN"/>
        </w:rPr>
      </w:pPr>
      <w:r>
        <w:rPr>
          <w:rFonts w:hint="eastAsia" w:ascii="仿宋_GB2312" w:hAnsi="宋体" w:cs="宋体"/>
          <w:sz w:val="32"/>
          <w:szCs w:val="32"/>
          <w:lang w:val="en-US" w:eastAsia="zh-CN"/>
        </w:rPr>
        <w:t>资金</w:t>
      </w:r>
      <w:r>
        <w:rPr>
          <w:rFonts w:hint="eastAsia" w:ascii="仿宋_GB2312" w:hAnsi="宋体" w:eastAsia="仿宋_GB2312" w:cs="宋体"/>
          <w:sz w:val="32"/>
          <w:szCs w:val="32"/>
          <w:lang w:val="en-US" w:eastAsia="zh-CN"/>
        </w:rPr>
        <w:t>用于</w:t>
      </w:r>
      <w:r>
        <w:rPr>
          <w:rFonts w:hint="eastAsia" w:ascii="仿宋_GB2312" w:hAnsi="宋体" w:cs="宋体"/>
          <w:sz w:val="32"/>
          <w:szCs w:val="32"/>
          <w:lang w:val="en-US" w:eastAsia="zh-CN"/>
        </w:rPr>
        <w:t>支付</w:t>
      </w:r>
      <w:r>
        <w:rPr>
          <w:rFonts w:hint="eastAsia" w:ascii="仿宋_GB2312" w:hAnsi="宋体"/>
          <w:lang w:val="en-US" w:eastAsia="zh-CN"/>
        </w:rPr>
        <w:t>2023年土地划拨成本费用</w:t>
      </w:r>
      <w:r>
        <w:rPr>
          <w:rFonts w:hint="eastAsia" w:ascii="仿宋_GB2312" w:hAnsi="宋体"/>
          <w:lang w:val="zh-CN"/>
        </w:rPr>
        <w:t>。</w:t>
      </w:r>
      <w:r>
        <w:rPr>
          <w:rFonts w:hint="eastAsia" w:ascii="仿宋_GB2312" w:hAnsi="宋体"/>
          <w:lang w:val="en-US" w:eastAsia="zh-CN"/>
        </w:rPr>
        <w:t>资金</w:t>
      </w:r>
      <w:r>
        <w:rPr>
          <w:rFonts w:ascii="仿宋_GB2312" w:hAnsi="宋体" w:eastAsia="仿宋_GB2312" w:cs="仿宋_GB2312"/>
          <w:i w:val="0"/>
          <w:iCs w:val="0"/>
          <w:caps w:val="0"/>
          <w:color w:val="000000"/>
          <w:spacing w:val="0"/>
          <w:sz w:val="31"/>
          <w:szCs w:val="31"/>
          <w:shd w:val="clear" w:fill="FFFFFF"/>
        </w:rPr>
        <w:t>由财政局严格审核下拨，手续完整，程序规范；支出严格把关，原始凭证经</w:t>
      </w:r>
      <w:r>
        <w:rPr>
          <w:rFonts w:hint="eastAsia" w:ascii="仿宋_GB2312" w:hAnsi="宋体" w:cs="仿宋_GB2312"/>
          <w:i w:val="0"/>
          <w:iCs w:val="0"/>
          <w:caps w:val="0"/>
          <w:color w:val="000000"/>
          <w:spacing w:val="0"/>
          <w:sz w:val="31"/>
          <w:szCs w:val="31"/>
          <w:shd w:val="clear" w:fill="FFFFFF"/>
          <w:lang w:val="en-US" w:eastAsia="zh-CN"/>
        </w:rPr>
        <w:t>经</w:t>
      </w:r>
      <w:r>
        <w:rPr>
          <w:rFonts w:ascii="仿宋_GB2312" w:hAnsi="宋体" w:eastAsia="仿宋_GB2312" w:cs="仿宋_GB2312"/>
          <w:i w:val="0"/>
          <w:iCs w:val="0"/>
          <w:caps w:val="0"/>
          <w:color w:val="000000"/>
          <w:spacing w:val="0"/>
          <w:sz w:val="31"/>
          <w:szCs w:val="31"/>
          <w:shd w:val="clear" w:fill="FFFFFF"/>
        </w:rPr>
        <w:t>手人签字，财务人员初审，办公室负责人审核，分管财务领导核定方可报账，不存在支出截留、挪用、挤占资金的现象。</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utoSpaceDE w:val="0"/>
        <w:autoSpaceDN w:val="0"/>
        <w:adjustRightInd w:val="0"/>
        <w:spacing w:line="600" w:lineRule="exact"/>
        <w:ind w:firstLine="640" w:firstLineChars="200"/>
        <w:jc w:val="left"/>
        <w:rPr>
          <w:rFonts w:hint="default" w:eastAsia="宋体"/>
          <w:color w:val="000000"/>
          <w:lang w:val="en-US" w:eastAsia="zh-CN"/>
        </w:rPr>
      </w:pPr>
      <w:r>
        <w:rPr>
          <w:rFonts w:hint="eastAsia" w:ascii="Times New Roman" w:hAnsi="Times New Roman"/>
          <w:kern w:val="0"/>
          <w:sz w:val="32"/>
          <w:szCs w:val="32"/>
          <w:lang w:val="en-US" w:eastAsia="zh-CN"/>
        </w:rPr>
        <w:t>资金</w:t>
      </w:r>
      <w:r>
        <w:rPr>
          <w:rFonts w:hint="eastAsia" w:ascii="Times New Roman" w:hAnsi="Times New Roman" w:eastAsia="仿宋_GB2312"/>
          <w:kern w:val="0"/>
          <w:sz w:val="32"/>
          <w:szCs w:val="32"/>
        </w:rPr>
        <w:t>严格按照财务管理制度进行管理，保证专款专用，不存在截留、滞留、挤占、挪用、套取、虚报、冒领的问题，所有支出均以转账方式进行，手续是完善的，不存在虚假会计凭证的情况，会计严格执行财务管理制度，财务处理及时，核算规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宋体" w:eastAsia="楷体_GB2312"/>
          <w:b/>
          <w:lang w:val="zh-CN"/>
        </w:rPr>
      </w:pPr>
      <w:r>
        <w:rPr>
          <w:rFonts w:hint="eastAsia" w:ascii="仿宋_GB2312" w:hAnsi="宋体" w:eastAsia="仿宋_GB2312"/>
          <w:color w:val="auto"/>
          <w:kern w:val="2"/>
          <w:sz w:val="32"/>
          <w:szCs w:val="32"/>
        </w:rPr>
        <w:t>建设项目土地划拨成本</w:t>
      </w:r>
      <w:r>
        <w:rPr>
          <w:rFonts w:hint="eastAsia" w:ascii="仿宋_GB2312" w:hAnsi="宋体"/>
          <w:color w:val="auto"/>
          <w:kern w:val="2"/>
          <w:sz w:val="32"/>
          <w:szCs w:val="32"/>
          <w:lang w:val="en-US" w:eastAsia="zh-CN"/>
        </w:rPr>
        <w:t>费用</w:t>
      </w:r>
      <w:r>
        <w:rPr>
          <w:rFonts w:hint="default" w:ascii="仿宋_GB2312" w:hAnsi="宋体" w:cs="Times New Roman"/>
          <w:lang w:val="zh-CN"/>
        </w:rPr>
        <w:t>已于</w:t>
      </w:r>
      <w:r>
        <w:rPr>
          <w:rFonts w:hint="eastAsia" w:ascii="仿宋_GB2312" w:hAnsi="宋体" w:cs="Times New Roman"/>
          <w:lang w:val="en-US" w:eastAsia="zh-CN"/>
        </w:rPr>
        <w:t>2023年12月付清</w:t>
      </w:r>
      <w:r>
        <w:rPr>
          <w:rFonts w:hint="default" w:ascii="仿宋_GB2312" w:hAnsi="宋体" w:cs="Times New Roman"/>
          <w:lang w:val="zh-CN"/>
        </w:rPr>
        <w:t>，完成了年度绩效目标。</w:t>
      </w:r>
      <w:r>
        <w:rPr>
          <w:rFonts w:hint="eastAsia" w:ascii="仿宋_GB2312" w:hAnsi="宋体" w:cs="Times New Roman"/>
          <w:lang w:val="en-US" w:eastAsia="zh-CN"/>
        </w:rPr>
        <w:t>资金</w:t>
      </w:r>
      <w:r>
        <w:rPr>
          <w:rFonts w:hint="default" w:ascii="仿宋_GB2312" w:hAnsi="宋体" w:cs="Times New Roman"/>
          <w:lang w:val="zh-CN"/>
        </w:rPr>
        <w:t>的日常管理均按照相关管理制度执行，建立了工作有计划、实施有方案、日常有监督的管理机制，工作取得了较好的成效。</w:t>
      </w:r>
      <w:r>
        <w:rPr>
          <w:rFonts w:hint="eastAsia" w:ascii="仿宋_GB2312" w:hAnsi="宋体" w:cs="Times New Roman"/>
          <w:lang w:val="en-US" w:eastAsia="zh-CN"/>
        </w:rPr>
        <w:t>资金</w:t>
      </w:r>
      <w:r>
        <w:rPr>
          <w:rFonts w:hint="default" w:ascii="仿宋_GB2312" w:hAnsi="宋体" w:cs="Times New Roman"/>
          <w:lang w:val="zh-CN"/>
        </w:rPr>
        <w:t>严格执行财务管理制度，拔付有完整的审批程序和手续，专款专用，不存在截留、挤占、挪用等情况。</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（一）项目完成情况。</w:t>
      </w:r>
    </w:p>
    <w:p>
      <w:pPr>
        <w:spacing w:line="560" w:lineRule="exact"/>
        <w:ind w:firstLine="640" w:firstLineChars="200"/>
        <w:rPr>
          <w:rFonts w:ascii="楷体_GB2312" w:hAnsi="宋体" w:eastAsia="楷体_GB2312"/>
          <w:b/>
          <w:lang w:val="zh-CN"/>
        </w:rPr>
      </w:pPr>
      <w:r>
        <w:rPr>
          <w:rFonts w:hint="eastAsia" w:ascii="仿宋_GB2312" w:hAnsi="宋体" w:cs="Times New Roman"/>
          <w:lang w:val="en-US" w:eastAsia="zh-CN"/>
        </w:rPr>
        <w:t>2023年12月，已将</w:t>
      </w:r>
      <w:r>
        <w:rPr>
          <w:rFonts w:hint="eastAsia" w:ascii="仿宋_GB2312" w:hAnsi="宋体" w:cs="宋体"/>
          <w:sz w:val="32"/>
          <w:szCs w:val="32"/>
          <w:lang w:val="en-US" w:eastAsia="zh-CN"/>
        </w:rPr>
        <w:t>实际到位的</w:t>
      </w:r>
      <w:r>
        <w:rPr>
          <w:rFonts w:hint="eastAsia" w:ascii="仿宋_GB2312" w:hAnsi="宋体" w:eastAsia="仿宋_GB2312" w:cs="仿宋_GB2312"/>
          <w:color w:val="000000"/>
          <w:kern w:val="0"/>
          <w:sz w:val="31"/>
          <w:szCs w:val="31"/>
          <w:lang w:val="en-US" w:eastAsia="zh-CN" w:bidi="ar"/>
        </w:rPr>
        <w:t>16617.3万元</w:t>
      </w:r>
      <w:r>
        <w:rPr>
          <w:rFonts w:hint="eastAsia" w:ascii="仿宋_GB2312" w:hAnsi="宋体" w:cs="仿宋_GB2312"/>
          <w:color w:val="000000"/>
          <w:kern w:val="0"/>
          <w:sz w:val="31"/>
          <w:szCs w:val="31"/>
          <w:lang w:val="en-US" w:eastAsia="zh-CN" w:bidi="ar"/>
        </w:rPr>
        <w:t>资金</w:t>
      </w:r>
      <w:r>
        <w:rPr>
          <w:rFonts w:hint="eastAsia" w:ascii="仿宋_GB2312" w:hAnsi="宋体" w:cs="宋体"/>
          <w:sz w:val="32"/>
          <w:szCs w:val="32"/>
          <w:lang w:val="en-US" w:eastAsia="zh-CN"/>
        </w:rPr>
        <w:t>全部用于</w:t>
      </w:r>
      <w:r>
        <w:rPr>
          <w:rFonts w:hint="eastAsia" w:ascii="仿宋_GB2312" w:hAnsi="宋体"/>
          <w:lang w:val="en-US" w:eastAsia="zh-CN"/>
        </w:rPr>
        <w:t>支付2023年</w:t>
      </w:r>
      <w:r>
        <w:rPr>
          <w:rFonts w:hint="eastAsia" w:ascii="仿宋_GB2312" w:hAnsi="宋体" w:eastAsia="仿宋_GB2312"/>
          <w:color w:val="auto"/>
          <w:kern w:val="2"/>
          <w:sz w:val="32"/>
          <w:szCs w:val="32"/>
        </w:rPr>
        <w:t>建设项目土地划拨成本</w:t>
      </w:r>
      <w:r>
        <w:rPr>
          <w:rFonts w:hint="eastAsia" w:ascii="仿宋_GB2312" w:hAnsi="宋体"/>
          <w:color w:val="auto"/>
          <w:kern w:val="2"/>
          <w:sz w:val="32"/>
          <w:szCs w:val="32"/>
          <w:lang w:val="en-US" w:eastAsia="zh-CN"/>
        </w:rPr>
        <w:t>费用。</w:t>
      </w:r>
    </w:p>
    <w:p>
      <w:pPr>
        <w:numPr>
          <w:ilvl w:val="0"/>
          <w:numId w:val="3"/>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项目效益情况。</w:t>
      </w:r>
    </w:p>
    <w:p>
      <w:pPr>
        <w:numPr>
          <w:ilvl w:val="0"/>
          <w:numId w:val="0"/>
        </w:numPr>
        <w:adjustRightInd w:val="0"/>
        <w:snapToGrid w:val="0"/>
        <w:spacing w:line="560" w:lineRule="exact"/>
        <w:ind w:firstLine="640" w:firstLineChars="200"/>
        <w:rPr>
          <w:rFonts w:ascii="楷体_GB2312" w:hAnsi="宋体" w:eastAsia="楷体_GB2312"/>
          <w:b/>
          <w:lang w:val="zh-CN"/>
        </w:rPr>
      </w:pPr>
      <w:r>
        <w:rPr>
          <w:rFonts w:hint="eastAsia" w:ascii="仿宋_GB2312" w:hAnsi="宋体" w:eastAsia="仿宋_GB2312"/>
          <w:color w:val="auto"/>
          <w:kern w:val="2"/>
          <w:sz w:val="32"/>
          <w:szCs w:val="32"/>
        </w:rPr>
        <w:t>建设项目土地划拨成本</w:t>
      </w:r>
      <w:r>
        <w:rPr>
          <w:rFonts w:hint="eastAsia" w:ascii="仿宋_GB2312" w:hAnsi="宋体"/>
          <w:color w:val="auto"/>
          <w:kern w:val="2"/>
          <w:sz w:val="32"/>
          <w:szCs w:val="32"/>
          <w:lang w:val="en-US" w:eastAsia="zh-CN"/>
        </w:rPr>
        <w:t>费用的支付是土地划拨手续办理的关键环节，也是项目顺利实施的前提和重要保障。本次划拨土地均为城市道路和绿化用地，</w:t>
      </w:r>
      <w:r>
        <w:rPr>
          <w:rFonts w:hint="eastAsia" w:ascii="仿宋_GB2312" w:hAnsi="宋体"/>
          <w:color w:val="auto"/>
          <w:lang w:val="zh-CN"/>
        </w:rPr>
        <w:t>项目实施将进一步完善片区基础设施及路网结构，促进生态环境建设，改善居民出行条件、人居环境及城市投资环境，提升周边土地开发价值，并带动</w:t>
      </w:r>
      <w:r>
        <w:rPr>
          <w:rFonts w:hint="eastAsia" w:ascii="仿宋_GB2312" w:eastAsia="仿宋_GB2312"/>
          <w:b w:val="0"/>
          <w:bCs w:val="0"/>
          <w:sz w:val="32"/>
          <w:szCs w:val="32"/>
          <w:lang w:val="en-US" w:eastAsia="zh-CN"/>
        </w:rPr>
        <w:t>普达及南向片区</w:t>
      </w:r>
      <w:r>
        <w:rPr>
          <w:rFonts w:hint="eastAsia" w:ascii="仿宋_GB2312" w:hAnsi="宋体"/>
          <w:color w:val="auto"/>
          <w:lang w:val="zh-CN"/>
        </w:rPr>
        <w:t>其他相关产业的发展，促进当地社会经济的发展。</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_GB2312" w:hAnsi="宋体" w:cs="Times New Roman"/>
          <w:lang w:val="en-US" w:eastAsia="zh-CN"/>
        </w:rPr>
      </w:pPr>
      <w:r>
        <w:rPr>
          <w:rFonts w:hint="eastAsia" w:ascii="仿宋_GB2312" w:hAnsi="宋体" w:cs="Times New Roman"/>
          <w:lang w:val="en-US" w:eastAsia="zh-CN"/>
        </w:rPr>
        <w:t>无。</w:t>
      </w:r>
    </w:p>
    <w:p>
      <w:pPr>
        <w:numPr>
          <w:ilvl w:val="0"/>
          <w:numId w:val="3"/>
        </w:numPr>
        <w:adjustRightInd w:val="0"/>
        <w:snapToGrid w:val="0"/>
        <w:spacing w:line="560" w:lineRule="exact"/>
        <w:ind w:left="0" w:leftChars="0" w:firstLine="720" w:firstLineChars="0"/>
        <w:rPr>
          <w:rFonts w:hint="eastAsia" w:ascii="楷体_GB2312" w:hAnsi="宋体" w:eastAsia="楷体_GB2312"/>
          <w:b/>
          <w:lang w:val="zh-CN"/>
        </w:rPr>
      </w:pPr>
      <w:r>
        <w:rPr>
          <w:rFonts w:hint="eastAsia" w:ascii="楷体_GB2312" w:hAnsi="宋体" w:eastAsia="楷体_GB2312"/>
          <w:b/>
          <w:lang w:val="zh-CN"/>
        </w:rPr>
        <w:t>相关建议。</w:t>
      </w:r>
    </w:p>
    <w:p>
      <w:pPr>
        <w:numPr>
          <w:ilvl w:val="0"/>
          <w:numId w:val="0"/>
        </w:numPr>
        <w:adjustRightInd w:val="0"/>
        <w:snapToGrid w:val="0"/>
        <w:spacing w:line="560" w:lineRule="exact"/>
        <w:ind w:left="720" w:leftChars="0"/>
      </w:pPr>
      <w:r>
        <w:rPr>
          <w:rFonts w:hint="eastAsia" w:ascii="仿宋_GB2312" w:hAnsi="宋体"/>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BA4D5"/>
    <w:multiLevelType w:val="singleLevel"/>
    <w:tmpl w:val="016BA4D5"/>
    <w:lvl w:ilvl="0" w:tentative="0">
      <w:start w:val="2"/>
      <w:numFmt w:val="decimal"/>
      <w:suff w:val="nothing"/>
      <w:lvlText w:val="%1．"/>
      <w:lvlJc w:val="left"/>
    </w:lvl>
  </w:abstractNum>
  <w:abstractNum w:abstractNumId="1">
    <w:nsid w:val="0AA7D690"/>
    <w:multiLevelType w:val="singleLevel"/>
    <w:tmpl w:val="0AA7D690"/>
    <w:lvl w:ilvl="0" w:tentative="0">
      <w:start w:val="2"/>
      <w:numFmt w:val="chineseCounting"/>
      <w:suff w:val="nothing"/>
      <w:lvlText w:val="（%1）"/>
      <w:lvlJc w:val="left"/>
      <w:rPr>
        <w:rFonts w:hint="eastAsia"/>
      </w:rPr>
    </w:lvl>
  </w:abstractNum>
  <w:abstractNum w:abstractNumId="2">
    <w:nsid w:val="1417CC2B"/>
    <w:multiLevelType w:val="singleLevel"/>
    <w:tmpl w:val="1417CC2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N2U0MGJkNzZmOTU0NWE2YmRjZDc1OWYxMTBlNTMifQ=="/>
  </w:docVars>
  <w:rsids>
    <w:rsidRoot w:val="291C455A"/>
    <w:rsid w:val="003414A3"/>
    <w:rsid w:val="00490474"/>
    <w:rsid w:val="00515A0C"/>
    <w:rsid w:val="00866E99"/>
    <w:rsid w:val="00FA5FA5"/>
    <w:rsid w:val="0B2C354F"/>
    <w:rsid w:val="0E135319"/>
    <w:rsid w:val="0EDB478C"/>
    <w:rsid w:val="115C642F"/>
    <w:rsid w:val="116D00E0"/>
    <w:rsid w:val="13AE5449"/>
    <w:rsid w:val="148C3CB9"/>
    <w:rsid w:val="2098593E"/>
    <w:rsid w:val="22F8259A"/>
    <w:rsid w:val="246D160C"/>
    <w:rsid w:val="291C455A"/>
    <w:rsid w:val="2A384018"/>
    <w:rsid w:val="319C46DB"/>
    <w:rsid w:val="329C5876"/>
    <w:rsid w:val="33953AD8"/>
    <w:rsid w:val="355D70C1"/>
    <w:rsid w:val="36926D0C"/>
    <w:rsid w:val="3B312C44"/>
    <w:rsid w:val="3DF37FE1"/>
    <w:rsid w:val="417B1408"/>
    <w:rsid w:val="44A75419"/>
    <w:rsid w:val="44B85878"/>
    <w:rsid w:val="4C115F9A"/>
    <w:rsid w:val="4DAF2BCF"/>
    <w:rsid w:val="4DDB6F66"/>
    <w:rsid w:val="4FCE08AB"/>
    <w:rsid w:val="5B5419FF"/>
    <w:rsid w:val="659A6BA8"/>
    <w:rsid w:val="65F362B8"/>
    <w:rsid w:val="67302E47"/>
    <w:rsid w:val="684828EC"/>
    <w:rsid w:val="68B41D2F"/>
    <w:rsid w:val="6DFB3F5C"/>
    <w:rsid w:val="784B5AE0"/>
    <w:rsid w:val="78D007D6"/>
    <w:rsid w:val="792F2AEE"/>
    <w:rsid w:val="79EB757B"/>
    <w:rsid w:val="7A7E03EF"/>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ind w:firstLine="0" w:firstLineChars="0"/>
      <w:jc w:val="both"/>
    </w:pPr>
    <w:rPr>
      <w:rFonts w:ascii="Calibri" w:hAnsi="Calibri"/>
      <w:kern w:val="2"/>
      <w:sz w:val="32"/>
      <w:szCs w:val="24"/>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四号正文"/>
    <w:basedOn w:val="1"/>
    <w:autoRedefine/>
    <w:qFormat/>
    <w:uiPriority w:val="0"/>
    <w:pPr>
      <w:spacing w:line="360" w:lineRule="auto"/>
    </w:pPr>
    <w:rPr>
      <w:rFonts w:ascii="??" w:hAnsi="??" w:eastAsia="宋体"/>
      <w:color w:val="000000"/>
      <w:kern w:val="0"/>
      <w:sz w:val="28"/>
      <w:szCs w:val="21"/>
      <w:lang w:val="zh-CN"/>
    </w:rPr>
  </w:style>
  <w:style w:type="character" w:customStyle="1" w:styleId="8">
    <w:name w:val="页眉 Char"/>
    <w:basedOn w:val="6"/>
    <w:link w:val="4"/>
    <w:autoRedefine/>
    <w:qFormat/>
    <w:uiPriority w:val="0"/>
    <w:rPr>
      <w:rFonts w:ascii="Times New Roman" w:hAnsi="Times New Roman" w:eastAsia="仿宋_GB2312" w:cs="Times New Roman"/>
      <w:kern w:val="2"/>
      <w:sz w:val="18"/>
      <w:szCs w:val="18"/>
    </w:rPr>
  </w:style>
  <w:style w:type="character" w:customStyle="1" w:styleId="9">
    <w:name w:val="页脚 Char"/>
    <w:basedOn w:val="6"/>
    <w:link w:val="3"/>
    <w:autoRedefine/>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132</Words>
  <Characters>753</Characters>
  <Lines>6</Lines>
  <Paragraphs>1</Paragraphs>
  <TotalTime>5</TotalTime>
  <ScaleCrop>false</ScaleCrop>
  <LinksUpToDate>false</LinksUpToDate>
  <CharactersWithSpaces>884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cp:lastModifiedBy>
  <dcterms:modified xsi:type="dcterms:W3CDTF">2024-05-17T02:02:48Z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37AB5441F8464A27A92ADD3B0F807CE3</vt:lpwstr>
  </property>
</Properties>
</file>