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229" w:rsidRDefault="00BA0229">
      <w:pPr>
        <w:spacing w:line="560" w:lineRule="exact"/>
        <w:rPr>
          <w:rFonts w:ascii="黑体" w:eastAsia="黑体" w:hAnsi="黑体" w:cs="黑体"/>
        </w:rPr>
      </w:pPr>
      <w:r>
        <w:rPr>
          <w:rFonts w:ascii="黑体" w:eastAsia="黑体" w:hAnsi="黑体" w:cs="黑体" w:hint="eastAsia"/>
        </w:rPr>
        <w:t>附件</w:t>
      </w:r>
      <w:r>
        <w:rPr>
          <w:rFonts w:ascii="黑体" w:eastAsia="黑体" w:hAnsi="黑体" w:cs="黑体"/>
        </w:rPr>
        <w:t>5</w:t>
      </w:r>
    </w:p>
    <w:p w:rsidR="00BA0229" w:rsidRPr="00DB50DD" w:rsidRDefault="00BA0229" w:rsidP="005051A6">
      <w:pPr>
        <w:pStyle w:val="a"/>
        <w:spacing w:line="560" w:lineRule="exact"/>
        <w:jc w:val="center"/>
        <w:rPr>
          <w:rFonts w:ascii="方正小标宋简体" w:eastAsia="方正小标宋简体" w:hAnsi="宋体" w:cs="Times New Roman"/>
          <w:sz w:val="44"/>
          <w:szCs w:val="44"/>
        </w:rPr>
      </w:pPr>
      <w:r w:rsidRPr="00DB50DD">
        <w:rPr>
          <w:rFonts w:ascii="方正小标宋简体" w:eastAsia="方正小标宋简体" w:hAnsi="宋体" w:cs="方正小标宋简体" w:hint="eastAsia"/>
          <w:sz w:val="44"/>
          <w:szCs w:val="44"/>
        </w:rPr>
        <w:t>攀枝花市仁和区综合行政执法局</w:t>
      </w:r>
    </w:p>
    <w:p w:rsidR="00BA0229" w:rsidRDefault="00BA0229" w:rsidP="005051A6">
      <w:pPr>
        <w:pStyle w:val="a"/>
        <w:spacing w:line="560" w:lineRule="exact"/>
        <w:jc w:val="center"/>
        <w:rPr>
          <w:rFonts w:ascii="方正小标宋简体" w:eastAsia="方正小标宋简体" w:hAnsi="宋体" w:cs="Times New Roman"/>
          <w:sz w:val="44"/>
          <w:szCs w:val="44"/>
        </w:rPr>
      </w:pPr>
      <w:r>
        <w:rPr>
          <w:rFonts w:ascii="方正小标宋简体" w:eastAsia="方正小标宋简体" w:hAnsi="宋体" w:cs="方正小标宋简体"/>
          <w:sz w:val="44"/>
          <w:szCs w:val="44"/>
          <w:lang w:val="en-US"/>
        </w:rPr>
        <w:t>2023</w:t>
      </w:r>
      <w:r>
        <w:rPr>
          <w:rFonts w:ascii="方正小标宋简体" w:eastAsia="方正小标宋简体" w:hAnsi="宋体" w:cs="方正小标宋简体" w:hint="eastAsia"/>
          <w:sz w:val="44"/>
          <w:szCs w:val="44"/>
          <w:lang w:val="en-US"/>
        </w:rPr>
        <w:t>年</w:t>
      </w:r>
      <w:r>
        <w:rPr>
          <w:rFonts w:ascii="方正小标宋简体" w:eastAsia="方正小标宋简体" w:hAnsi="宋体" w:cs="方正小标宋简体" w:hint="eastAsia"/>
          <w:sz w:val="44"/>
          <w:szCs w:val="44"/>
        </w:rPr>
        <w:t>项目支出绩效自评报告</w:t>
      </w:r>
    </w:p>
    <w:p w:rsidR="00BA0229" w:rsidRDefault="00BA0229">
      <w:pPr>
        <w:pStyle w:val="a"/>
        <w:spacing w:line="560" w:lineRule="exact"/>
        <w:jc w:val="center"/>
        <w:rPr>
          <w:rFonts w:ascii="仿宋_GB2312" w:eastAsia="仿宋_GB2312" w:hAnsi="宋体" w:cs="Times New Roman"/>
          <w:color w:val="auto"/>
          <w:kern w:val="2"/>
          <w:sz w:val="32"/>
          <w:szCs w:val="32"/>
        </w:rPr>
      </w:pPr>
      <w:r>
        <w:rPr>
          <w:rFonts w:ascii="仿宋_GB2312" w:eastAsia="仿宋_GB2312" w:hAnsi="宋体" w:cs="仿宋_GB2312" w:hint="eastAsia"/>
          <w:color w:val="auto"/>
          <w:kern w:val="2"/>
          <w:sz w:val="32"/>
          <w:szCs w:val="32"/>
        </w:rPr>
        <w:t>（</w:t>
      </w:r>
      <w:r>
        <w:rPr>
          <w:rFonts w:ascii="仿宋_GB2312" w:eastAsia="仿宋_GB2312" w:hAnsi="宋体" w:cs="仿宋_GB2312" w:hint="eastAsia"/>
          <w:color w:val="auto"/>
          <w:kern w:val="2"/>
          <w:sz w:val="32"/>
          <w:szCs w:val="32"/>
          <w:lang w:val="en-US"/>
        </w:rPr>
        <w:t>生活垃圾分类</w:t>
      </w:r>
      <w:r>
        <w:rPr>
          <w:rFonts w:ascii="仿宋_GB2312" w:eastAsia="仿宋_GB2312" w:hAnsi="宋体" w:cs="仿宋_GB2312" w:hint="eastAsia"/>
          <w:color w:val="auto"/>
          <w:kern w:val="2"/>
          <w:sz w:val="32"/>
          <w:szCs w:val="32"/>
        </w:rPr>
        <w:t>项目</w:t>
      </w:r>
      <w:r>
        <w:rPr>
          <w:rFonts w:ascii="仿宋_GB2312" w:eastAsia="仿宋_GB2312" w:hAnsi="宋体" w:cs="仿宋_GB2312" w:hint="eastAsia"/>
          <w:color w:val="auto"/>
          <w:kern w:val="2"/>
          <w:sz w:val="32"/>
          <w:szCs w:val="32"/>
          <w:lang w:val="en-US"/>
        </w:rPr>
        <w:t>经费</w:t>
      </w:r>
      <w:r>
        <w:rPr>
          <w:rFonts w:ascii="仿宋_GB2312" w:eastAsia="仿宋_GB2312" w:hAnsi="宋体" w:cs="仿宋_GB2312"/>
          <w:color w:val="auto"/>
          <w:kern w:val="2"/>
          <w:sz w:val="32"/>
          <w:szCs w:val="32"/>
          <w:lang w:val="en-US"/>
        </w:rPr>
        <w:t>119.16</w:t>
      </w:r>
      <w:r>
        <w:rPr>
          <w:rFonts w:ascii="仿宋_GB2312" w:eastAsia="仿宋_GB2312" w:hAnsi="宋体" w:cs="仿宋_GB2312" w:hint="eastAsia"/>
          <w:color w:val="auto"/>
          <w:kern w:val="2"/>
          <w:sz w:val="32"/>
          <w:szCs w:val="32"/>
          <w:lang w:val="en-US"/>
        </w:rPr>
        <w:t>万元</w:t>
      </w:r>
      <w:r>
        <w:rPr>
          <w:rFonts w:ascii="仿宋_GB2312" w:eastAsia="仿宋_GB2312" w:hAnsi="宋体" w:cs="仿宋_GB2312" w:hint="eastAsia"/>
          <w:color w:val="auto"/>
          <w:kern w:val="2"/>
          <w:sz w:val="32"/>
          <w:szCs w:val="32"/>
        </w:rPr>
        <w:t>）</w:t>
      </w:r>
    </w:p>
    <w:p w:rsidR="00BA0229" w:rsidRDefault="00BA0229">
      <w:pPr>
        <w:pStyle w:val="a"/>
        <w:spacing w:line="560" w:lineRule="exact"/>
        <w:ind w:firstLine="640"/>
        <w:jc w:val="center"/>
        <w:rPr>
          <w:rFonts w:ascii="宋体" w:cs="Times New Roman"/>
          <w:color w:val="auto"/>
          <w:kern w:val="2"/>
          <w:sz w:val="32"/>
          <w:szCs w:val="32"/>
        </w:rPr>
      </w:pPr>
    </w:p>
    <w:p w:rsidR="00BA0229" w:rsidRDefault="00BA0229">
      <w:pPr>
        <w:adjustRightInd w:val="0"/>
        <w:snapToGrid w:val="0"/>
        <w:spacing w:line="560" w:lineRule="exact"/>
        <w:ind w:firstLine="720"/>
        <w:rPr>
          <w:rFonts w:ascii="黑体" w:eastAsia="黑体" w:hAnsi="宋体"/>
          <w:lang w:val="zh-CN"/>
        </w:rPr>
      </w:pPr>
      <w:r>
        <w:rPr>
          <w:rFonts w:ascii="黑体" w:eastAsia="黑体" w:hAnsi="宋体" w:cs="黑体" w:hint="eastAsia"/>
        </w:rPr>
        <w:t>一、</w:t>
      </w:r>
      <w:r>
        <w:rPr>
          <w:rFonts w:ascii="黑体" w:eastAsia="黑体" w:hAnsi="宋体" w:cs="黑体" w:hint="eastAsia"/>
          <w:lang w:val="zh-CN"/>
        </w:rPr>
        <w:t>项目概况</w:t>
      </w:r>
    </w:p>
    <w:p w:rsidR="00BA0229" w:rsidRDefault="00BA0229">
      <w:pPr>
        <w:adjustRightInd w:val="0"/>
        <w:snapToGrid w:val="0"/>
        <w:spacing w:line="560" w:lineRule="exact"/>
        <w:ind w:firstLine="720"/>
        <w:rPr>
          <w:rFonts w:ascii="仿宋_GB2312" w:hAnsi="宋体"/>
          <w:lang w:val="zh-CN"/>
        </w:rPr>
      </w:pPr>
      <w:r>
        <w:rPr>
          <w:rFonts w:ascii="??_GB2312" w:eastAsia="Times New Roman" w:hAnsi="宋体"/>
          <w:b/>
          <w:bCs/>
          <w:lang w:val="zh-CN"/>
        </w:rPr>
        <w:t>（一）项目资金申报及批复情况。</w:t>
      </w:r>
    </w:p>
    <w:p w:rsidR="00BA0229" w:rsidRDefault="00BA0229">
      <w:pPr>
        <w:adjustRightInd w:val="0"/>
        <w:snapToGrid w:val="0"/>
        <w:spacing w:line="560" w:lineRule="exact"/>
        <w:ind w:firstLine="720"/>
        <w:rPr>
          <w:rFonts w:ascii="仿宋_GB2312" w:hAnsi="宋体"/>
          <w:lang w:val="zh-CN"/>
        </w:rPr>
      </w:pPr>
      <w:r>
        <w:rPr>
          <w:rFonts w:ascii="仿宋_GB2312" w:hAnsi="宋体" w:cs="仿宋_GB2312" w:hint="eastAsia"/>
        </w:rPr>
        <w:t>为了促进城乡生活垃圾减量化、资源化、无害化，推进生活垃圾分类工作纵深发展，仁和区于</w:t>
      </w:r>
      <w:r>
        <w:rPr>
          <w:rFonts w:ascii="仿宋_GB2312" w:hAnsi="宋体" w:cs="仿宋_GB2312"/>
        </w:rPr>
        <w:t>2023</w:t>
      </w:r>
      <w:r>
        <w:rPr>
          <w:rFonts w:ascii="仿宋_GB2312" w:hAnsi="宋体" w:cs="仿宋_GB2312" w:hint="eastAsia"/>
        </w:rPr>
        <w:t>年使用垃圾分类资金</w:t>
      </w:r>
      <w:r>
        <w:rPr>
          <w:rFonts w:ascii="仿宋_GB2312" w:hAnsi="宋体" w:cs="仿宋_GB2312"/>
        </w:rPr>
        <w:t>119.16</w:t>
      </w:r>
      <w:r>
        <w:rPr>
          <w:rFonts w:ascii="仿宋_GB2312" w:hAnsi="宋体" w:cs="仿宋_GB2312" w:hint="eastAsia"/>
        </w:rPr>
        <w:t>万元，采购一批垃圾分类设施。</w:t>
      </w:r>
    </w:p>
    <w:p w:rsidR="00BA0229" w:rsidRDefault="00BA0229">
      <w:pPr>
        <w:adjustRightInd w:val="0"/>
        <w:snapToGrid w:val="0"/>
        <w:spacing w:line="560" w:lineRule="exact"/>
        <w:ind w:firstLine="720"/>
        <w:rPr>
          <w:rFonts w:ascii="仿宋_GB2312" w:hAnsi="宋体" w:cs="仿宋_GB2312"/>
        </w:rPr>
      </w:pPr>
      <w:r>
        <w:rPr>
          <w:rFonts w:ascii="??_GB2312" w:eastAsia="Times New Roman" w:hAnsi="宋体"/>
          <w:b/>
          <w:bCs/>
          <w:lang w:val="zh-CN"/>
        </w:rPr>
        <w:t>（二）项目绩效目标。</w:t>
      </w:r>
      <w:r>
        <w:rPr>
          <w:rFonts w:ascii="仿宋_GB2312" w:hAnsi="宋体" w:cs="仿宋_GB2312"/>
        </w:rPr>
        <w:t xml:space="preserve">  </w:t>
      </w:r>
    </w:p>
    <w:p w:rsidR="00BA0229" w:rsidRDefault="00BA0229">
      <w:pPr>
        <w:adjustRightInd w:val="0"/>
        <w:snapToGrid w:val="0"/>
        <w:spacing w:line="560" w:lineRule="exact"/>
        <w:ind w:firstLine="720"/>
        <w:rPr>
          <w:rFonts w:ascii="仿宋_GB2312" w:hAnsi="宋体"/>
        </w:rPr>
      </w:pPr>
      <w:r>
        <w:rPr>
          <w:rFonts w:ascii="仿宋_GB2312" w:hAnsi="宋体" w:cs="仿宋_GB2312" w:hint="eastAsia"/>
        </w:rPr>
        <w:t>项目主要内容：生活垃圾转运容器采购、三分类果皮箱采购、生活垃圾分类桶采购以及生活垃圾分类箱采购。</w:t>
      </w:r>
    </w:p>
    <w:p w:rsidR="00BA0229" w:rsidRDefault="00BA0229">
      <w:pPr>
        <w:adjustRightInd w:val="0"/>
        <w:snapToGrid w:val="0"/>
        <w:spacing w:line="560" w:lineRule="exact"/>
        <w:ind w:firstLine="720"/>
        <w:rPr>
          <w:rFonts w:ascii="仿宋_GB2312" w:hAnsi="宋体"/>
        </w:rPr>
      </w:pPr>
      <w:r>
        <w:rPr>
          <w:rFonts w:ascii="仿宋_GB2312" w:hAnsi="宋体" w:cs="仿宋_GB2312" w:hint="eastAsia"/>
        </w:rPr>
        <w:t>绩效目标：采购生活垃圾转运容器</w:t>
      </w:r>
      <w:r>
        <w:rPr>
          <w:rFonts w:ascii="仿宋_GB2312" w:hAnsi="宋体" w:cs="仿宋_GB2312"/>
        </w:rPr>
        <w:t>2</w:t>
      </w:r>
      <w:r>
        <w:rPr>
          <w:rFonts w:ascii="仿宋_GB2312" w:hAnsi="宋体" w:cs="仿宋_GB2312" w:hint="eastAsia"/>
        </w:rPr>
        <w:t>个、三分类果皮箱</w:t>
      </w:r>
      <w:r>
        <w:rPr>
          <w:rFonts w:ascii="仿宋_GB2312" w:hAnsi="宋体" w:cs="仿宋_GB2312"/>
        </w:rPr>
        <w:t>320</w:t>
      </w:r>
      <w:r>
        <w:rPr>
          <w:rFonts w:ascii="仿宋_GB2312" w:hAnsi="宋体" w:cs="仿宋_GB2312" w:hint="eastAsia"/>
        </w:rPr>
        <w:t>组、</w:t>
      </w:r>
      <w:r>
        <w:rPr>
          <w:rFonts w:ascii="仿宋_GB2312" w:hAnsi="宋体" w:cs="仿宋_GB2312"/>
        </w:rPr>
        <w:t>660L</w:t>
      </w:r>
      <w:r>
        <w:rPr>
          <w:rFonts w:ascii="仿宋_GB2312" w:hAnsi="宋体" w:cs="仿宋_GB2312" w:hint="eastAsia"/>
        </w:rPr>
        <w:t>垃圾分类桶</w:t>
      </w:r>
      <w:r>
        <w:rPr>
          <w:rFonts w:ascii="仿宋_GB2312" w:hAnsi="宋体" w:cs="仿宋_GB2312"/>
        </w:rPr>
        <w:t>220</w:t>
      </w:r>
      <w:r>
        <w:rPr>
          <w:rFonts w:ascii="仿宋_GB2312" w:hAnsi="宋体" w:cs="仿宋_GB2312" w:hint="eastAsia"/>
        </w:rPr>
        <w:t>个、</w:t>
      </w:r>
      <w:r>
        <w:rPr>
          <w:rFonts w:ascii="仿宋_GB2312" w:hAnsi="宋体" w:cs="仿宋_GB2312"/>
        </w:rPr>
        <w:t>240L</w:t>
      </w:r>
      <w:r>
        <w:rPr>
          <w:rFonts w:ascii="仿宋_GB2312" w:hAnsi="宋体" w:cs="仿宋_GB2312" w:hint="eastAsia"/>
        </w:rPr>
        <w:t>垃圾分类桶</w:t>
      </w:r>
      <w:r>
        <w:rPr>
          <w:rFonts w:ascii="仿宋_GB2312" w:hAnsi="宋体" w:cs="仿宋_GB2312"/>
        </w:rPr>
        <w:t>260</w:t>
      </w:r>
      <w:r>
        <w:rPr>
          <w:rFonts w:ascii="仿宋_GB2312" w:hAnsi="宋体" w:cs="仿宋_GB2312" w:hint="eastAsia"/>
        </w:rPr>
        <w:t>个、垃圾分类箱</w:t>
      </w:r>
      <w:r>
        <w:rPr>
          <w:rFonts w:ascii="仿宋_GB2312" w:hAnsi="宋体" w:cs="仿宋_GB2312"/>
        </w:rPr>
        <w:t>25</w:t>
      </w:r>
      <w:r>
        <w:rPr>
          <w:rFonts w:ascii="仿宋_GB2312" w:hAnsi="宋体" w:cs="仿宋_GB2312" w:hint="eastAsia"/>
        </w:rPr>
        <w:t>组。</w:t>
      </w:r>
    </w:p>
    <w:p w:rsidR="00BA0229" w:rsidRDefault="00BA0229">
      <w:pPr>
        <w:adjustRightInd w:val="0"/>
        <w:snapToGrid w:val="0"/>
        <w:spacing w:line="560" w:lineRule="exact"/>
        <w:ind w:firstLine="720"/>
        <w:rPr>
          <w:rFonts w:ascii="仿宋_GB2312" w:hAnsi="宋体"/>
        </w:rPr>
      </w:pPr>
      <w:r>
        <w:rPr>
          <w:rFonts w:ascii="仿宋_GB2312" w:hAnsi="宋体" w:cs="仿宋_GB2312" w:hint="eastAsia"/>
          <w:lang w:val="zh-CN"/>
        </w:rPr>
        <w:t>进度计划：</w:t>
      </w:r>
      <w:r>
        <w:rPr>
          <w:rFonts w:ascii="仿宋_GB2312" w:hAnsi="宋体" w:cs="仿宋_GB2312"/>
        </w:rPr>
        <w:t>2023</w:t>
      </w:r>
      <w:r>
        <w:rPr>
          <w:rFonts w:ascii="仿宋_GB2312" w:hAnsi="宋体" w:cs="仿宋_GB2312" w:hint="eastAsia"/>
        </w:rPr>
        <w:t>年底完成。</w:t>
      </w:r>
    </w:p>
    <w:p w:rsidR="00BA0229" w:rsidRDefault="00BA0229">
      <w:pPr>
        <w:numPr>
          <w:ilvl w:val="0"/>
          <w:numId w:val="1"/>
        </w:numPr>
        <w:adjustRightInd w:val="0"/>
        <w:snapToGrid w:val="0"/>
        <w:spacing w:line="560" w:lineRule="exact"/>
        <w:ind w:firstLine="720"/>
        <w:rPr>
          <w:rFonts w:ascii="??_GB2312" w:eastAsia="Times New Roman" w:hAnsi="宋体"/>
          <w:b/>
          <w:bCs/>
          <w:lang w:val="zh-CN"/>
        </w:rPr>
      </w:pPr>
      <w:r>
        <w:rPr>
          <w:rFonts w:ascii="??_GB2312" w:eastAsia="Times New Roman" w:hAnsi="宋体"/>
          <w:b/>
          <w:bCs/>
          <w:lang w:val="zh-CN"/>
        </w:rPr>
        <w:t>项目资金申报相符性。</w:t>
      </w:r>
    </w:p>
    <w:p w:rsidR="00BA0229" w:rsidRDefault="00BA0229" w:rsidP="00206CD3">
      <w:pPr>
        <w:adjustRightInd w:val="0"/>
        <w:snapToGrid w:val="0"/>
        <w:spacing w:line="560" w:lineRule="exact"/>
        <w:ind w:firstLineChars="200" w:firstLine="31680"/>
        <w:rPr>
          <w:rFonts w:ascii="仿宋_GB2312" w:hAnsi="宋体"/>
          <w:lang w:val="zh-CN"/>
        </w:rPr>
      </w:pPr>
      <w:r>
        <w:rPr>
          <w:rFonts w:ascii="仿宋_GB2312" w:hAnsi="仿宋_GB2312" w:cs="仿宋_GB2312" w:hint="eastAsia"/>
        </w:rPr>
        <w:t>项目资金用于采购垃圾收集桶，以此完善垃圾分类基础设施，推进垃圾分类工作向纵深发展。项目资金申报内容与具体实施内容相符，申报目标合理可行。</w:t>
      </w:r>
    </w:p>
    <w:p w:rsidR="00BA0229" w:rsidRDefault="00BA0229">
      <w:pPr>
        <w:adjustRightInd w:val="0"/>
        <w:snapToGrid w:val="0"/>
        <w:spacing w:line="560" w:lineRule="exact"/>
        <w:ind w:firstLine="720"/>
        <w:rPr>
          <w:rFonts w:ascii="黑体" w:eastAsia="黑体" w:hAnsi="宋体"/>
        </w:rPr>
      </w:pPr>
      <w:r>
        <w:rPr>
          <w:rFonts w:ascii="黑体" w:eastAsia="黑体" w:hAnsi="宋体" w:cs="黑体" w:hint="eastAsia"/>
        </w:rPr>
        <w:t>二、项目实施及管理情况</w:t>
      </w:r>
    </w:p>
    <w:p w:rsidR="00BA0229" w:rsidRDefault="00BA0229">
      <w:pPr>
        <w:adjustRightInd w:val="0"/>
        <w:snapToGrid w:val="0"/>
        <w:spacing w:line="560" w:lineRule="exact"/>
        <w:ind w:firstLine="720"/>
        <w:rPr>
          <w:rFonts w:ascii="??_GB2312" w:eastAsia="Times New Roman" w:hAnsi="宋体"/>
          <w:b/>
          <w:bCs/>
          <w:lang w:val="zh-CN"/>
        </w:rPr>
      </w:pPr>
      <w:r>
        <w:rPr>
          <w:rFonts w:ascii="仿宋_GB2312" w:hAnsi="宋体"/>
          <w:lang w:val="zh-CN"/>
        </w:rPr>
        <w:tab/>
      </w:r>
      <w:r>
        <w:rPr>
          <w:rFonts w:ascii="??_GB2312" w:eastAsia="Times New Roman" w:hAnsi="宋体"/>
          <w:b/>
          <w:bCs/>
          <w:lang w:val="zh-CN"/>
        </w:rPr>
        <w:t>（一）资金计划、到位及使用情况。</w:t>
      </w:r>
    </w:p>
    <w:p w:rsidR="00BA0229" w:rsidRDefault="00BA0229">
      <w:pPr>
        <w:adjustRightInd w:val="0"/>
        <w:snapToGrid w:val="0"/>
        <w:spacing w:line="560" w:lineRule="exact"/>
        <w:ind w:firstLine="720"/>
        <w:rPr>
          <w:rFonts w:ascii="仿宋_GB2312" w:hAnsi="宋体"/>
          <w:lang w:val="zh-CN"/>
        </w:rPr>
      </w:pPr>
      <w:r>
        <w:rPr>
          <w:rFonts w:ascii="??_GB2312" w:eastAsia="Times New Roman" w:hAnsi="宋体" w:cs="??_GB2312"/>
          <w:lang w:val="zh-CN"/>
        </w:rPr>
        <w:t>1</w:t>
      </w:r>
      <w:r>
        <w:rPr>
          <w:rFonts w:ascii="??_GB2312" w:eastAsia="Times New Roman" w:hAnsi="宋体"/>
          <w:lang w:val="zh-CN"/>
        </w:rPr>
        <w:t>．资金计划及到位。</w:t>
      </w:r>
    </w:p>
    <w:p w:rsidR="00BA0229" w:rsidRDefault="00BA0229" w:rsidP="00206CD3">
      <w:pPr>
        <w:pStyle w:val="NormalWeb"/>
        <w:widowControl/>
        <w:shd w:val="clear" w:color="auto" w:fill="FFFFFF"/>
        <w:spacing w:before="0" w:beforeAutospacing="0" w:after="0" w:afterAutospacing="0" w:line="600" w:lineRule="atLeast"/>
        <w:ind w:firstLineChars="200" w:firstLine="31680"/>
        <w:rPr>
          <w:rFonts w:ascii="Calibri" w:hAnsi="Calibri" w:cs="Calibri"/>
          <w:sz w:val="21"/>
          <w:szCs w:val="21"/>
        </w:rPr>
      </w:pPr>
      <w:r>
        <w:rPr>
          <w:rFonts w:ascii="楷体_GB2312" w:eastAsia="楷体_GB2312" w:hAnsi="楷体_GB2312" w:cs="楷体_GB2312" w:hint="eastAsia"/>
          <w:sz w:val="32"/>
          <w:szCs w:val="32"/>
          <w:shd w:val="clear" w:color="auto" w:fill="FFFFFF"/>
        </w:rPr>
        <w:t>⑴资金计划。</w:t>
      </w:r>
      <w:r>
        <w:rPr>
          <w:rFonts w:ascii="仿宋_GB2312" w:eastAsia="仿宋_GB2312" w:hAnsi="仿宋_GB2312" w:cs="仿宋_GB2312" w:hint="eastAsia"/>
          <w:sz w:val="32"/>
          <w:szCs w:val="32"/>
          <w:shd w:val="clear" w:color="auto" w:fill="FFFFFF"/>
        </w:rPr>
        <w:t>项目总资金</w:t>
      </w:r>
      <w:r>
        <w:rPr>
          <w:rFonts w:ascii="仿宋_GB2312" w:eastAsia="仿宋_GB2312" w:hAnsi="宋体" w:cs="仿宋_GB2312"/>
          <w:kern w:val="2"/>
          <w:sz w:val="32"/>
          <w:szCs w:val="32"/>
        </w:rPr>
        <w:t>420</w:t>
      </w:r>
      <w:r>
        <w:rPr>
          <w:rFonts w:ascii="仿宋_GB2312" w:eastAsia="仿宋_GB2312" w:hAnsi="仿宋_GB2312" w:cs="仿宋_GB2312" w:hint="eastAsia"/>
          <w:sz w:val="32"/>
          <w:szCs w:val="32"/>
          <w:shd w:val="clear" w:color="auto" w:fill="FFFFFF"/>
        </w:rPr>
        <w:t>万元，</w:t>
      </w:r>
      <w:r w:rsidRPr="005051A6">
        <w:rPr>
          <w:rFonts w:ascii="仿宋_GB2312" w:eastAsia="仿宋_GB2312" w:hAnsi="仿宋_GB2312" w:cs="仿宋_GB2312" w:hint="eastAsia"/>
          <w:sz w:val="32"/>
          <w:szCs w:val="32"/>
          <w:shd w:val="clear" w:color="auto" w:fill="FFFFFF"/>
        </w:rPr>
        <w:t>经过二次分配，乡镇</w:t>
      </w:r>
      <w:r w:rsidRPr="005051A6">
        <w:rPr>
          <w:rFonts w:ascii="仿宋_GB2312" w:eastAsia="仿宋_GB2312" w:hAnsi="仿宋_GB2312" w:cs="仿宋_GB2312"/>
          <w:sz w:val="32"/>
          <w:szCs w:val="32"/>
          <w:shd w:val="clear" w:color="auto" w:fill="FFFFFF"/>
        </w:rPr>
        <w:t>161</w:t>
      </w:r>
      <w:r w:rsidRPr="005051A6">
        <w:rPr>
          <w:rFonts w:ascii="仿宋_GB2312" w:eastAsia="仿宋_GB2312" w:hAnsi="仿宋_GB2312" w:cs="仿宋_GB2312" w:hint="eastAsia"/>
          <w:sz w:val="32"/>
          <w:szCs w:val="32"/>
          <w:shd w:val="clear" w:color="auto" w:fill="FFFFFF"/>
        </w:rPr>
        <w:t>万元，我局</w:t>
      </w:r>
      <w:r w:rsidRPr="005051A6">
        <w:rPr>
          <w:rFonts w:ascii="仿宋_GB2312" w:eastAsia="仿宋_GB2312" w:hAnsi="仿宋_GB2312" w:cs="仿宋_GB2312"/>
          <w:sz w:val="32"/>
          <w:szCs w:val="32"/>
          <w:shd w:val="clear" w:color="auto" w:fill="FFFFFF"/>
        </w:rPr>
        <w:t>259</w:t>
      </w:r>
      <w:r w:rsidRPr="005051A6">
        <w:rPr>
          <w:rFonts w:ascii="仿宋_GB2312" w:eastAsia="仿宋_GB2312" w:hAnsi="仿宋_GB2312" w:cs="仿宋_GB2312" w:hint="eastAsia"/>
          <w:sz w:val="32"/>
          <w:szCs w:val="32"/>
          <w:shd w:val="clear" w:color="auto" w:fill="FFFFFF"/>
        </w:rPr>
        <w:t>万元，</w:t>
      </w:r>
      <w:r w:rsidRPr="005051A6">
        <w:rPr>
          <w:rFonts w:ascii="仿宋_GB2312" w:eastAsia="仿宋_GB2312" w:hAnsi="仿宋_GB2312" w:cs="仿宋_GB2312"/>
          <w:sz w:val="32"/>
          <w:szCs w:val="32"/>
          <w:shd w:val="clear" w:color="auto" w:fill="FFFFFF"/>
        </w:rPr>
        <w:t>2021</w:t>
      </w:r>
      <w:r w:rsidRPr="005051A6">
        <w:rPr>
          <w:rFonts w:ascii="仿宋_GB2312" w:eastAsia="仿宋_GB2312" w:hAnsi="仿宋_GB2312" w:cs="仿宋_GB2312" w:hint="eastAsia"/>
          <w:sz w:val="32"/>
          <w:szCs w:val="32"/>
          <w:shd w:val="clear" w:color="auto" w:fill="FFFFFF"/>
        </w:rPr>
        <w:t>年支付</w:t>
      </w:r>
      <w:r w:rsidRPr="005051A6">
        <w:rPr>
          <w:rFonts w:ascii="仿宋_GB2312" w:eastAsia="仿宋_GB2312" w:hAnsi="仿宋_GB2312" w:cs="仿宋_GB2312"/>
          <w:sz w:val="32"/>
          <w:szCs w:val="32"/>
          <w:shd w:val="clear" w:color="auto" w:fill="FFFFFF"/>
        </w:rPr>
        <w:t>3.3</w:t>
      </w:r>
      <w:r w:rsidRPr="005051A6">
        <w:rPr>
          <w:rFonts w:ascii="仿宋_GB2312" w:eastAsia="仿宋_GB2312" w:hAnsi="仿宋_GB2312" w:cs="仿宋_GB2312" w:hint="eastAsia"/>
          <w:sz w:val="32"/>
          <w:szCs w:val="32"/>
          <w:shd w:val="clear" w:color="auto" w:fill="FFFFFF"/>
        </w:rPr>
        <w:t>万元，</w:t>
      </w:r>
      <w:r>
        <w:rPr>
          <w:rFonts w:ascii="仿宋_GB2312" w:eastAsia="仿宋_GB2312" w:hAnsi="仿宋_GB2312" w:cs="仿宋_GB2312"/>
          <w:sz w:val="32"/>
          <w:szCs w:val="32"/>
          <w:shd w:val="clear" w:color="auto" w:fill="FFFFFF"/>
        </w:rPr>
        <w:t>2023</w:t>
      </w:r>
      <w:r>
        <w:rPr>
          <w:rFonts w:ascii="仿宋_GB2312" w:eastAsia="仿宋_GB2312" w:hAnsi="仿宋_GB2312" w:cs="仿宋_GB2312" w:hint="eastAsia"/>
          <w:sz w:val="32"/>
          <w:szCs w:val="32"/>
          <w:shd w:val="clear" w:color="auto" w:fill="FFFFFF"/>
        </w:rPr>
        <w:t>年下达</w:t>
      </w:r>
      <w:r w:rsidRPr="005051A6">
        <w:rPr>
          <w:rFonts w:ascii="仿宋_GB2312" w:eastAsia="仿宋_GB2312" w:hAnsi="仿宋_GB2312" w:cs="仿宋_GB2312" w:hint="eastAsia"/>
          <w:sz w:val="32"/>
          <w:szCs w:val="32"/>
          <w:shd w:val="clear" w:color="auto" w:fill="FFFFFF"/>
        </w:rPr>
        <w:t>资金</w:t>
      </w:r>
      <w:r>
        <w:rPr>
          <w:rFonts w:ascii="仿宋_GB2312" w:eastAsia="仿宋_GB2312" w:hAnsi="仿宋_GB2312" w:cs="仿宋_GB2312" w:hint="eastAsia"/>
          <w:sz w:val="32"/>
          <w:szCs w:val="32"/>
          <w:shd w:val="clear" w:color="auto" w:fill="FFFFFF"/>
        </w:rPr>
        <w:t>计划</w:t>
      </w:r>
      <w:r w:rsidRPr="005051A6">
        <w:rPr>
          <w:rFonts w:ascii="仿宋_GB2312" w:eastAsia="仿宋_GB2312" w:hAnsi="仿宋_GB2312" w:cs="仿宋_GB2312"/>
          <w:sz w:val="32"/>
          <w:szCs w:val="32"/>
          <w:shd w:val="clear" w:color="auto" w:fill="FFFFFF"/>
        </w:rPr>
        <w:t>255.7</w:t>
      </w:r>
      <w:r w:rsidRPr="005051A6">
        <w:rPr>
          <w:rFonts w:ascii="仿宋_GB2312" w:eastAsia="仿宋_GB2312" w:hAnsi="仿宋_GB2312" w:cs="仿宋_GB2312" w:hint="eastAsia"/>
          <w:sz w:val="32"/>
          <w:szCs w:val="32"/>
          <w:shd w:val="clear" w:color="auto" w:fill="FFFFFF"/>
        </w:rPr>
        <w:t>万元，</w:t>
      </w:r>
      <w:r>
        <w:rPr>
          <w:rFonts w:ascii="仿宋_GB2312" w:eastAsia="仿宋_GB2312" w:hAnsi="仿宋_GB2312" w:cs="仿宋_GB2312" w:hint="eastAsia"/>
          <w:sz w:val="32"/>
          <w:szCs w:val="32"/>
          <w:shd w:val="clear" w:color="auto" w:fill="FFFFFF"/>
        </w:rPr>
        <w:t>资金来源为上级财政资金，无其他资金。</w:t>
      </w:r>
    </w:p>
    <w:p w:rsidR="00BA0229" w:rsidRDefault="00BA0229" w:rsidP="00206CD3">
      <w:pPr>
        <w:pStyle w:val="NormalWeb"/>
        <w:widowControl/>
        <w:shd w:val="clear" w:color="auto" w:fill="FFFFFF"/>
        <w:spacing w:before="0" w:beforeAutospacing="0" w:after="0" w:afterAutospacing="0" w:line="600" w:lineRule="atLeast"/>
        <w:ind w:firstLineChars="200" w:firstLine="31680"/>
        <w:rPr>
          <w:rFonts w:ascii="Calibri" w:hAnsi="Calibri" w:cs="Calibri"/>
          <w:sz w:val="21"/>
          <w:szCs w:val="21"/>
        </w:rPr>
      </w:pPr>
      <w:r>
        <w:rPr>
          <w:rFonts w:ascii="楷体_GB2312" w:eastAsia="楷体_GB2312" w:hAnsi="楷体_GB2312" w:cs="楷体_GB2312" w:hint="eastAsia"/>
          <w:sz w:val="32"/>
          <w:szCs w:val="32"/>
          <w:shd w:val="clear" w:color="auto" w:fill="FFFFFF"/>
        </w:rPr>
        <w:t>⑵资金到位。</w:t>
      </w:r>
      <w:r>
        <w:rPr>
          <w:rFonts w:ascii="仿宋_GB2312" w:eastAsia="仿宋_GB2312" w:hAnsi="仿宋_GB2312" w:cs="仿宋_GB2312" w:hint="eastAsia"/>
          <w:sz w:val="32"/>
          <w:szCs w:val="32"/>
          <w:shd w:val="clear" w:color="auto" w:fill="FFFFFF"/>
        </w:rPr>
        <w:t>上级资金到位</w:t>
      </w:r>
      <w:r>
        <w:rPr>
          <w:rFonts w:ascii="仿宋_GB2312" w:eastAsia="仿宋_GB2312" w:hAnsi="宋体" w:cs="仿宋_GB2312"/>
          <w:kern w:val="2"/>
          <w:sz w:val="32"/>
          <w:szCs w:val="32"/>
        </w:rPr>
        <w:t>420</w:t>
      </w:r>
      <w:r>
        <w:rPr>
          <w:rFonts w:ascii="仿宋_GB2312" w:eastAsia="仿宋_GB2312" w:hAnsi="仿宋_GB2312" w:cs="仿宋_GB2312" w:hint="eastAsia"/>
          <w:sz w:val="32"/>
          <w:szCs w:val="32"/>
          <w:shd w:val="clear" w:color="auto" w:fill="FFFFFF"/>
        </w:rPr>
        <w:t>万元，到位率</w:t>
      </w:r>
      <w:r>
        <w:rPr>
          <w:rFonts w:ascii="仿宋_GB2312" w:eastAsia="仿宋_GB2312" w:hAnsi="仿宋_GB2312" w:cs="仿宋_GB2312"/>
          <w:sz w:val="32"/>
          <w:szCs w:val="32"/>
          <w:shd w:val="clear" w:color="auto" w:fill="FFFFFF"/>
        </w:rPr>
        <w:t>100%</w:t>
      </w:r>
      <w:r>
        <w:rPr>
          <w:rFonts w:ascii="仿宋_GB2312" w:eastAsia="仿宋_GB2312" w:hAnsi="仿宋_GB2312" w:cs="仿宋_GB2312" w:hint="eastAsia"/>
          <w:sz w:val="32"/>
          <w:szCs w:val="32"/>
          <w:shd w:val="clear" w:color="auto" w:fill="FFFFFF"/>
        </w:rPr>
        <w:t>。</w:t>
      </w:r>
    </w:p>
    <w:p w:rsidR="00BA0229" w:rsidRDefault="00BA0229">
      <w:pPr>
        <w:numPr>
          <w:ilvl w:val="0"/>
          <w:numId w:val="2"/>
        </w:numPr>
        <w:adjustRightInd w:val="0"/>
        <w:snapToGrid w:val="0"/>
        <w:spacing w:line="560" w:lineRule="exact"/>
        <w:ind w:firstLine="720"/>
        <w:rPr>
          <w:rFonts w:ascii="仿宋_GB2312" w:hAnsi="宋体"/>
          <w:lang w:val="zh-CN"/>
        </w:rPr>
      </w:pPr>
      <w:r>
        <w:rPr>
          <w:rFonts w:ascii="??_GB2312" w:eastAsia="Times New Roman" w:hAnsi="宋体"/>
          <w:lang w:val="zh-CN"/>
        </w:rPr>
        <w:t>资金使用。</w:t>
      </w:r>
    </w:p>
    <w:p w:rsidR="00BA0229" w:rsidRDefault="00BA0229">
      <w:pPr>
        <w:adjustRightInd w:val="0"/>
        <w:snapToGrid w:val="0"/>
        <w:spacing w:line="560" w:lineRule="exact"/>
        <w:ind w:firstLine="720"/>
        <w:rPr>
          <w:rFonts w:ascii="仿宋_GB2312"/>
          <w:shd w:val="clear" w:color="auto" w:fill="FFFFFF"/>
        </w:rPr>
      </w:pPr>
      <w:r>
        <w:rPr>
          <w:rFonts w:ascii="仿宋_GB2312" w:hAnsi="宋体" w:cs="仿宋_GB2312" w:hint="eastAsia"/>
        </w:rPr>
        <w:t>截至目前，资金已经全部按规定支付，其中，支付果皮箱采购费用</w:t>
      </w:r>
      <w:r>
        <w:rPr>
          <w:rFonts w:ascii="仿宋_GB2312" w:hAnsi="宋体" w:cs="仿宋_GB2312"/>
        </w:rPr>
        <w:t>50.86</w:t>
      </w:r>
      <w:r>
        <w:rPr>
          <w:rFonts w:ascii="仿宋_GB2312" w:hAnsi="宋体" w:cs="仿宋_GB2312" w:hint="eastAsia"/>
        </w:rPr>
        <w:t>万元，支付垃圾转运容器采购费用</w:t>
      </w:r>
      <w:r>
        <w:rPr>
          <w:rFonts w:ascii="仿宋_GB2312" w:hAnsi="宋体" w:cs="仿宋_GB2312"/>
        </w:rPr>
        <w:t>33.6</w:t>
      </w:r>
      <w:r>
        <w:rPr>
          <w:rFonts w:ascii="仿宋_GB2312" w:hAnsi="宋体" w:cs="仿宋_GB2312" w:hint="eastAsia"/>
        </w:rPr>
        <w:t>万元，支付垃圾分类箱采购</w:t>
      </w:r>
      <w:r>
        <w:rPr>
          <w:rFonts w:ascii="仿宋_GB2312" w:hAnsi="宋体" w:cs="仿宋_GB2312"/>
        </w:rPr>
        <w:t>8.9</w:t>
      </w:r>
      <w:r>
        <w:rPr>
          <w:rFonts w:ascii="仿宋_GB2312" w:hAnsi="宋体" w:cs="仿宋_GB2312" w:hint="eastAsia"/>
        </w:rPr>
        <w:t>万元，支付垃圾桶采购费用</w:t>
      </w:r>
      <w:r>
        <w:rPr>
          <w:rFonts w:ascii="仿宋_GB2312" w:hAnsi="宋体" w:cs="仿宋_GB2312"/>
        </w:rPr>
        <w:t>25.8</w:t>
      </w:r>
      <w:r>
        <w:rPr>
          <w:rFonts w:ascii="仿宋_GB2312" w:hAnsi="宋体" w:cs="仿宋_GB2312" w:hint="eastAsia"/>
        </w:rPr>
        <w:t>万元，</w:t>
      </w:r>
      <w:r>
        <w:rPr>
          <w:rFonts w:ascii="仿宋_GB2312" w:hAnsi="仿宋_GB2312" w:cs="仿宋_GB2312" w:hint="eastAsia"/>
          <w:shd w:val="clear" w:color="auto" w:fill="FFFFFF"/>
        </w:rPr>
        <w:t>共计使用资金</w:t>
      </w:r>
      <w:r>
        <w:rPr>
          <w:rFonts w:ascii="仿宋_GB2312" w:hAnsi="宋体" w:cs="仿宋_GB2312"/>
        </w:rPr>
        <w:t>119.16</w:t>
      </w:r>
      <w:r>
        <w:rPr>
          <w:rFonts w:ascii="仿宋_GB2312" w:hAnsi="仿宋_GB2312" w:cs="仿宋_GB2312" w:hint="eastAsia"/>
          <w:shd w:val="clear" w:color="auto" w:fill="FFFFFF"/>
        </w:rPr>
        <w:t>万元，使用率</w:t>
      </w:r>
      <w:r>
        <w:rPr>
          <w:rFonts w:ascii="仿宋_GB2312" w:hAnsi="仿宋_GB2312" w:cs="仿宋_GB2312"/>
          <w:shd w:val="clear" w:color="auto" w:fill="FFFFFF"/>
        </w:rPr>
        <w:t>47%</w:t>
      </w:r>
      <w:r>
        <w:rPr>
          <w:rFonts w:ascii="仿宋_GB2312" w:hAnsi="仿宋_GB2312" w:cs="仿宋_GB2312" w:hint="eastAsia"/>
          <w:shd w:val="clear" w:color="auto" w:fill="FFFFFF"/>
        </w:rPr>
        <w:t>。</w:t>
      </w:r>
    </w:p>
    <w:p w:rsidR="00BA0229" w:rsidRDefault="00BA0229">
      <w:pPr>
        <w:adjustRightInd w:val="0"/>
        <w:snapToGrid w:val="0"/>
        <w:spacing w:line="560" w:lineRule="exact"/>
        <w:ind w:firstLine="720"/>
        <w:rPr>
          <w:rFonts w:ascii="??_GB2312" w:eastAsia="Times New Roman" w:hAnsi="宋体"/>
          <w:b/>
          <w:bCs/>
          <w:lang w:val="zh-CN"/>
        </w:rPr>
      </w:pPr>
      <w:r>
        <w:rPr>
          <w:rFonts w:ascii="??_GB2312" w:eastAsia="Times New Roman" w:hAnsi="宋体"/>
          <w:b/>
          <w:bCs/>
          <w:lang w:val="zh-CN"/>
        </w:rPr>
        <w:t>（二）项目财务管理情况。</w:t>
      </w:r>
    </w:p>
    <w:p w:rsidR="00BA0229" w:rsidRDefault="00BA0229">
      <w:pPr>
        <w:snapToGrid w:val="0"/>
        <w:spacing w:line="560" w:lineRule="exact"/>
        <w:ind w:firstLine="720"/>
        <w:textAlignment w:val="baseline"/>
        <w:rPr>
          <w:rFonts w:ascii="仿宋_GB2312" w:hAnsi="宋体"/>
          <w:sz w:val="20"/>
          <w:szCs w:val="20"/>
          <w:lang w:val="zh-CN"/>
        </w:rPr>
      </w:pPr>
      <w:r>
        <w:rPr>
          <w:rFonts w:ascii="仿宋_GB2312" w:hAnsi="宋体" w:cs="仿宋_GB2312" w:hint="eastAsia"/>
        </w:rPr>
        <w:t>本项目</w:t>
      </w:r>
      <w:r>
        <w:rPr>
          <w:rFonts w:ascii="仿宋_GB2312" w:hAnsi="宋体" w:cs="仿宋_GB2312" w:hint="eastAsia"/>
          <w:lang w:val="zh-CN"/>
        </w:rPr>
        <w:t>严格按照专项资金管理办法及财务管理制度等相关要求完成项目采购，并支付相应资金。</w:t>
      </w:r>
    </w:p>
    <w:p w:rsidR="00BA0229" w:rsidRDefault="00BA0229">
      <w:pPr>
        <w:adjustRightInd w:val="0"/>
        <w:snapToGrid w:val="0"/>
        <w:spacing w:line="560" w:lineRule="exact"/>
        <w:ind w:firstLine="720"/>
        <w:rPr>
          <w:rFonts w:ascii="??_GB2312" w:eastAsia="Times New Roman" w:hAnsi="宋体"/>
          <w:b/>
          <w:bCs/>
          <w:lang w:val="zh-CN"/>
        </w:rPr>
      </w:pPr>
      <w:r>
        <w:rPr>
          <w:rFonts w:ascii="??_GB2312" w:eastAsia="Times New Roman" w:hAnsi="宋体"/>
          <w:b/>
          <w:bCs/>
          <w:lang w:val="zh-CN"/>
        </w:rPr>
        <w:t>（三）项目组织实施情况。</w:t>
      </w:r>
    </w:p>
    <w:p w:rsidR="00BA0229" w:rsidRDefault="00BA0229">
      <w:pPr>
        <w:adjustRightInd w:val="0"/>
        <w:snapToGrid w:val="0"/>
        <w:spacing w:line="560" w:lineRule="exact"/>
        <w:ind w:firstLine="720"/>
        <w:rPr>
          <w:rFonts w:ascii="仿宋_GB2312" w:hAnsi="宋体"/>
        </w:rPr>
      </w:pPr>
      <w:r>
        <w:rPr>
          <w:rFonts w:ascii="仿宋_GB2312" w:hAnsi="宋体" w:cs="仿宋_GB2312" w:hint="eastAsia"/>
          <w:lang w:val="zh-CN"/>
        </w:rPr>
        <w:t>严格按照</w:t>
      </w:r>
      <w:r>
        <w:rPr>
          <w:rFonts w:ascii="仿宋_GB2312" w:hAnsi="宋体" w:cs="仿宋_GB2312" w:hint="eastAsia"/>
        </w:rPr>
        <w:t>政府采购相关规定，本项目中的果皮箱和垃圾转运容器是通过公开挂网竞争性磋商的方式完成采购，垃圾箱和垃圾桶采购是通过竞争性谈判的方式完成采购。</w:t>
      </w:r>
    </w:p>
    <w:p w:rsidR="00BA0229" w:rsidRDefault="00BA0229">
      <w:pPr>
        <w:adjustRightInd w:val="0"/>
        <w:snapToGrid w:val="0"/>
        <w:spacing w:line="560" w:lineRule="exact"/>
        <w:ind w:firstLine="720"/>
        <w:rPr>
          <w:rFonts w:ascii="仿宋_GB2312" w:hAnsi="宋体"/>
          <w:lang w:val="zh-CN"/>
        </w:rPr>
      </w:pPr>
      <w:r>
        <w:rPr>
          <w:rFonts w:ascii="黑体" w:eastAsia="黑体" w:hAnsi="宋体" w:cs="黑体" w:hint="eastAsia"/>
        </w:rPr>
        <w:t>三、项目绩效情况</w:t>
      </w:r>
      <w:r>
        <w:rPr>
          <w:rFonts w:ascii="仿宋_GB2312" w:hAnsi="宋体"/>
          <w:lang w:val="zh-CN"/>
        </w:rPr>
        <w:tab/>
      </w:r>
    </w:p>
    <w:p w:rsidR="00BA0229" w:rsidRDefault="00BA0229">
      <w:pPr>
        <w:adjustRightInd w:val="0"/>
        <w:snapToGrid w:val="0"/>
        <w:spacing w:line="560" w:lineRule="exact"/>
        <w:ind w:firstLine="720"/>
        <w:rPr>
          <w:rFonts w:ascii="??_GB2312" w:eastAsia="Times New Roman" w:hAnsi="宋体"/>
          <w:b/>
          <w:bCs/>
          <w:lang w:val="zh-CN"/>
        </w:rPr>
      </w:pPr>
      <w:r>
        <w:rPr>
          <w:rFonts w:ascii="??_GB2312" w:eastAsia="Times New Roman" w:hAnsi="宋体"/>
          <w:b/>
          <w:bCs/>
          <w:lang w:val="zh-CN"/>
        </w:rPr>
        <w:t>（一）项目完成情况。</w:t>
      </w:r>
    </w:p>
    <w:p w:rsidR="00BA0229" w:rsidRDefault="00BA0229" w:rsidP="00C62E46">
      <w:pPr>
        <w:adjustRightInd w:val="0"/>
        <w:snapToGrid w:val="0"/>
        <w:spacing w:line="560" w:lineRule="exact"/>
        <w:ind w:firstLine="720"/>
        <w:rPr>
          <w:rFonts w:ascii="仿宋_GB2312" w:hAnsi="宋体" w:cs="仿宋_GB2312"/>
        </w:rPr>
      </w:pPr>
      <w:r>
        <w:rPr>
          <w:rFonts w:ascii="仿宋_GB2312" w:hAnsi="宋体" w:cs="仿宋_GB2312" w:hint="eastAsia"/>
          <w:lang w:val="zh-CN"/>
        </w:rPr>
        <w:t>已于</w:t>
      </w:r>
      <w:r>
        <w:rPr>
          <w:rFonts w:ascii="仿宋_GB2312" w:hAnsi="宋体" w:cs="仿宋_GB2312"/>
        </w:rPr>
        <w:t>2022</w:t>
      </w:r>
      <w:r>
        <w:rPr>
          <w:rFonts w:ascii="仿宋_GB2312" w:hAnsi="宋体" w:cs="仿宋_GB2312" w:hint="eastAsia"/>
        </w:rPr>
        <w:t>年</w:t>
      </w:r>
      <w:r>
        <w:rPr>
          <w:rFonts w:ascii="仿宋_GB2312" w:hAnsi="宋体" w:cs="仿宋_GB2312"/>
        </w:rPr>
        <w:t>9</w:t>
      </w:r>
      <w:r>
        <w:rPr>
          <w:rFonts w:ascii="仿宋_GB2312" w:hAnsi="宋体" w:cs="仿宋_GB2312" w:hint="eastAsia"/>
        </w:rPr>
        <w:t>月前完成垃圾收集容器采购，共计采购生活垃圾转运容器</w:t>
      </w:r>
      <w:r>
        <w:rPr>
          <w:rFonts w:ascii="仿宋_GB2312" w:hAnsi="宋体" w:cs="仿宋_GB2312"/>
        </w:rPr>
        <w:t>2</w:t>
      </w:r>
      <w:r>
        <w:rPr>
          <w:rFonts w:ascii="仿宋_GB2312" w:hAnsi="宋体" w:cs="仿宋_GB2312" w:hint="eastAsia"/>
        </w:rPr>
        <w:t>个、三分类果皮箱</w:t>
      </w:r>
      <w:r>
        <w:rPr>
          <w:rFonts w:ascii="仿宋_GB2312" w:hAnsi="宋体" w:cs="仿宋_GB2312"/>
        </w:rPr>
        <w:t>320</w:t>
      </w:r>
      <w:r>
        <w:rPr>
          <w:rFonts w:ascii="仿宋_GB2312" w:hAnsi="宋体" w:cs="仿宋_GB2312" w:hint="eastAsia"/>
        </w:rPr>
        <w:t>组、</w:t>
      </w:r>
      <w:r>
        <w:rPr>
          <w:rFonts w:ascii="仿宋_GB2312" w:hAnsi="宋体" w:cs="仿宋_GB2312"/>
        </w:rPr>
        <w:t>660L</w:t>
      </w:r>
      <w:r>
        <w:rPr>
          <w:rFonts w:ascii="仿宋_GB2312" w:hAnsi="宋体" w:cs="仿宋_GB2312" w:hint="eastAsia"/>
        </w:rPr>
        <w:t>垃圾分类桶</w:t>
      </w:r>
      <w:r>
        <w:rPr>
          <w:rFonts w:ascii="仿宋_GB2312" w:hAnsi="宋体" w:cs="仿宋_GB2312"/>
        </w:rPr>
        <w:t>220</w:t>
      </w:r>
      <w:r>
        <w:rPr>
          <w:rFonts w:ascii="仿宋_GB2312" w:hAnsi="宋体" w:cs="仿宋_GB2312" w:hint="eastAsia"/>
        </w:rPr>
        <w:t>个、</w:t>
      </w:r>
      <w:r>
        <w:rPr>
          <w:rFonts w:ascii="仿宋_GB2312" w:hAnsi="宋体" w:cs="仿宋_GB2312"/>
        </w:rPr>
        <w:t>240L</w:t>
      </w:r>
      <w:r>
        <w:rPr>
          <w:rFonts w:ascii="仿宋_GB2312" w:hAnsi="宋体" w:cs="仿宋_GB2312" w:hint="eastAsia"/>
        </w:rPr>
        <w:t>垃圾分类桶</w:t>
      </w:r>
      <w:r>
        <w:rPr>
          <w:rFonts w:ascii="仿宋_GB2312" w:hAnsi="宋体" w:cs="仿宋_GB2312"/>
        </w:rPr>
        <w:t>260</w:t>
      </w:r>
      <w:r>
        <w:rPr>
          <w:rFonts w:ascii="仿宋_GB2312" w:hAnsi="宋体" w:cs="仿宋_GB2312" w:hint="eastAsia"/>
        </w:rPr>
        <w:t>个、垃圾分类箱</w:t>
      </w:r>
      <w:r>
        <w:rPr>
          <w:rFonts w:ascii="仿宋_GB2312" w:hAnsi="宋体" w:cs="仿宋_GB2312"/>
        </w:rPr>
        <w:t>25</w:t>
      </w:r>
      <w:r>
        <w:rPr>
          <w:rFonts w:ascii="仿宋_GB2312" w:hAnsi="宋体" w:cs="仿宋_GB2312" w:hint="eastAsia"/>
        </w:rPr>
        <w:t>组。</w:t>
      </w:r>
      <w:r>
        <w:rPr>
          <w:rFonts w:ascii="仿宋_GB2312" w:hAnsi="宋体" w:cs="仿宋_GB2312"/>
        </w:rPr>
        <w:t xml:space="preserve"> </w:t>
      </w:r>
    </w:p>
    <w:p w:rsidR="00BA0229" w:rsidRDefault="00BA0229" w:rsidP="00C62E46">
      <w:pPr>
        <w:adjustRightInd w:val="0"/>
        <w:snapToGrid w:val="0"/>
        <w:spacing w:line="560" w:lineRule="exact"/>
        <w:ind w:firstLine="720"/>
        <w:rPr>
          <w:rFonts w:ascii="仿宋_GB2312"/>
        </w:rPr>
      </w:pPr>
      <w:r w:rsidRPr="00C62E46">
        <w:rPr>
          <w:rFonts w:ascii="仿宋_GB2312" w:hAnsi="宋体" w:cs="仿宋_GB2312" w:hint="eastAsia"/>
          <w:b/>
          <w:bCs/>
        </w:rPr>
        <w:t>（二）</w:t>
      </w:r>
      <w:r w:rsidRPr="00C62E46">
        <w:rPr>
          <w:rFonts w:ascii="??_GB2312" w:eastAsia="Times New Roman" w:hAnsi="宋体"/>
          <w:b/>
          <w:bCs/>
          <w:lang w:val="zh-CN"/>
        </w:rPr>
        <w:t>项目效益情况</w:t>
      </w:r>
      <w:r>
        <w:rPr>
          <w:rFonts w:ascii="??_GB2312" w:eastAsia="Times New Roman" w:hAnsi="宋体"/>
          <w:b/>
          <w:bCs/>
          <w:lang w:val="zh-CN"/>
        </w:rPr>
        <w:t>。</w:t>
      </w:r>
    </w:p>
    <w:p w:rsidR="00BA0229" w:rsidRDefault="00BA0229" w:rsidP="00206CD3">
      <w:pPr>
        <w:adjustRightInd w:val="0"/>
        <w:snapToGrid w:val="0"/>
        <w:spacing w:line="560" w:lineRule="exact"/>
        <w:ind w:firstLineChars="200" w:firstLine="31680"/>
        <w:rPr>
          <w:rFonts w:ascii="仿宋_GB2312"/>
        </w:rPr>
      </w:pPr>
      <w:r>
        <w:rPr>
          <w:rFonts w:ascii="仿宋_GB2312" w:hAnsi="仿宋_GB2312" w:cs="仿宋_GB2312"/>
        </w:rPr>
        <w:t>1.</w:t>
      </w:r>
      <w:r>
        <w:rPr>
          <w:rFonts w:ascii="仿宋_GB2312" w:hAnsi="仿宋_GB2312" w:cs="仿宋_GB2312" w:hint="eastAsia"/>
        </w:rPr>
        <w:t>项目绩效目标明确，且有明确的受益群体。项目绩效目标明确，基本覆盖了预期的效益情况，受益群体为全体市民，定位也比较准</w:t>
      </w:r>
      <w:bookmarkStart w:id="0" w:name="_GoBack"/>
      <w:bookmarkEnd w:id="0"/>
      <w:r>
        <w:rPr>
          <w:rFonts w:ascii="仿宋_GB2312" w:hAnsi="仿宋_GB2312" w:cs="仿宋_GB2312" w:hint="eastAsia"/>
        </w:rPr>
        <w:t>确，项目绩效较为合理性，且可行性较高。</w:t>
      </w:r>
    </w:p>
    <w:p w:rsidR="00BA0229" w:rsidRDefault="00BA0229" w:rsidP="00206CD3">
      <w:pPr>
        <w:pStyle w:val="Heading2"/>
        <w:ind w:left="0" w:firstLineChars="200" w:firstLine="31680"/>
        <w:textAlignment w:val="baseline"/>
        <w:rPr>
          <w:rFonts w:ascii="仿宋_GB2312" w:eastAsia="仿宋_GB2312" w:hAnsi="仿宋_GB2312" w:cs="Times New Roman"/>
          <w:highlight w:val="yellow"/>
        </w:rPr>
      </w:pPr>
      <w:r>
        <w:rPr>
          <w:rFonts w:ascii="仿宋_GB2312" w:eastAsia="仿宋_GB2312" w:hAnsi="仿宋_GB2312" w:cs="仿宋_GB2312"/>
        </w:rPr>
        <w:t>2.</w:t>
      </w:r>
      <w:r>
        <w:rPr>
          <w:rFonts w:ascii="仿宋_GB2312" w:eastAsia="仿宋_GB2312" w:hAnsi="仿宋_GB2312" w:cs="仿宋_GB2312" w:hint="eastAsia"/>
        </w:rPr>
        <w:t>绩效目标与预计解决的问题及现实需求相匹配。绩效目标的设置主要围绕推进生活垃圾分类，与实现生活垃圾分类资源化、减量化、无害化的现实需求相符。</w:t>
      </w:r>
    </w:p>
    <w:p w:rsidR="00BA0229" w:rsidRDefault="00BA0229" w:rsidP="00206CD3">
      <w:pPr>
        <w:pStyle w:val="BodyText"/>
        <w:ind w:firstLineChars="200" w:firstLine="31680"/>
        <w:rPr>
          <w:lang w:val="zh-CN"/>
        </w:rPr>
      </w:pPr>
      <w:r>
        <w:rPr>
          <w:rFonts w:ascii="仿宋_GB2312" w:hAnsi="仿宋_GB2312" w:cs="仿宋_GB2312"/>
          <w:sz w:val="32"/>
          <w:szCs w:val="32"/>
        </w:rPr>
        <w:t>3.</w:t>
      </w:r>
      <w:r>
        <w:rPr>
          <w:rFonts w:ascii="仿宋_GB2312" w:hAnsi="仿宋_GB2312" w:cs="仿宋_GB2312" w:hint="eastAsia"/>
          <w:sz w:val="32"/>
          <w:szCs w:val="32"/>
        </w:rPr>
        <w:t>项目综合效益限制，预期效益可实现性较强。垃圾分类设施采购旨在完善垃圾分类基础设施，提升工作效率及标准，基本不产生经济效益，但环境与社会效益显著。其环境效益主要是提升垃圾分类水平，提升城市环境。</w:t>
      </w:r>
    </w:p>
    <w:p w:rsidR="00BA0229" w:rsidRDefault="00BA0229">
      <w:pPr>
        <w:adjustRightInd w:val="0"/>
        <w:snapToGrid w:val="0"/>
        <w:spacing w:line="560" w:lineRule="exact"/>
        <w:ind w:firstLine="720"/>
        <w:rPr>
          <w:rFonts w:ascii="黑体" w:eastAsia="黑体" w:hAnsi="宋体"/>
        </w:rPr>
      </w:pPr>
      <w:r>
        <w:rPr>
          <w:rFonts w:ascii="黑体" w:eastAsia="黑体" w:hAnsi="宋体" w:cs="黑体" w:hint="eastAsia"/>
        </w:rPr>
        <w:t>四、问题及建议</w:t>
      </w:r>
    </w:p>
    <w:p w:rsidR="00BA0229" w:rsidRDefault="00BA0229">
      <w:pPr>
        <w:adjustRightInd w:val="0"/>
        <w:snapToGrid w:val="0"/>
        <w:spacing w:line="560" w:lineRule="exact"/>
        <w:ind w:firstLine="720"/>
        <w:rPr>
          <w:rFonts w:ascii="??_GB2312" w:eastAsia="Times New Roman" w:hAnsi="宋体"/>
          <w:b/>
          <w:bCs/>
          <w:lang w:val="zh-CN"/>
        </w:rPr>
      </w:pPr>
      <w:r>
        <w:rPr>
          <w:rFonts w:ascii="??_GB2312" w:eastAsia="Times New Roman" w:hAnsi="宋体"/>
          <w:b/>
          <w:bCs/>
          <w:lang w:val="zh-CN"/>
        </w:rPr>
        <w:t>（一）存在的问题。</w:t>
      </w:r>
    </w:p>
    <w:p w:rsidR="00BA0229" w:rsidRDefault="00BA0229">
      <w:pPr>
        <w:adjustRightInd w:val="0"/>
        <w:snapToGrid w:val="0"/>
        <w:spacing w:line="560" w:lineRule="exact"/>
        <w:ind w:firstLine="720"/>
        <w:rPr>
          <w:rFonts w:ascii="??_GB2312" w:eastAsia="Times New Roman" w:hAnsi="宋体"/>
          <w:b/>
          <w:bCs/>
        </w:rPr>
      </w:pPr>
      <w:r>
        <w:rPr>
          <w:rFonts w:cs="仿宋_GB2312" w:hint="eastAsia"/>
        </w:rPr>
        <w:t>无。</w:t>
      </w:r>
    </w:p>
    <w:p w:rsidR="00BA0229" w:rsidRDefault="00BA0229">
      <w:pPr>
        <w:numPr>
          <w:ilvl w:val="0"/>
          <w:numId w:val="4"/>
        </w:numPr>
        <w:adjustRightInd w:val="0"/>
        <w:snapToGrid w:val="0"/>
        <w:spacing w:line="560" w:lineRule="exact"/>
        <w:ind w:firstLine="720"/>
        <w:rPr>
          <w:rFonts w:ascii="??_GB2312" w:eastAsia="Times New Roman" w:hAnsi="宋体"/>
          <w:b/>
          <w:bCs/>
          <w:lang w:val="zh-CN"/>
        </w:rPr>
      </w:pPr>
      <w:r>
        <w:rPr>
          <w:rFonts w:ascii="??_GB2312" w:eastAsia="Times New Roman" w:hAnsi="宋体"/>
          <w:b/>
          <w:bCs/>
          <w:lang w:val="zh-CN"/>
        </w:rPr>
        <w:t>相关建议。</w:t>
      </w:r>
    </w:p>
    <w:p w:rsidR="00BA0229" w:rsidRDefault="00BA0229" w:rsidP="0034788A">
      <w:pPr>
        <w:adjustRightInd w:val="0"/>
        <w:snapToGrid w:val="0"/>
        <w:spacing w:line="560" w:lineRule="exact"/>
        <w:ind w:firstLineChars="200" w:firstLine="31680"/>
      </w:pPr>
      <w:r>
        <w:rPr>
          <w:rFonts w:cs="仿宋_GB2312" w:hint="eastAsia"/>
        </w:rPr>
        <w:t>无。</w:t>
      </w:r>
    </w:p>
    <w:sectPr w:rsidR="00BA0229" w:rsidSect="00B43E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0000000000000000000"/>
    <w:charset w:val="00"/>
    <w:family w:val="roman"/>
    <w:notTrueType/>
    <w:pitch w:val="default"/>
    <w:sig w:usb0="00000003" w:usb1="00000000" w:usb2="00000000" w:usb3="00000000" w:csb0="00000001" w:csb1="00000000"/>
  </w:font>
  <w:font w:name="楷体">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
    <w:altName w:val="Times New Roman"/>
    <w:panose1 w:val="00000000000000000000"/>
    <w:charset w:val="00"/>
    <w:family w:val="roman"/>
    <w:notTrueType/>
    <w:pitch w:val="default"/>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B3D3FB"/>
    <w:multiLevelType w:val="singleLevel"/>
    <w:tmpl w:val="A8B3D3FB"/>
    <w:lvl w:ilvl="0">
      <w:start w:val="2"/>
      <w:numFmt w:val="decimal"/>
      <w:suff w:val="nothing"/>
      <w:lvlText w:val="%1．"/>
      <w:lvlJc w:val="left"/>
    </w:lvl>
  </w:abstractNum>
  <w:abstractNum w:abstractNumId="1">
    <w:nsid w:val="F328A48E"/>
    <w:multiLevelType w:val="singleLevel"/>
    <w:tmpl w:val="F328A48E"/>
    <w:lvl w:ilvl="0">
      <w:start w:val="2"/>
      <w:numFmt w:val="chineseCounting"/>
      <w:suff w:val="nothing"/>
      <w:lvlText w:val="（%1）"/>
      <w:lvlJc w:val="left"/>
      <w:rPr>
        <w:rFonts w:hint="eastAsia"/>
      </w:rPr>
    </w:lvl>
  </w:abstractNum>
  <w:abstractNum w:abstractNumId="2">
    <w:nsid w:val="0BC0489E"/>
    <w:multiLevelType w:val="singleLevel"/>
    <w:tmpl w:val="0BC0489E"/>
    <w:lvl w:ilvl="0">
      <w:start w:val="3"/>
      <w:numFmt w:val="chineseCounting"/>
      <w:suff w:val="nothing"/>
      <w:lvlText w:val="（%1）"/>
      <w:lvlJc w:val="left"/>
      <w:rPr>
        <w:rFonts w:hint="eastAsia"/>
      </w:rPr>
    </w:lvl>
  </w:abstractNum>
  <w:abstractNum w:abstractNumId="3">
    <w:nsid w:val="4ACE4C2F"/>
    <w:multiLevelType w:val="singleLevel"/>
    <w:tmpl w:val="4ACE4C2F"/>
    <w:lvl w:ilvl="0">
      <w:start w:val="2"/>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91C455A"/>
    <w:rsid w:val="BFFE83F2"/>
    <w:rsid w:val="D7FDD76B"/>
    <w:rsid w:val="00206CD3"/>
    <w:rsid w:val="003414A3"/>
    <w:rsid w:val="0034788A"/>
    <w:rsid w:val="00490474"/>
    <w:rsid w:val="005051A6"/>
    <w:rsid w:val="00515A0C"/>
    <w:rsid w:val="00540B32"/>
    <w:rsid w:val="00610905"/>
    <w:rsid w:val="00854E30"/>
    <w:rsid w:val="0086292C"/>
    <w:rsid w:val="00866E99"/>
    <w:rsid w:val="00AE138D"/>
    <w:rsid w:val="00B03452"/>
    <w:rsid w:val="00B43ED7"/>
    <w:rsid w:val="00B705FB"/>
    <w:rsid w:val="00BA0229"/>
    <w:rsid w:val="00C62E46"/>
    <w:rsid w:val="00DB50DD"/>
    <w:rsid w:val="00FA5FA5"/>
    <w:rsid w:val="0EDB478C"/>
    <w:rsid w:val="291C455A"/>
    <w:rsid w:val="36926D0C"/>
    <w:rsid w:val="4B6F7A6E"/>
    <w:rsid w:val="4DAF2BCF"/>
    <w:rsid w:val="4DDB6F66"/>
    <w:rsid w:val="67302E47"/>
    <w:rsid w:val="76DB1C01"/>
    <w:rsid w:val="792F2AE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BodyText"/>
    <w:qFormat/>
    <w:rsid w:val="00B43ED7"/>
    <w:pPr>
      <w:widowControl w:val="0"/>
      <w:jc w:val="both"/>
    </w:pPr>
    <w:rPr>
      <w:rFonts w:ascii="Times New Roman" w:eastAsia="仿宋_GB2312" w:hAnsi="Times New Roman"/>
      <w:sz w:val="32"/>
      <w:szCs w:val="32"/>
    </w:rPr>
  </w:style>
  <w:style w:type="paragraph" w:styleId="Heading2">
    <w:name w:val="heading 2"/>
    <w:basedOn w:val="Normal"/>
    <w:next w:val="Normal"/>
    <w:link w:val="Heading2Char"/>
    <w:uiPriority w:val="99"/>
    <w:qFormat/>
    <w:rsid w:val="00B43ED7"/>
    <w:pPr>
      <w:keepNext/>
      <w:keepLines/>
      <w:ind w:left="200"/>
      <w:outlineLvl w:val="1"/>
    </w:pPr>
    <w:rPr>
      <w:rFonts w:ascii="Calibri Light" w:eastAsia="楷体" w:hAnsi="Calibri Light" w:cs="Calibri Ligh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eastAsia="宋体" w:hAnsi="Cambria" w:cs="Cambria"/>
      <w:b/>
      <w:bCs/>
      <w:sz w:val="32"/>
      <w:szCs w:val="32"/>
    </w:rPr>
  </w:style>
  <w:style w:type="paragraph" w:styleId="BodyText">
    <w:name w:val="Body Text"/>
    <w:basedOn w:val="Normal"/>
    <w:link w:val="BodyTextChar"/>
    <w:uiPriority w:val="99"/>
    <w:rsid w:val="00B43ED7"/>
    <w:pPr>
      <w:spacing w:after="120"/>
    </w:pPr>
    <w:rPr>
      <w:kern w:val="0"/>
      <w:sz w:val="24"/>
      <w:szCs w:val="24"/>
    </w:rPr>
  </w:style>
  <w:style w:type="character" w:customStyle="1" w:styleId="BodyTextChar">
    <w:name w:val="Body Text Char"/>
    <w:basedOn w:val="DefaultParagraphFont"/>
    <w:link w:val="BodyText"/>
    <w:uiPriority w:val="99"/>
    <w:semiHidden/>
    <w:locked/>
    <w:rPr>
      <w:rFonts w:ascii="Times New Roman" w:eastAsia="仿宋_GB2312" w:hAnsi="Times New Roman" w:cs="Times New Roman"/>
      <w:sz w:val="32"/>
      <w:szCs w:val="32"/>
    </w:rPr>
  </w:style>
  <w:style w:type="paragraph" w:styleId="Footer">
    <w:name w:val="footer"/>
    <w:basedOn w:val="Normal"/>
    <w:link w:val="FooterChar"/>
    <w:uiPriority w:val="99"/>
    <w:rsid w:val="00B43ED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43ED7"/>
    <w:rPr>
      <w:rFonts w:ascii="Times New Roman" w:eastAsia="仿宋_GB2312" w:hAnsi="Times New Roman" w:cs="Times New Roman"/>
      <w:kern w:val="2"/>
      <w:sz w:val="18"/>
      <w:szCs w:val="18"/>
    </w:rPr>
  </w:style>
  <w:style w:type="paragraph" w:styleId="Header">
    <w:name w:val="header"/>
    <w:basedOn w:val="Normal"/>
    <w:link w:val="HeaderChar"/>
    <w:uiPriority w:val="99"/>
    <w:rsid w:val="00B43ED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43ED7"/>
    <w:rPr>
      <w:rFonts w:ascii="Times New Roman" w:eastAsia="仿宋_GB2312" w:hAnsi="Times New Roman" w:cs="Times New Roman"/>
      <w:kern w:val="2"/>
      <w:sz w:val="18"/>
      <w:szCs w:val="18"/>
    </w:rPr>
  </w:style>
  <w:style w:type="paragraph" w:customStyle="1" w:styleId="a">
    <w:name w:val="四号正文"/>
    <w:basedOn w:val="Normal"/>
    <w:uiPriority w:val="99"/>
    <w:rsid w:val="00B43ED7"/>
    <w:pPr>
      <w:spacing w:line="360" w:lineRule="auto"/>
    </w:pPr>
    <w:rPr>
      <w:rFonts w:ascii="??" w:eastAsia="宋体" w:hAnsi="??" w:cs="??"/>
      <w:color w:val="000000"/>
      <w:kern w:val="0"/>
      <w:sz w:val="28"/>
      <w:szCs w:val="28"/>
      <w:lang w:val="zh-CN"/>
    </w:rPr>
  </w:style>
  <w:style w:type="paragraph" w:styleId="NormalWeb">
    <w:name w:val="Normal (Web)"/>
    <w:basedOn w:val="Normal"/>
    <w:uiPriority w:val="99"/>
    <w:rsid w:val="005051A6"/>
    <w:pPr>
      <w:spacing w:before="100" w:beforeAutospacing="1" w:after="100" w:afterAutospacing="1"/>
      <w:jc w:val="left"/>
    </w:pPr>
    <w:rPr>
      <w:rFonts w:eastAsia="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3</Pages>
  <Words>178</Words>
  <Characters>1017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攀枝花市仁和区城市管理局</cp:lastModifiedBy>
  <cp:revision>10</cp:revision>
  <dcterms:created xsi:type="dcterms:W3CDTF">2020-07-01T00:19:00Z</dcterms:created>
  <dcterms:modified xsi:type="dcterms:W3CDTF">2024-05-16T02:31:00Z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3FC91676A52947FDAB3A4B38CB27E0E4</vt:lpwstr>
  </property>
</Properties>
</file>