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C1" w:rsidRDefault="00DC3BC1">
      <w:pPr>
        <w:spacing w:line="600" w:lineRule="exact"/>
        <w:rPr>
          <w:rFonts w:eastAsia="黑体"/>
        </w:rPr>
      </w:pPr>
      <w:r>
        <w:rPr>
          <w:rFonts w:eastAsia="黑体" w:hint="eastAsia"/>
        </w:rPr>
        <w:t>附件</w:t>
      </w:r>
      <w:bookmarkStart w:id="0" w:name="_GoBack"/>
      <w:bookmarkEnd w:id="0"/>
      <w:r>
        <w:rPr>
          <w:rFonts w:eastAsia="黑体"/>
        </w:rPr>
        <w:t>2</w:t>
      </w:r>
    </w:p>
    <w:p w:rsidR="00DC3BC1" w:rsidRDefault="00DC3BC1">
      <w:pPr>
        <w:pStyle w:val="a"/>
        <w:spacing w:line="600" w:lineRule="exact"/>
        <w:rPr>
          <w:rFonts w:ascii="Times New Roman" w:eastAsia="方正小标宋简体" w:hAnsi="Times New Roman"/>
          <w:color w:val="auto"/>
          <w:kern w:val="2"/>
          <w:sz w:val="40"/>
          <w:szCs w:val="40"/>
          <w:lang w:val="en-US"/>
        </w:rPr>
      </w:pPr>
    </w:p>
    <w:p w:rsidR="00DC3BC1" w:rsidRDefault="00DC3BC1">
      <w:pPr>
        <w:pStyle w:val="a"/>
        <w:spacing w:line="600" w:lineRule="exact"/>
        <w:jc w:val="center"/>
        <w:rPr>
          <w:rFonts w:ascii="Times New Roman" w:eastAsia="方正小标宋简体" w:hAnsi="Times New Roman"/>
          <w:color w:val="auto"/>
          <w:kern w:val="2"/>
          <w:sz w:val="40"/>
          <w:szCs w:val="40"/>
        </w:rPr>
      </w:pPr>
      <w:r>
        <w:rPr>
          <w:rFonts w:ascii="Times New Roman" w:eastAsia="方正小标宋简体" w:hAnsi="Times New Roman" w:hint="eastAsia"/>
          <w:color w:val="auto"/>
          <w:kern w:val="2"/>
          <w:sz w:val="40"/>
          <w:szCs w:val="40"/>
        </w:rPr>
        <w:t>攀枝花市仁和区民族宗教事务局</w:t>
      </w:r>
    </w:p>
    <w:p w:rsidR="00DC3BC1" w:rsidRDefault="00DC3BC1">
      <w:pPr>
        <w:pStyle w:val="a"/>
        <w:spacing w:line="600" w:lineRule="exact"/>
        <w:jc w:val="center"/>
        <w:rPr>
          <w:rFonts w:ascii="Times New Roman" w:eastAsia="方正小标宋简体" w:hAnsi="Times New Roman"/>
          <w:color w:val="auto"/>
          <w:kern w:val="2"/>
          <w:sz w:val="40"/>
          <w:szCs w:val="40"/>
        </w:rPr>
      </w:pPr>
      <w:r>
        <w:rPr>
          <w:rFonts w:ascii="Times New Roman" w:eastAsia="方正小标宋简体" w:hAnsi="Times New Roman"/>
          <w:color w:val="auto"/>
          <w:kern w:val="2"/>
          <w:sz w:val="40"/>
          <w:szCs w:val="40"/>
        </w:rPr>
        <w:t>2023</w:t>
      </w:r>
      <w:r>
        <w:rPr>
          <w:rFonts w:ascii="Times New Roman" w:eastAsia="方正小标宋简体" w:hAnsi="Times New Roman" w:hint="eastAsia"/>
          <w:color w:val="auto"/>
          <w:kern w:val="2"/>
          <w:sz w:val="40"/>
          <w:szCs w:val="40"/>
        </w:rPr>
        <w:t>年专项项目支出绩效自评报告</w:t>
      </w:r>
    </w:p>
    <w:p w:rsidR="00DC3BC1" w:rsidRPr="00B04AD2" w:rsidRDefault="00DC3BC1" w:rsidP="00A91094">
      <w:pPr>
        <w:pStyle w:val="a"/>
        <w:spacing w:line="600" w:lineRule="exact"/>
        <w:ind w:firstLineChars="425" w:firstLine="1360"/>
        <w:rPr>
          <w:rFonts w:ascii="Times New Roman" w:eastAsia="仿宋_GB2312" w:hAnsi="Times New Roman"/>
          <w:color w:val="auto"/>
          <w:kern w:val="2"/>
          <w:sz w:val="32"/>
          <w:szCs w:val="32"/>
        </w:rPr>
      </w:pPr>
      <w:r w:rsidRPr="00B04AD2">
        <w:rPr>
          <w:rFonts w:ascii="Times New Roman" w:eastAsia="仿宋_GB2312" w:hAnsi="Times New Roman" w:hint="eastAsia"/>
          <w:color w:val="auto"/>
          <w:kern w:val="2"/>
          <w:sz w:val="32"/>
          <w:szCs w:val="32"/>
        </w:rPr>
        <w:t>（</w:t>
      </w:r>
      <w:r>
        <w:rPr>
          <w:rFonts w:ascii="Times New Roman" w:eastAsia="仿宋_GB2312" w:hAnsi="Times New Roman"/>
          <w:color w:val="auto"/>
          <w:kern w:val="2"/>
          <w:sz w:val="32"/>
          <w:szCs w:val="32"/>
          <w:lang w:val="en-US"/>
        </w:rPr>
        <w:t>2023</w:t>
      </w:r>
      <w:r w:rsidRPr="00B24B36">
        <w:rPr>
          <w:rFonts w:ascii="Times New Roman" w:eastAsia="仿宋_GB2312" w:hAnsi="Times New Roman" w:hint="eastAsia"/>
          <w:color w:val="auto"/>
          <w:kern w:val="2"/>
          <w:sz w:val="32"/>
          <w:szCs w:val="32"/>
          <w:lang w:val="en-US"/>
        </w:rPr>
        <w:t>年度衔接推进乡村振兴补助资金</w:t>
      </w:r>
      <w:r w:rsidRPr="00B04AD2">
        <w:rPr>
          <w:rFonts w:ascii="Times New Roman" w:eastAsia="仿宋_GB2312" w:hAnsi="Times New Roman" w:hint="eastAsia"/>
          <w:color w:val="auto"/>
          <w:kern w:val="2"/>
          <w:sz w:val="32"/>
          <w:szCs w:val="32"/>
        </w:rPr>
        <w:t>）</w:t>
      </w:r>
    </w:p>
    <w:p w:rsidR="00DC3BC1" w:rsidRDefault="00DC3BC1">
      <w:pPr>
        <w:pStyle w:val="a"/>
        <w:spacing w:line="600" w:lineRule="exact"/>
        <w:ind w:firstLine="640"/>
        <w:jc w:val="center"/>
        <w:rPr>
          <w:rFonts w:ascii="Times New Roman" w:hAnsi="Times New Roman"/>
          <w:color w:val="auto"/>
          <w:kern w:val="2"/>
          <w:sz w:val="32"/>
          <w:szCs w:val="32"/>
        </w:rPr>
      </w:pPr>
    </w:p>
    <w:p w:rsidR="00DC3BC1" w:rsidRDefault="00DC3BC1">
      <w:pPr>
        <w:adjustRightInd w:val="0"/>
        <w:snapToGrid w:val="0"/>
        <w:spacing w:line="600" w:lineRule="exact"/>
        <w:ind w:firstLine="720"/>
        <w:rPr>
          <w:rFonts w:eastAsia="黑体"/>
          <w:lang w:val="zh-CN"/>
        </w:rPr>
      </w:pPr>
      <w:r>
        <w:rPr>
          <w:rFonts w:eastAsia="黑体" w:hint="eastAsia"/>
        </w:rPr>
        <w:t>一、</w:t>
      </w:r>
      <w:r>
        <w:rPr>
          <w:rFonts w:eastAsia="黑体" w:hint="eastAsia"/>
          <w:lang w:val="zh-CN"/>
        </w:rPr>
        <w:t>项目概况</w:t>
      </w:r>
    </w:p>
    <w:p w:rsidR="00DC3BC1" w:rsidRDefault="00DC3BC1">
      <w:pPr>
        <w:adjustRightInd w:val="0"/>
        <w:snapToGrid w:val="0"/>
        <w:spacing w:line="600" w:lineRule="exact"/>
        <w:ind w:firstLine="720"/>
        <w:rPr>
          <w:rFonts w:eastAsia="楷体_GB2312"/>
          <w:b/>
          <w:lang w:val="zh-CN"/>
        </w:rPr>
      </w:pPr>
      <w:r>
        <w:rPr>
          <w:rFonts w:eastAsia="楷体_GB2312" w:hint="eastAsia"/>
          <w:b/>
          <w:lang w:val="zh-CN"/>
        </w:rPr>
        <w:t>（一）项目基本情况。</w:t>
      </w:r>
    </w:p>
    <w:p w:rsidR="00DC3BC1" w:rsidRPr="00B04AD2" w:rsidRDefault="00DC3BC1" w:rsidP="00617FE6">
      <w:pPr>
        <w:adjustRightInd w:val="0"/>
        <w:snapToGrid w:val="0"/>
        <w:spacing w:line="600" w:lineRule="exact"/>
        <w:ind w:firstLine="720"/>
        <w:rPr>
          <w:lang w:val="zh-CN"/>
        </w:rPr>
      </w:pPr>
      <w:r w:rsidRPr="00B04AD2">
        <w:rPr>
          <w:lang w:val="zh-CN"/>
        </w:rPr>
        <w:t>1</w:t>
      </w:r>
      <w:r w:rsidRPr="00B04AD2">
        <w:rPr>
          <w:rFonts w:hint="eastAsia"/>
          <w:lang w:val="zh-CN"/>
        </w:rPr>
        <w:t>．</w:t>
      </w:r>
      <w:r>
        <w:rPr>
          <w:rFonts w:cs="仿宋_GB2312" w:hint="eastAsia"/>
        </w:rPr>
        <w:t>围绕</w:t>
      </w:r>
      <w:r w:rsidRPr="005252C0">
        <w:rPr>
          <w:rFonts w:cs="仿宋_GB2312" w:hint="eastAsia"/>
        </w:rPr>
        <w:t>“稳政策、防返贫、强监测、促振兴”</w:t>
      </w:r>
      <w:r>
        <w:rPr>
          <w:rFonts w:cs="仿宋_GB2312" w:hint="eastAsia"/>
        </w:rPr>
        <w:t>总体工作思路，接续做好巩固脱贫攻坚成果同乡村振兴有效衔接工作，完成衔接推进乡村振兴补助资金项目的安排和实施。</w:t>
      </w:r>
    </w:p>
    <w:p w:rsidR="00DC3BC1" w:rsidRPr="00142D90" w:rsidRDefault="00DC3BC1" w:rsidP="00617FE6">
      <w:pPr>
        <w:autoSpaceDE w:val="0"/>
        <w:autoSpaceDN w:val="0"/>
        <w:adjustRightInd w:val="0"/>
        <w:spacing w:line="600" w:lineRule="exact"/>
        <w:ind w:firstLineChars="200" w:firstLine="640"/>
        <w:jc w:val="left"/>
        <w:rPr>
          <w:rFonts w:cs="仿宋_GB2312"/>
        </w:rPr>
      </w:pPr>
      <w:r w:rsidRPr="00B04AD2">
        <w:rPr>
          <w:lang w:val="zh-CN"/>
        </w:rPr>
        <w:t>2</w:t>
      </w:r>
      <w:r>
        <w:rPr>
          <w:lang w:val="zh-CN"/>
        </w:rPr>
        <w:t xml:space="preserve">. </w:t>
      </w:r>
      <w:r>
        <w:rPr>
          <w:rFonts w:hint="eastAsia"/>
          <w:lang w:val="zh-CN"/>
        </w:rPr>
        <w:t>项</w:t>
      </w:r>
      <w:r w:rsidRPr="00142D90">
        <w:rPr>
          <w:rFonts w:cs="仿宋_GB2312" w:hint="eastAsia"/>
        </w:rPr>
        <w:t>目立项、资金申报的依据。</w:t>
      </w:r>
      <w:r>
        <w:rPr>
          <w:rFonts w:cs="仿宋_GB2312" w:hint="eastAsia"/>
        </w:rPr>
        <w:t>根据《四川省衔接推进乡村振兴补助资金绩效评价及考核办法》（川财农〔</w:t>
      </w:r>
      <w:r>
        <w:rPr>
          <w:rFonts w:cs="仿宋_GB2312"/>
        </w:rPr>
        <w:t>2021</w:t>
      </w:r>
      <w:r>
        <w:rPr>
          <w:rFonts w:cs="仿宋_GB2312" w:hint="eastAsia"/>
        </w:rPr>
        <w:t>〕</w:t>
      </w:r>
      <w:r>
        <w:rPr>
          <w:rFonts w:cs="仿宋_GB2312"/>
        </w:rPr>
        <w:t>174</w:t>
      </w:r>
      <w:r>
        <w:rPr>
          <w:rFonts w:cs="仿宋_GB2312" w:hint="eastAsia"/>
        </w:rPr>
        <w:t>号）文件精神和相关工作要求。</w:t>
      </w:r>
    </w:p>
    <w:p w:rsidR="00DC3BC1" w:rsidRPr="00261FBD" w:rsidRDefault="00DC3BC1" w:rsidP="00617FE6">
      <w:pPr>
        <w:spacing w:line="520" w:lineRule="exact"/>
        <w:ind w:firstLineChars="200" w:firstLine="640"/>
        <w:rPr>
          <w:rFonts w:cs="仿宋_GB2312"/>
        </w:rPr>
      </w:pPr>
      <w:r w:rsidRPr="00142D90">
        <w:rPr>
          <w:rFonts w:cs="仿宋_GB2312"/>
        </w:rPr>
        <w:t>3</w:t>
      </w:r>
      <w:r w:rsidRPr="00142D90">
        <w:rPr>
          <w:rFonts w:cs="仿宋_GB2312" w:hint="eastAsia"/>
        </w:rPr>
        <w:t>．资金管理办法制定情况，资金支持具体项目的条件、范围与支持方式概况。项目实施</w:t>
      </w:r>
      <w:r w:rsidRPr="00EF34B5">
        <w:rPr>
          <w:rFonts w:cs="仿宋_GB2312" w:hint="eastAsia"/>
        </w:rPr>
        <w:t>严格执行《中央财政衔接推进乡村振兴补助资金管理办法</w:t>
      </w:r>
      <w:r>
        <w:rPr>
          <w:rFonts w:cs="仿宋_GB2312" w:hint="eastAsia"/>
        </w:rPr>
        <w:t>》</w:t>
      </w:r>
      <w:r w:rsidRPr="00115DBD">
        <w:rPr>
          <w:rFonts w:cs="仿宋_GB2312" w:hint="eastAsia"/>
        </w:rPr>
        <w:t>的通知（财农〔</w:t>
      </w:r>
      <w:r w:rsidRPr="00115DBD">
        <w:rPr>
          <w:rFonts w:cs="仿宋_GB2312"/>
        </w:rPr>
        <w:t>2021</w:t>
      </w:r>
      <w:r w:rsidRPr="00115DBD">
        <w:rPr>
          <w:rFonts w:cs="仿宋_GB2312" w:hint="eastAsia"/>
        </w:rPr>
        <w:t>〕</w:t>
      </w:r>
      <w:r w:rsidRPr="00115DBD">
        <w:rPr>
          <w:rFonts w:cs="仿宋_GB2312"/>
        </w:rPr>
        <w:t xml:space="preserve">19 </w:t>
      </w:r>
      <w:r w:rsidRPr="00115DBD">
        <w:rPr>
          <w:rFonts w:cs="仿宋_GB2312" w:hint="eastAsia"/>
        </w:rPr>
        <w:t>号）及省市相关要求，全年对项目实施、资金支出进度进行了</w:t>
      </w:r>
      <w:r>
        <w:rPr>
          <w:rFonts w:cs="仿宋_GB2312"/>
        </w:rPr>
        <w:t>5</w:t>
      </w:r>
      <w:r w:rsidRPr="00115DBD">
        <w:rPr>
          <w:rFonts w:cs="仿宋_GB2312" w:hint="eastAsia"/>
        </w:rPr>
        <w:t>次会议调度、开展实地督导检查</w:t>
      </w:r>
      <w:r>
        <w:rPr>
          <w:rFonts w:cs="仿宋_GB2312"/>
        </w:rPr>
        <w:t>7</w:t>
      </w:r>
      <w:r w:rsidRPr="00115DBD">
        <w:rPr>
          <w:rFonts w:cs="仿宋_GB2312" w:hint="eastAsia"/>
        </w:rPr>
        <w:t>次，</w:t>
      </w:r>
      <w:r>
        <w:rPr>
          <w:rFonts w:cs="仿宋_GB2312" w:hint="eastAsia"/>
        </w:rPr>
        <w:t>所有项目均按实施方案有序推进。严格执行衔接资金直接支付。财政衔接资金全部从大平台下达指标，指标下达、用款计划申报、资金支付实行全程监控，所有衔接资金直接支付至商品供应商和个人。</w:t>
      </w:r>
    </w:p>
    <w:p w:rsidR="00DC3BC1" w:rsidRPr="00B04AD2" w:rsidRDefault="00DC3BC1" w:rsidP="00617FE6">
      <w:pPr>
        <w:adjustRightInd w:val="0"/>
        <w:snapToGrid w:val="0"/>
        <w:spacing w:line="600" w:lineRule="exact"/>
        <w:ind w:firstLine="720"/>
        <w:rPr>
          <w:lang w:val="zh-CN"/>
        </w:rPr>
      </w:pPr>
      <w:r w:rsidRPr="00142D90">
        <w:rPr>
          <w:rFonts w:cs="仿宋_GB2312"/>
        </w:rPr>
        <w:t xml:space="preserve">4. </w:t>
      </w:r>
      <w:r w:rsidRPr="00142D90">
        <w:rPr>
          <w:rFonts w:cs="仿宋_GB2312" w:hint="eastAsia"/>
        </w:rPr>
        <w:t>资金分配的原则及考虑因素。资金分配围绕年初工</w:t>
      </w:r>
      <w:r>
        <w:rPr>
          <w:rFonts w:ascii="仿宋_GB2312" w:hAnsi="微软雅黑" w:cs="宋体" w:hint="eastAsia"/>
          <w:color w:val="333333"/>
          <w:kern w:val="0"/>
        </w:rPr>
        <w:t>作计划、重点工作、目标任务，并按照实施的时间顺序和优先顺序进行，拨付时间保障到位，确保年度重点工作和目标任务有序推进</w:t>
      </w:r>
    </w:p>
    <w:p w:rsidR="00DC3BC1" w:rsidRDefault="00DC3BC1">
      <w:pPr>
        <w:adjustRightInd w:val="0"/>
        <w:snapToGrid w:val="0"/>
        <w:spacing w:line="600" w:lineRule="exact"/>
        <w:ind w:firstLine="720"/>
        <w:rPr>
          <w:rFonts w:eastAsia="楷体_GB2312"/>
          <w:b/>
          <w:lang w:val="zh-CN"/>
        </w:rPr>
      </w:pPr>
      <w:r>
        <w:rPr>
          <w:rFonts w:eastAsia="楷体_GB2312" w:hint="eastAsia"/>
          <w:b/>
          <w:lang w:val="zh-CN"/>
        </w:rPr>
        <w:t>（二）项目绩效目标。</w:t>
      </w:r>
    </w:p>
    <w:p w:rsidR="00DC3BC1" w:rsidRPr="00142D90" w:rsidRDefault="00DC3BC1" w:rsidP="00142D90">
      <w:pPr>
        <w:autoSpaceDE w:val="0"/>
        <w:autoSpaceDN w:val="0"/>
        <w:adjustRightInd w:val="0"/>
        <w:spacing w:line="600" w:lineRule="exact"/>
        <w:ind w:firstLineChars="200" w:firstLine="640"/>
        <w:jc w:val="left"/>
        <w:rPr>
          <w:rFonts w:cs="仿宋_GB2312"/>
        </w:rPr>
      </w:pPr>
      <w:r w:rsidRPr="00142D90">
        <w:rPr>
          <w:rFonts w:cs="仿宋_GB2312"/>
        </w:rPr>
        <w:t xml:space="preserve">1. </w:t>
      </w:r>
      <w:r w:rsidRPr="00142D90">
        <w:rPr>
          <w:rFonts w:cs="仿宋_GB2312" w:hint="eastAsia"/>
        </w:rPr>
        <w:t>项目主要内容：太平乡先锋村坪子组产业道路硬化项目；平地镇迤沙拉村少数民族特色村寨建设项目；福田镇塘坝村东大沟水毁修复工程；务本乡乌拉村乌拉农产品交易市场及河道整治工程；大龙潭乡干坝子村大保哨一组生产生活用水管网及蓄水池项目。</w:t>
      </w:r>
    </w:p>
    <w:p w:rsidR="00DC3BC1" w:rsidRPr="00142D90" w:rsidRDefault="00DC3BC1" w:rsidP="00142D90">
      <w:pPr>
        <w:autoSpaceDE w:val="0"/>
        <w:autoSpaceDN w:val="0"/>
        <w:adjustRightInd w:val="0"/>
        <w:spacing w:line="600" w:lineRule="exact"/>
        <w:ind w:firstLineChars="200" w:firstLine="640"/>
        <w:jc w:val="left"/>
        <w:rPr>
          <w:rFonts w:cs="仿宋_GB2312"/>
        </w:rPr>
      </w:pPr>
      <w:r w:rsidRPr="00142D90">
        <w:rPr>
          <w:rFonts w:cs="仿宋_GB2312"/>
        </w:rPr>
        <w:t xml:space="preserve">2. </w:t>
      </w:r>
      <w:r w:rsidRPr="00142D90">
        <w:rPr>
          <w:rFonts w:cs="仿宋_GB2312" w:hint="eastAsia"/>
        </w:rPr>
        <w:t>项目实现质量指标：完成</w:t>
      </w:r>
      <w:r w:rsidRPr="00142D90">
        <w:rPr>
          <w:rFonts w:cs="仿宋_GB2312"/>
        </w:rPr>
        <w:t>5</w:t>
      </w:r>
      <w:r w:rsidRPr="00142D90">
        <w:rPr>
          <w:rFonts w:cs="仿宋_GB2312" w:hint="eastAsia"/>
        </w:rPr>
        <w:t>个项目的建设；时效指标：按计</w:t>
      </w:r>
      <w:r w:rsidRPr="00142D90">
        <w:rPr>
          <w:rFonts w:cs="仿宋_GB2312"/>
        </w:rPr>
        <w:t>2023</w:t>
      </w:r>
      <w:r w:rsidRPr="00142D90">
        <w:rPr>
          <w:rFonts w:cs="仿宋_GB2312" w:hint="eastAsia"/>
        </w:rPr>
        <w:t>年全年完成；成本指标：</w:t>
      </w:r>
      <w:r>
        <w:rPr>
          <w:rFonts w:cs="仿宋_GB2312"/>
        </w:rPr>
        <w:t>603.80</w:t>
      </w:r>
      <w:r w:rsidRPr="00142D90">
        <w:rPr>
          <w:rFonts w:cs="仿宋_GB2312" w:hint="eastAsia"/>
        </w:rPr>
        <w:t>万元；项目实施进度：各项业务工作按照年初计划，从</w:t>
      </w:r>
      <w:r w:rsidRPr="00142D90">
        <w:rPr>
          <w:rFonts w:cs="仿宋_GB2312"/>
        </w:rPr>
        <w:t>2023</w:t>
      </w:r>
      <w:r w:rsidRPr="00142D90">
        <w:rPr>
          <w:rFonts w:cs="仿宋_GB2312" w:hint="eastAsia"/>
        </w:rPr>
        <w:t>年</w:t>
      </w:r>
      <w:r w:rsidRPr="00142D90">
        <w:rPr>
          <w:rFonts w:cs="仿宋_GB2312"/>
        </w:rPr>
        <w:t>1</w:t>
      </w:r>
      <w:r w:rsidRPr="00142D90">
        <w:rPr>
          <w:rFonts w:cs="仿宋_GB2312" w:hint="eastAsia"/>
        </w:rPr>
        <w:t>月开始至</w:t>
      </w:r>
      <w:r w:rsidRPr="00142D90">
        <w:rPr>
          <w:rFonts w:cs="仿宋_GB2312"/>
        </w:rPr>
        <w:t>2023</w:t>
      </w:r>
      <w:r w:rsidRPr="00142D90">
        <w:rPr>
          <w:rFonts w:cs="仿宋_GB2312" w:hint="eastAsia"/>
        </w:rPr>
        <w:t>年</w:t>
      </w:r>
      <w:r w:rsidRPr="00142D90">
        <w:rPr>
          <w:rFonts w:cs="仿宋_GB2312"/>
        </w:rPr>
        <w:t>12</w:t>
      </w:r>
      <w:r w:rsidRPr="00142D90">
        <w:rPr>
          <w:rFonts w:cs="仿宋_GB2312" w:hint="eastAsia"/>
        </w:rPr>
        <w:t>月，逐月分批分项完成。</w:t>
      </w:r>
    </w:p>
    <w:p w:rsidR="00DC3BC1" w:rsidRPr="00142D90" w:rsidRDefault="00DC3BC1" w:rsidP="00142D90">
      <w:pPr>
        <w:autoSpaceDE w:val="0"/>
        <w:autoSpaceDN w:val="0"/>
        <w:adjustRightInd w:val="0"/>
        <w:spacing w:line="600" w:lineRule="exact"/>
        <w:ind w:firstLineChars="200" w:firstLine="640"/>
        <w:jc w:val="left"/>
        <w:rPr>
          <w:rFonts w:cs="仿宋_GB2312"/>
        </w:rPr>
      </w:pPr>
      <w:r w:rsidRPr="00142D90">
        <w:rPr>
          <w:rFonts w:cs="仿宋_GB2312"/>
        </w:rPr>
        <w:t xml:space="preserve">3. </w:t>
      </w:r>
      <w:r w:rsidRPr="00142D90">
        <w:rPr>
          <w:rFonts w:cs="仿宋_GB2312" w:hint="eastAsia"/>
        </w:rPr>
        <w:t>分析评价申报内容是否与实际相符，申报目标是否合理可行。该项目申报内容与实际相符，申报目标合理可行。</w:t>
      </w:r>
    </w:p>
    <w:p w:rsidR="00DC3BC1" w:rsidRDefault="00DC3BC1">
      <w:pPr>
        <w:adjustRightInd w:val="0"/>
        <w:snapToGrid w:val="0"/>
        <w:spacing w:line="600" w:lineRule="exact"/>
        <w:ind w:firstLine="720"/>
        <w:rPr>
          <w:rFonts w:eastAsia="楷体_GB2312"/>
          <w:b/>
          <w:lang w:val="zh-CN"/>
        </w:rPr>
      </w:pPr>
      <w:r>
        <w:rPr>
          <w:rFonts w:eastAsia="楷体_GB2312" w:hint="eastAsia"/>
          <w:b/>
          <w:lang w:val="zh-CN"/>
        </w:rPr>
        <w:t>（三）项目自评步骤及方法。</w:t>
      </w:r>
    </w:p>
    <w:p w:rsidR="00DC3BC1" w:rsidRDefault="00DC3BC1">
      <w:pPr>
        <w:adjustRightInd w:val="0"/>
        <w:snapToGrid w:val="0"/>
        <w:spacing w:line="600" w:lineRule="exact"/>
        <w:ind w:firstLine="720"/>
        <w:rPr>
          <w:lang w:val="zh-CN"/>
        </w:rPr>
      </w:pPr>
      <w:r>
        <w:rPr>
          <w:rFonts w:hint="eastAsia"/>
          <w:lang w:val="zh-CN"/>
        </w:rPr>
        <w:t>按文件要求按规定时间实施。</w:t>
      </w:r>
    </w:p>
    <w:p w:rsidR="00DC3BC1" w:rsidRDefault="00DC3BC1">
      <w:pPr>
        <w:adjustRightInd w:val="0"/>
        <w:snapToGrid w:val="0"/>
        <w:spacing w:line="600" w:lineRule="exact"/>
        <w:ind w:firstLine="720"/>
        <w:rPr>
          <w:rFonts w:eastAsia="黑体"/>
        </w:rPr>
      </w:pPr>
      <w:r>
        <w:rPr>
          <w:rFonts w:eastAsia="黑体" w:hint="eastAsia"/>
        </w:rPr>
        <w:t>二、项目资金申报及使用情况</w:t>
      </w:r>
    </w:p>
    <w:p w:rsidR="00DC3BC1" w:rsidRDefault="00DC3BC1">
      <w:pPr>
        <w:adjustRightInd w:val="0"/>
        <w:snapToGrid w:val="0"/>
        <w:spacing w:line="600" w:lineRule="exact"/>
        <w:ind w:firstLine="720"/>
        <w:rPr>
          <w:rFonts w:eastAsia="楷体_GB2312"/>
          <w:b/>
          <w:lang w:val="zh-CN"/>
        </w:rPr>
      </w:pPr>
      <w:r>
        <w:rPr>
          <w:rFonts w:eastAsia="楷体_GB2312" w:hint="eastAsia"/>
          <w:b/>
          <w:lang w:val="zh-CN"/>
        </w:rPr>
        <w:t>（一）项目资金申报及批复情况。</w:t>
      </w:r>
    </w:p>
    <w:p w:rsidR="00DC3BC1" w:rsidRDefault="00DC3BC1">
      <w:pPr>
        <w:adjustRightInd w:val="0"/>
        <w:snapToGrid w:val="0"/>
        <w:spacing w:line="600" w:lineRule="exact"/>
        <w:ind w:firstLine="720"/>
      </w:pPr>
      <w:r w:rsidRPr="00B04AD2">
        <w:rPr>
          <w:rFonts w:eastAsia="楷体_GB2312"/>
          <w:lang w:val="zh-CN"/>
        </w:rPr>
        <w:t>1</w:t>
      </w:r>
      <w:r w:rsidRPr="00142D90">
        <w:rPr>
          <w:rFonts w:cs="仿宋_GB2312" w:hint="eastAsia"/>
        </w:rPr>
        <w:t>．资金计划。衔接资金共</w:t>
      </w:r>
      <w:r>
        <w:rPr>
          <w:rFonts w:cs="仿宋_GB2312"/>
        </w:rPr>
        <w:t>603.80</w:t>
      </w:r>
      <w:r w:rsidRPr="00142D90">
        <w:rPr>
          <w:rFonts w:cs="仿宋_GB2312" w:hint="eastAsia"/>
        </w:rPr>
        <w:t>万，其中</w:t>
      </w:r>
      <w:r w:rsidRPr="00142D90">
        <w:rPr>
          <w:rFonts w:cs="仿宋_GB2312"/>
        </w:rPr>
        <w:t>149</w:t>
      </w:r>
      <w:r w:rsidRPr="00142D90">
        <w:rPr>
          <w:rFonts w:cs="仿宋_GB2312" w:hint="eastAsia"/>
        </w:rPr>
        <w:t>万为省级资金，</w:t>
      </w:r>
      <w:r>
        <w:rPr>
          <w:rFonts w:cs="仿宋_GB2312"/>
        </w:rPr>
        <w:t>454.8</w:t>
      </w:r>
      <w:r w:rsidRPr="00142D90">
        <w:rPr>
          <w:rFonts w:cs="仿宋_GB2312" w:hint="eastAsia"/>
        </w:rPr>
        <w:t>万为中央资金。</w:t>
      </w:r>
    </w:p>
    <w:p w:rsidR="00DC3BC1" w:rsidRDefault="00DC3BC1">
      <w:pPr>
        <w:adjustRightInd w:val="0"/>
        <w:snapToGrid w:val="0"/>
        <w:spacing w:line="600" w:lineRule="exact"/>
        <w:ind w:firstLine="720"/>
        <w:rPr>
          <w:lang w:val="zh-CN"/>
        </w:rPr>
      </w:pPr>
      <w:r>
        <w:rPr>
          <w:rFonts w:eastAsia="楷体_GB2312" w:hint="eastAsia"/>
          <w:b/>
          <w:lang w:val="zh-CN"/>
        </w:rPr>
        <w:t>（二）资金计划、到位及使用情况（可用表格形式反映）。</w:t>
      </w:r>
    </w:p>
    <w:p w:rsidR="00DC3BC1" w:rsidRPr="00142D90" w:rsidRDefault="00DC3BC1" w:rsidP="00142D90">
      <w:pPr>
        <w:spacing w:line="600" w:lineRule="exact"/>
        <w:ind w:firstLine="720"/>
        <w:rPr>
          <w:rFonts w:cs="仿宋_GB2312"/>
        </w:rPr>
      </w:pPr>
      <w:r w:rsidRPr="00142D90">
        <w:rPr>
          <w:rFonts w:cs="仿宋_GB2312"/>
        </w:rPr>
        <w:t>2</w:t>
      </w:r>
      <w:r w:rsidRPr="00142D90">
        <w:rPr>
          <w:rFonts w:cs="仿宋_GB2312" w:hint="eastAsia"/>
        </w:rPr>
        <w:t>．资金到位。以申报项目为依据，按照职能认真履行职责，按照年初工作计划逐月推进工作，按照财政局部署，我局按月申请资金计划报批，申请计划</w:t>
      </w:r>
      <w:r>
        <w:rPr>
          <w:rFonts w:cs="仿宋_GB2312"/>
        </w:rPr>
        <w:t>603.80</w:t>
      </w:r>
      <w:r w:rsidRPr="00142D90">
        <w:rPr>
          <w:rFonts w:cs="仿宋_GB2312" w:hint="eastAsia"/>
        </w:rPr>
        <w:t>万元，实际到位计划资金</w:t>
      </w:r>
      <w:r>
        <w:rPr>
          <w:rFonts w:cs="仿宋_GB2312"/>
        </w:rPr>
        <w:t>603.80</w:t>
      </w:r>
      <w:r w:rsidRPr="00142D90">
        <w:rPr>
          <w:rFonts w:cs="仿宋_GB2312" w:hint="eastAsia"/>
        </w:rPr>
        <w:t>万元，资金到位率</w:t>
      </w:r>
      <w:r w:rsidRPr="00142D90">
        <w:rPr>
          <w:rFonts w:cs="仿宋_GB2312"/>
        </w:rPr>
        <w:t>100%</w:t>
      </w:r>
      <w:r w:rsidRPr="00142D90">
        <w:rPr>
          <w:rFonts w:cs="仿宋_GB2312" w:hint="eastAsia"/>
        </w:rPr>
        <w:t>。</w:t>
      </w:r>
    </w:p>
    <w:p w:rsidR="00DC3BC1" w:rsidRPr="00142D90" w:rsidRDefault="00DC3BC1" w:rsidP="00142D90">
      <w:pPr>
        <w:spacing w:line="600" w:lineRule="exact"/>
        <w:ind w:firstLine="720"/>
        <w:rPr>
          <w:rFonts w:cs="仿宋_GB2312"/>
        </w:rPr>
      </w:pPr>
      <w:r w:rsidRPr="00142D90">
        <w:rPr>
          <w:rFonts w:cs="仿宋_GB2312"/>
        </w:rPr>
        <w:t>3</w:t>
      </w:r>
      <w:r w:rsidRPr="00142D90">
        <w:rPr>
          <w:rFonts w:cs="仿宋_GB2312" w:hint="eastAsia"/>
        </w:rPr>
        <w:t>．资金使用。以预算金额为依据，严格控制经费使用明细、标准，把关审批制度，认真履行支付手续，资金支付范围、支付标准、支付进度、支付依据等合规合法、与预算相符。中央资金</w:t>
      </w:r>
      <w:r>
        <w:rPr>
          <w:rFonts w:cs="仿宋_GB2312"/>
        </w:rPr>
        <w:t>454.80</w:t>
      </w:r>
      <w:r w:rsidRPr="00142D90">
        <w:rPr>
          <w:rFonts w:cs="仿宋_GB2312" w:hint="eastAsia"/>
        </w:rPr>
        <w:t>万元，</w:t>
      </w:r>
      <w:r>
        <w:rPr>
          <w:rFonts w:cs="仿宋_GB2312"/>
        </w:rPr>
        <w:t>2023</w:t>
      </w:r>
      <w:r w:rsidRPr="00142D90">
        <w:rPr>
          <w:rFonts w:cs="仿宋_GB2312" w:hint="eastAsia"/>
        </w:rPr>
        <w:t>年支付资金</w:t>
      </w:r>
      <w:r>
        <w:rPr>
          <w:rFonts w:cs="仿宋_GB2312"/>
        </w:rPr>
        <w:t>379.4</w:t>
      </w:r>
      <w:r w:rsidRPr="00142D90">
        <w:rPr>
          <w:rFonts w:cs="仿宋_GB2312" w:hint="eastAsia"/>
        </w:rPr>
        <w:t>元，结余资金</w:t>
      </w:r>
      <w:r w:rsidRPr="00142D90">
        <w:rPr>
          <w:rFonts w:cs="仿宋_GB2312"/>
        </w:rPr>
        <w:t>75.4</w:t>
      </w:r>
      <w:r w:rsidRPr="00142D90">
        <w:rPr>
          <w:rFonts w:cs="仿宋_GB2312" w:hint="eastAsia"/>
        </w:rPr>
        <w:t>万元。省级资金</w:t>
      </w:r>
      <w:r w:rsidRPr="00142D90">
        <w:rPr>
          <w:rFonts w:cs="仿宋_GB2312"/>
        </w:rPr>
        <w:t>149</w:t>
      </w:r>
      <w:r w:rsidRPr="00142D90">
        <w:rPr>
          <w:rFonts w:cs="仿宋_GB2312" w:hint="eastAsia"/>
        </w:rPr>
        <w:t>万元，</w:t>
      </w:r>
      <w:r>
        <w:rPr>
          <w:rFonts w:cs="仿宋_GB2312"/>
        </w:rPr>
        <w:t>2023</w:t>
      </w:r>
      <w:r w:rsidRPr="00142D90">
        <w:rPr>
          <w:rFonts w:cs="仿宋_GB2312" w:hint="eastAsia"/>
        </w:rPr>
        <w:t>年支付资金</w:t>
      </w:r>
      <w:r w:rsidRPr="00142D90">
        <w:rPr>
          <w:rFonts w:cs="仿宋_GB2312"/>
        </w:rPr>
        <w:t>124.00</w:t>
      </w:r>
      <w:r w:rsidRPr="00142D90">
        <w:rPr>
          <w:rFonts w:cs="仿宋_GB2312" w:hint="eastAsia"/>
        </w:rPr>
        <w:t>万元，结余资金</w:t>
      </w:r>
      <w:r w:rsidRPr="00142D90">
        <w:rPr>
          <w:rFonts w:cs="仿宋_GB2312"/>
        </w:rPr>
        <w:t>25</w:t>
      </w:r>
      <w:r w:rsidRPr="00142D90">
        <w:rPr>
          <w:rFonts w:cs="仿宋_GB2312" w:hint="eastAsia"/>
        </w:rPr>
        <w:t>万元。该结余资金是由于项目方案调整导致资金结余。</w:t>
      </w:r>
    </w:p>
    <w:p w:rsidR="00DC3BC1" w:rsidRDefault="00DC3BC1">
      <w:pPr>
        <w:adjustRightInd w:val="0"/>
        <w:snapToGrid w:val="0"/>
        <w:spacing w:line="600" w:lineRule="exact"/>
        <w:ind w:firstLine="720"/>
        <w:rPr>
          <w:rFonts w:eastAsia="楷体_GB2312"/>
          <w:b/>
          <w:lang w:val="zh-CN"/>
        </w:rPr>
      </w:pPr>
      <w:r>
        <w:rPr>
          <w:rFonts w:eastAsia="楷体_GB2312" w:hint="eastAsia"/>
          <w:b/>
          <w:lang w:val="zh-CN"/>
        </w:rPr>
        <w:t>（三）项目财务管理情况。</w:t>
      </w:r>
    </w:p>
    <w:p w:rsidR="00DC3BC1" w:rsidRDefault="00DC3BC1" w:rsidP="00C2257F">
      <w:pPr>
        <w:autoSpaceDE w:val="0"/>
        <w:autoSpaceDN w:val="0"/>
        <w:adjustRightInd w:val="0"/>
        <w:spacing w:line="600" w:lineRule="exact"/>
        <w:ind w:firstLineChars="200" w:firstLine="640"/>
        <w:jc w:val="left"/>
        <w:rPr>
          <w:kern w:val="0"/>
        </w:rPr>
      </w:pPr>
      <w:r>
        <w:rPr>
          <w:rFonts w:hint="eastAsia"/>
        </w:rPr>
        <w:t>严格按照财务管理办理管理，控制经费使用明细、标准，把关审批制度，认真履行支付手续，支付依据合规合法，</w:t>
      </w:r>
      <w:r>
        <w:rPr>
          <w:rFonts w:hint="eastAsia"/>
          <w:kern w:val="0"/>
        </w:rPr>
        <w:t>资金完全按照计划支付，资金支付范围、支付标准、支付进度、支付依据等合规合法、与预算相符，未发现问题。</w:t>
      </w:r>
    </w:p>
    <w:p w:rsidR="00DC3BC1" w:rsidRDefault="00DC3BC1">
      <w:pPr>
        <w:adjustRightInd w:val="0"/>
        <w:snapToGrid w:val="0"/>
        <w:spacing w:line="600" w:lineRule="exact"/>
        <w:ind w:firstLine="720"/>
        <w:rPr>
          <w:rFonts w:eastAsia="黑体"/>
        </w:rPr>
      </w:pPr>
      <w:r>
        <w:rPr>
          <w:rFonts w:eastAsia="黑体" w:hint="eastAsia"/>
        </w:rPr>
        <w:t>三、项目实施及管理情况</w:t>
      </w:r>
    </w:p>
    <w:p w:rsidR="00DC3BC1" w:rsidRDefault="00DC3BC1" w:rsidP="00C2257F">
      <w:pPr>
        <w:adjustRightInd w:val="0"/>
        <w:snapToGrid w:val="0"/>
        <w:spacing w:line="600" w:lineRule="exact"/>
        <w:ind w:firstLine="720"/>
        <w:rPr>
          <w:rFonts w:eastAsia="楷体_GB2312"/>
          <w:b/>
          <w:lang w:val="zh-CN"/>
        </w:rPr>
      </w:pPr>
      <w:r w:rsidRPr="00B04AD2">
        <w:rPr>
          <w:rFonts w:eastAsia="楷体_GB2312" w:hint="eastAsia"/>
          <w:b/>
          <w:lang w:val="zh-CN"/>
        </w:rPr>
        <w:t>（一）项目组织架构及实施流程。</w:t>
      </w:r>
    </w:p>
    <w:p w:rsidR="00DC3BC1" w:rsidRPr="00C2257F" w:rsidRDefault="00DC3BC1" w:rsidP="00C2257F">
      <w:pPr>
        <w:adjustRightInd w:val="0"/>
        <w:snapToGrid w:val="0"/>
        <w:spacing w:line="600" w:lineRule="exact"/>
        <w:ind w:firstLine="720"/>
        <w:rPr>
          <w:kern w:val="0"/>
        </w:rPr>
      </w:pPr>
      <w:r w:rsidRPr="00C2257F">
        <w:rPr>
          <w:rFonts w:hint="eastAsia"/>
          <w:kern w:val="0"/>
        </w:rPr>
        <w:t>项目由各业主单位负责组织实施，区民宗局对项目审批流程、实施进度、质量监督、资金支付手续等进行审核。</w:t>
      </w:r>
    </w:p>
    <w:p w:rsidR="00DC3BC1" w:rsidRPr="00C2257F" w:rsidRDefault="00DC3BC1" w:rsidP="00C2257F">
      <w:pPr>
        <w:adjustRightInd w:val="0"/>
        <w:snapToGrid w:val="0"/>
        <w:spacing w:line="600" w:lineRule="exact"/>
        <w:ind w:firstLine="720"/>
        <w:rPr>
          <w:rFonts w:eastAsia="楷体_GB2312"/>
          <w:b/>
          <w:lang w:val="zh-CN"/>
        </w:rPr>
      </w:pPr>
      <w:r w:rsidRPr="00C2257F">
        <w:rPr>
          <w:rFonts w:eastAsia="楷体_GB2312" w:hint="eastAsia"/>
          <w:b/>
          <w:lang w:val="zh-CN"/>
        </w:rPr>
        <w:t>（二）项目管理情况。</w:t>
      </w:r>
    </w:p>
    <w:p w:rsidR="00DC3BC1" w:rsidRDefault="00DC3BC1" w:rsidP="00C2257F">
      <w:pPr>
        <w:adjustRightInd w:val="0"/>
        <w:snapToGrid w:val="0"/>
        <w:spacing w:line="600" w:lineRule="exact"/>
        <w:ind w:firstLine="720"/>
      </w:pPr>
      <w:r>
        <w:rPr>
          <w:rFonts w:hint="eastAsia"/>
        </w:rPr>
        <w:t>我局在监督各实施单位推进项目过程中，严格把关，把执行招投标、政府采购、项目公示等相关规定的依据作为资金支付的重要凭证，把项目推进情况作为下一年度该实施单位项目申报审核的重要依据。</w:t>
      </w:r>
    </w:p>
    <w:p w:rsidR="00DC3BC1" w:rsidRDefault="00DC3BC1" w:rsidP="00C2257F">
      <w:pPr>
        <w:adjustRightInd w:val="0"/>
        <w:snapToGrid w:val="0"/>
        <w:spacing w:line="600" w:lineRule="exact"/>
        <w:ind w:firstLine="720"/>
        <w:rPr>
          <w:rFonts w:eastAsia="楷体_GB2312"/>
          <w:b/>
          <w:lang w:val="zh-CN"/>
        </w:rPr>
      </w:pPr>
      <w:r w:rsidRPr="00B04AD2">
        <w:rPr>
          <w:rFonts w:eastAsia="楷体_GB2312" w:hint="eastAsia"/>
          <w:b/>
          <w:lang w:val="zh-CN"/>
        </w:rPr>
        <w:t>（三）项目监管情况。</w:t>
      </w:r>
    </w:p>
    <w:p w:rsidR="00DC3BC1" w:rsidRDefault="00DC3BC1" w:rsidP="00C2257F">
      <w:pPr>
        <w:pStyle w:val="NormalWeb"/>
        <w:shd w:val="clear" w:color="auto" w:fill="FFFFFF"/>
        <w:adjustRightInd w:val="0"/>
        <w:snapToGrid w:val="0"/>
        <w:spacing w:before="0" w:beforeAutospacing="0" w:after="0" w:afterAutospacing="0" w:line="576" w:lineRule="exact"/>
        <w:ind w:firstLineChars="200" w:firstLine="640"/>
        <w:rPr>
          <w:rFonts w:ascii="Times New Roman" w:eastAsia="仿宋_GB2312"/>
          <w:sz w:val="32"/>
          <w:szCs w:val="32"/>
        </w:rPr>
      </w:pPr>
      <w:r>
        <w:rPr>
          <w:rFonts w:ascii="Times New Roman" w:eastAsia="仿宋_GB2312" w:hint="eastAsia"/>
          <w:sz w:val="32"/>
          <w:szCs w:val="32"/>
        </w:rPr>
        <w:t>根据项目实施方案，区民宗局与各实施单位签订项目责任书，按项目进度定时对项目推进情况进行资料和现场的督导检查。财务室严格按照年初审核的预算项目和经费支出安排进行资金审核报销，确保项目实施和经费保障按计划、按进度稳步推进。项目均在计划时间内完工并完成资金支付。</w:t>
      </w:r>
    </w:p>
    <w:p w:rsidR="00DC3BC1" w:rsidRDefault="00DC3BC1">
      <w:pPr>
        <w:adjustRightInd w:val="0"/>
        <w:snapToGrid w:val="0"/>
        <w:spacing w:line="600" w:lineRule="exact"/>
        <w:ind w:firstLine="720"/>
        <w:rPr>
          <w:lang w:val="zh-CN"/>
        </w:rPr>
      </w:pPr>
      <w:r>
        <w:rPr>
          <w:rFonts w:eastAsia="黑体" w:hint="eastAsia"/>
        </w:rPr>
        <w:t>四、项目绩效情况</w:t>
      </w:r>
      <w:r>
        <w:rPr>
          <w:lang w:val="zh-CN"/>
        </w:rPr>
        <w:tab/>
      </w:r>
    </w:p>
    <w:p w:rsidR="00DC3BC1" w:rsidRDefault="00DC3BC1" w:rsidP="00C2257F">
      <w:pPr>
        <w:adjustRightInd w:val="0"/>
        <w:snapToGrid w:val="0"/>
        <w:spacing w:line="600" w:lineRule="exact"/>
        <w:ind w:firstLine="720"/>
        <w:rPr>
          <w:rFonts w:eastAsia="楷体_GB2312"/>
          <w:b/>
          <w:lang w:val="zh-CN"/>
        </w:rPr>
      </w:pPr>
      <w:r w:rsidRPr="00B04AD2">
        <w:rPr>
          <w:rFonts w:eastAsia="楷体_GB2312" w:hint="eastAsia"/>
          <w:b/>
          <w:lang w:val="zh-CN"/>
        </w:rPr>
        <w:t>（一）项目完成情况。</w:t>
      </w:r>
    </w:p>
    <w:p w:rsidR="00DC3BC1" w:rsidRPr="00013E6D" w:rsidRDefault="00DC3BC1" w:rsidP="00C2257F">
      <w:pPr>
        <w:adjustRightInd w:val="0"/>
        <w:snapToGrid w:val="0"/>
        <w:spacing w:line="600" w:lineRule="exact"/>
        <w:ind w:firstLine="720"/>
        <w:rPr>
          <w:rFonts w:eastAsia="楷体_GB2312"/>
          <w:b/>
          <w:color w:val="FF0000"/>
          <w:lang w:val="zh-CN"/>
        </w:rPr>
      </w:pPr>
      <w:r>
        <w:rPr>
          <w:rFonts w:hint="eastAsia"/>
          <w:lang w:val="zh-CN"/>
        </w:rPr>
        <w:t>项目按照各子项目实施方案，完成</w:t>
      </w:r>
      <w:r w:rsidRPr="00142D90">
        <w:rPr>
          <w:rFonts w:cs="仿宋_GB2312" w:hint="eastAsia"/>
        </w:rPr>
        <w:t>太平乡先锋村坪子组产业道路硬化项目；平地镇迤沙拉村少数民族特色村寨建设项目；福田镇塘坝村东大沟水毁修复工程；务本乡乌拉村乌拉农产品交易市场及河道整治工程；大龙潭乡干坝子村大保哨一组生产生活用水管网及蓄水池项目</w:t>
      </w:r>
      <w:r>
        <w:rPr>
          <w:rFonts w:cs="仿宋_GB2312"/>
        </w:rPr>
        <w:t>5</w:t>
      </w:r>
      <w:r>
        <w:rPr>
          <w:rFonts w:hint="eastAsia"/>
        </w:rPr>
        <w:t>个子项目及项目管理；项目均在计划年度内完成；成本严格控制在</w:t>
      </w:r>
      <w:r>
        <w:t>603.80</w:t>
      </w:r>
      <w:r>
        <w:rPr>
          <w:rFonts w:hint="eastAsia"/>
        </w:rPr>
        <w:t>万元内。项目完成率</w:t>
      </w:r>
      <w:r>
        <w:t>100%</w:t>
      </w:r>
      <w:r>
        <w:rPr>
          <w:rFonts w:hint="eastAsia"/>
        </w:rPr>
        <w:t>，资金到位率</w:t>
      </w:r>
      <w:r>
        <w:t>100%</w:t>
      </w:r>
      <w:r>
        <w:rPr>
          <w:rFonts w:hint="eastAsia"/>
        </w:rPr>
        <w:t>。</w:t>
      </w:r>
    </w:p>
    <w:p w:rsidR="00DC3BC1" w:rsidRPr="00B04AD2" w:rsidRDefault="00DC3BC1" w:rsidP="00C2257F">
      <w:pPr>
        <w:adjustRightInd w:val="0"/>
        <w:snapToGrid w:val="0"/>
        <w:spacing w:line="600" w:lineRule="exact"/>
        <w:ind w:firstLine="720"/>
        <w:rPr>
          <w:rFonts w:eastAsia="楷体_GB2312"/>
          <w:b/>
          <w:lang w:val="zh-CN"/>
        </w:rPr>
      </w:pPr>
      <w:r w:rsidRPr="00B04AD2">
        <w:rPr>
          <w:rFonts w:eastAsia="楷体_GB2312" w:hint="eastAsia"/>
          <w:b/>
          <w:lang w:val="zh-CN"/>
        </w:rPr>
        <w:t>（二）项目效益情况。</w:t>
      </w:r>
    </w:p>
    <w:p w:rsidR="00DC3BC1" w:rsidRDefault="00DC3BC1" w:rsidP="00C2257F">
      <w:pPr>
        <w:adjustRightInd w:val="0"/>
        <w:snapToGrid w:val="0"/>
        <w:spacing w:line="600" w:lineRule="exact"/>
        <w:ind w:firstLine="720"/>
      </w:pPr>
      <w:r w:rsidRPr="00B04AD2">
        <w:rPr>
          <w:rFonts w:hint="eastAsia"/>
          <w:lang w:val="zh-CN"/>
        </w:rPr>
        <w:t>社会效益</w:t>
      </w:r>
      <w:r>
        <w:rPr>
          <w:rFonts w:hint="eastAsia"/>
          <w:lang w:val="zh-CN"/>
        </w:rPr>
        <w:t>：</w:t>
      </w:r>
      <w:r w:rsidRPr="00DF3F93">
        <w:rPr>
          <w:rFonts w:hint="eastAsia"/>
        </w:rPr>
        <w:t>解决生产</w:t>
      </w:r>
      <w:r>
        <w:rPr>
          <w:rFonts w:hint="eastAsia"/>
        </w:rPr>
        <w:t>生活</w:t>
      </w:r>
      <w:r w:rsidRPr="00DF3F93">
        <w:rPr>
          <w:rFonts w:hint="eastAsia"/>
        </w:rPr>
        <w:t>用水</w:t>
      </w:r>
      <w:r>
        <w:rPr>
          <w:rFonts w:hint="eastAsia"/>
        </w:rPr>
        <w:t>、保障居民安全出行</w:t>
      </w:r>
      <w:r w:rsidRPr="00DF3F93">
        <w:rPr>
          <w:rFonts w:hint="eastAsia"/>
        </w:rPr>
        <w:t>，</w:t>
      </w:r>
      <w:r>
        <w:rPr>
          <w:rFonts w:hint="eastAsia"/>
        </w:rPr>
        <w:t>促进农户和</w:t>
      </w:r>
      <w:r w:rsidRPr="00DF3F93">
        <w:rPr>
          <w:rFonts w:hint="eastAsia"/>
        </w:rPr>
        <w:t>村集体经济</w:t>
      </w:r>
      <w:r>
        <w:rPr>
          <w:rFonts w:hint="eastAsia"/>
        </w:rPr>
        <w:t>增收</w:t>
      </w:r>
      <w:r w:rsidRPr="00DF3F93">
        <w:rPr>
          <w:rFonts w:hint="eastAsia"/>
        </w:rPr>
        <w:t>，促进文旅产业发展，进一步挖掘全区非物质文化遗产，对传统技艺的传承保护，铸牢中华民族共同体意识。</w:t>
      </w:r>
    </w:p>
    <w:p w:rsidR="00DC3BC1" w:rsidRPr="00B04AD2" w:rsidRDefault="00DC3BC1" w:rsidP="00C2257F">
      <w:pPr>
        <w:adjustRightInd w:val="0"/>
        <w:snapToGrid w:val="0"/>
        <w:spacing w:line="600" w:lineRule="exact"/>
        <w:ind w:firstLine="720"/>
        <w:rPr>
          <w:lang w:val="zh-CN"/>
        </w:rPr>
      </w:pPr>
      <w:r w:rsidRPr="00B04AD2">
        <w:rPr>
          <w:rFonts w:hint="eastAsia"/>
          <w:lang w:val="zh-CN"/>
        </w:rPr>
        <w:t>服务对象满意度</w:t>
      </w:r>
      <w:r>
        <w:rPr>
          <w:rFonts w:hint="eastAsia"/>
          <w:lang w:val="zh-CN"/>
        </w:rPr>
        <w:t>：在</w:t>
      </w:r>
      <w:r>
        <w:rPr>
          <w:lang w:val="zh-CN"/>
        </w:rPr>
        <w:t>80%</w:t>
      </w:r>
      <w:r>
        <w:rPr>
          <w:rFonts w:hint="eastAsia"/>
          <w:lang w:val="zh-CN"/>
        </w:rPr>
        <w:t>以上</w:t>
      </w:r>
      <w:r w:rsidRPr="00B04AD2">
        <w:rPr>
          <w:rFonts w:hint="eastAsia"/>
          <w:lang w:val="zh-CN"/>
        </w:rPr>
        <w:t>。</w:t>
      </w:r>
    </w:p>
    <w:p w:rsidR="00DC3BC1" w:rsidRDefault="00DC3BC1">
      <w:pPr>
        <w:adjustRightInd w:val="0"/>
        <w:snapToGrid w:val="0"/>
        <w:spacing w:line="600" w:lineRule="exact"/>
        <w:ind w:firstLine="720"/>
        <w:rPr>
          <w:rFonts w:eastAsia="黑体"/>
        </w:rPr>
      </w:pPr>
      <w:r>
        <w:rPr>
          <w:rFonts w:eastAsia="黑体" w:hint="eastAsia"/>
        </w:rPr>
        <w:t>五、评价结论及建议</w:t>
      </w:r>
    </w:p>
    <w:p w:rsidR="00DC3BC1" w:rsidRDefault="00DC3BC1">
      <w:pPr>
        <w:adjustRightInd w:val="0"/>
        <w:snapToGrid w:val="0"/>
        <w:spacing w:line="600" w:lineRule="exact"/>
        <w:ind w:firstLine="720"/>
        <w:rPr>
          <w:rFonts w:eastAsia="楷体_GB2312"/>
          <w:b/>
          <w:lang w:val="zh-CN"/>
        </w:rPr>
      </w:pPr>
      <w:r>
        <w:rPr>
          <w:rFonts w:eastAsia="楷体_GB2312" w:hint="eastAsia"/>
          <w:b/>
          <w:lang w:val="zh-CN"/>
        </w:rPr>
        <w:t>（一）评价结论。</w:t>
      </w:r>
    </w:p>
    <w:p w:rsidR="00DC3BC1" w:rsidRPr="005F72A5" w:rsidRDefault="00DC3BC1" w:rsidP="00C2257F">
      <w:pPr>
        <w:adjustRightInd w:val="0"/>
        <w:snapToGrid w:val="0"/>
        <w:spacing w:line="600" w:lineRule="exact"/>
        <w:ind w:firstLine="720"/>
        <w:rPr>
          <w:lang w:val="zh-CN"/>
        </w:rPr>
      </w:pPr>
      <w:r>
        <w:rPr>
          <w:lang w:val="zh-CN"/>
        </w:rPr>
        <w:t>2023</w:t>
      </w:r>
      <w:r w:rsidRPr="005F72A5">
        <w:rPr>
          <w:rFonts w:hint="eastAsia"/>
          <w:lang w:val="zh-CN"/>
        </w:rPr>
        <w:t>年，我局严格执行《行政单位会计制度》和《行政单位财务规则》，认真进行会计核算，实施会计监督，切实做到厉行节约，提高资金的使用效率。一是认真编制年初财务收支预算，为全年工作的正常运转提供保证。二是认真执行用款执行进度，努力做好财政资金事中监管。三是及时准确编制上报部门决算，做好资金使用的事后分析。</w:t>
      </w:r>
    </w:p>
    <w:p w:rsidR="00DC3BC1" w:rsidRDefault="00DC3BC1">
      <w:pPr>
        <w:adjustRightInd w:val="0"/>
        <w:snapToGrid w:val="0"/>
        <w:spacing w:line="600" w:lineRule="exact"/>
        <w:ind w:firstLine="720"/>
        <w:rPr>
          <w:rFonts w:eastAsia="楷体_GB2312"/>
          <w:b/>
          <w:lang w:val="zh-CN"/>
        </w:rPr>
      </w:pPr>
      <w:r>
        <w:rPr>
          <w:rFonts w:eastAsia="楷体_GB2312" w:hint="eastAsia"/>
          <w:b/>
          <w:lang w:val="zh-CN"/>
        </w:rPr>
        <w:t>（二）存在的问题。</w:t>
      </w:r>
    </w:p>
    <w:p w:rsidR="00DC3BC1" w:rsidRDefault="00DC3BC1">
      <w:pPr>
        <w:adjustRightInd w:val="0"/>
        <w:snapToGrid w:val="0"/>
        <w:spacing w:line="600" w:lineRule="exact"/>
        <w:ind w:firstLineChars="200" w:firstLine="640"/>
        <w:rPr>
          <w:lang w:val="zh-CN"/>
        </w:rPr>
      </w:pPr>
      <w:r>
        <w:rPr>
          <w:rFonts w:hint="eastAsia"/>
          <w:lang w:val="zh-CN"/>
        </w:rPr>
        <w:t>无</w:t>
      </w:r>
    </w:p>
    <w:p w:rsidR="00DC3BC1" w:rsidRDefault="00DC3BC1">
      <w:pPr>
        <w:adjustRightInd w:val="0"/>
        <w:snapToGrid w:val="0"/>
        <w:spacing w:line="600" w:lineRule="exact"/>
        <w:ind w:firstLine="720"/>
        <w:rPr>
          <w:rFonts w:eastAsia="楷体_GB2312"/>
          <w:b/>
          <w:lang w:val="zh-CN"/>
        </w:rPr>
      </w:pPr>
      <w:r>
        <w:rPr>
          <w:rFonts w:eastAsia="楷体_GB2312" w:hint="eastAsia"/>
          <w:b/>
          <w:lang w:val="zh-CN"/>
        </w:rPr>
        <w:t>（三）相关建议。</w:t>
      </w:r>
    </w:p>
    <w:p w:rsidR="00DC3BC1" w:rsidRPr="00B04AD2" w:rsidRDefault="00DC3BC1" w:rsidP="00C2257F">
      <w:pPr>
        <w:ind w:firstLineChars="200" w:firstLine="640"/>
      </w:pPr>
      <w:r>
        <w:rPr>
          <w:rFonts w:hint="eastAsia"/>
        </w:rPr>
        <w:t>加强人员培训，提高业务能力，以适应新形势下财政管理工作需要。</w:t>
      </w:r>
    </w:p>
    <w:p w:rsidR="00DC3BC1" w:rsidRDefault="00DC3BC1"/>
    <w:sectPr w:rsidR="00DC3BC1" w:rsidSect="005129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BC1" w:rsidRDefault="00DC3BC1">
      <w:r>
        <w:separator/>
      </w:r>
    </w:p>
  </w:endnote>
  <w:endnote w:type="continuationSeparator" w:id="0">
    <w:p w:rsidR="00DC3BC1" w:rsidRDefault="00DC3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BC1" w:rsidRDefault="00DC3BC1">
      <w:r>
        <w:separator/>
      </w:r>
    </w:p>
  </w:footnote>
  <w:footnote w:type="continuationSeparator" w:id="0">
    <w:p w:rsidR="00DC3BC1" w:rsidRDefault="00DC3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71D4D51"/>
    <w:rsid w:val="F1F64F55"/>
    <w:rsid w:val="00013E6D"/>
    <w:rsid w:val="001045D5"/>
    <w:rsid w:val="00115DBD"/>
    <w:rsid w:val="00142D90"/>
    <w:rsid w:val="00261FBD"/>
    <w:rsid w:val="003333C7"/>
    <w:rsid w:val="003E0697"/>
    <w:rsid w:val="004C4301"/>
    <w:rsid w:val="0051293A"/>
    <w:rsid w:val="005252C0"/>
    <w:rsid w:val="005F72A5"/>
    <w:rsid w:val="00617FE6"/>
    <w:rsid w:val="006571E6"/>
    <w:rsid w:val="006927A2"/>
    <w:rsid w:val="00823DF6"/>
    <w:rsid w:val="0087421B"/>
    <w:rsid w:val="00891887"/>
    <w:rsid w:val="009137C6"/>
    <w:rsid w:val="00993141"/>
    <w:rsid w:val="009C5902"/>
    <w:rsid w:val="00A51A86"/>
    <w:rsid w:val="00A91094"/>
    <w:rsid w:val="00B04AD2"/>
    <w:rsid w:val="00B24B36"/>
    <w:rsid w:val="00C05706"/>
    <w:rsid w:val="00C2257F"/>
    <w:rsid w:val="00C3049E"/>
    <w:rsid w:val="00D6274B"/>
    <w:rsid w:val="00DC3BC1"/>
    <w:rsid w:val="00DF3F93"/>
    <w:rsid w:val="00E01564"/>
    <w:rsid w:val="00E60B24"/>
    <w:rsid w:val="00E72119"/>
    <w:rsid w:val="00EB3EED"/>
    <w:rsid w:val="00EF34B5"/>
    <w:rsid w:val="1C25106F"/>
    <w:rsid w:val="22AD555F"/>
    <w:rsid w:val="2AF86ED7"/>
    <w:rsid w:val="2B385C88"/>
    <w:rsid w:val="35874596"/>
    <w:rsid w:val="74A708C5"/>
    <w:rsid w:val="771D4D51"/>
    <w:rsid w:val="7B8012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1293A"/>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293A"/>
    <w:pPr>
      <w:tabs>
        <w:tab w:val="center" w:pos="4153"/>
        <w:tab w:val="right" w:pos="8306"/>
      </w:tabs>
      <w:snapToGrid w:val="0"/>
      <w:jc w:val="left"/>
    </w:pPr>
    <w:rPr>
      <w:sz w:val="18"/>
      <w:szCs w:val="18"/>
      <w:lang w:val="zh-CN"/>
    </w:rPr>
  </w:style>
  <w:style w:type="character" w:customStyle="1" w:styleId="FooterChar">
    <w:name w:val="Footer Char"/>
    <w:basedOn w:val="DefaultParagraphFont"/>
    <w:link w:val="Footer"/>
    <w:uiPriority w:val="99"/>
    <w:semiHidden/>
    <w:locked/>
    <w:rPr>
      <w:rFonts w:ascii="Times New Roman" w:eastAsia="仿宋_GB2312" w:hAnsi="Times New Roman" w:cs="Times New Roman"/>
      <w:sz w:val="18"/>
      <w:szCs w:val="18"/>
    </w:rPr>
  </w:style>
  <w:style w:type="paragraph" w:styleId="Header">
    <w:name w:val="header"/>
    <w:basedOn w:val="Normal"/>
    <w:link w:val="HeaderChar"/>
    <w:uiPriority w:val="99"/>
    <w:rsid w:val="0051293A"/>
    <w:pPr>
      <w:pBdr>
        <w:bottom w:val="single" w:sz="6" w:space="1" w:color="auto"/>
      </w:pBdr>
      <w:tabs>
        <w:tab w:val="center" w:pos="4153"/>
        <w:tab w:val="right" w:pos="8306"/>
      </w:tabs>
      <w:snapToGrid w:val="0"/>
      <w:jc w:val="center"/>
    </w:pPr>
    <w:rPr>
      <w:sz w:val="18"/>
      <w:szCs w:val="18"/>
      <w:lang w:val="zh-CN"/>
    </w:rPr>
  </w:style>
  <w:style w:type="character" w:customStyle="1" w:styleId="HeaderChar">
    <w:name w:val="Header Char"/>
    <w:basedOn w:val="DefaultParagraphFont"/>
    <w:link w:val="Header"/>
    <w:uiPriority w:val="99"/>
    <w:semiHidden/>
    <w:locked/>
    <w:rPr>
      <w:rFonts w:ascii="Times New Roman" w:eastAsia="仿宋_GB2312" w:hAnsi="Times New Roman" w:cs="Times New Roman"/>
      <w:sz w:val="18"/>
      <w:szCs w:val="18"/>
    </w:rPr>
  </w:style>
  <w:style w:type="paragraph" w:customStyle="1" w:styleId="a">
    <w:name w:val="四号正文"/>
    <w:basedOn w:val="Normal"/>
    <w:uiPriority w:val="99"/>
    <w:rsid w:val="0051293A"/>
    <w:pPr>
      <w:spacing w:line="360" w:lineRule="auto"/>
    </w:pPr>
    <w:rPr>
      <w:rFonts w:ascii="??" w:eastAsia="宋体" w:hAnsi="??"/>
      <w:color w:val="000000"/>
      <w:kern w:val="0"/>
      <w:sz w:val="28"/>
      <w:szCs w:val="21"/>
      <w:lang w:val="zh-CN"/>
    </w:rPr>
  </w:style>
  <w:style w:type="paragraph" w:styleId="NormalWeb">
    <w:name w:val="Normal (Web)"/>
    <w:basedOn w:val="Normal"/>
    <w:uiPriority w:val="99"/>
    <w:rsid w:val="00C225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5</Pages>
  <Words>326</Words>
  <Characters>1863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高铭蔓</cp:lastModifiedBy>
  <cp:revision>11</cp:revision>
  <dcterms:created xsi:type="dcterms:W3CDTF">2020-07-01T00:13:00Z</dcterms:created>
  <dcterms:modified xsi:type="dcterms:W3CDTF">2024-05-16T07:59:00Z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2B76F10592CB49BEB392ADA4C6F02BFF</vt:lpwstr>
  </property>
</Properties>
</file>