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spacing w:line="360" w:lineRule="auto"/>
        <w:jc w:val="center"/>
        <w:rPr>
          <w:rFonts w:cs="方正小标宋简体"/>
          <w:sz w:val="72"/>
          <w:szCs w:val="72"/>
          <w:lang w:val="zh-CN"/>
        </w:rPr>
      </w:pPr>
      <w:r>
        <w:rPr>
          <w:rFonts w:cs="方正小标宋简体"/>
          <w:sz w:val="72"/>
          <w:szCs w:val="72"/>
          <w:lang w:val="zh-CN"/>
        </w:rPr>
        <w:t>2022</w:t>
      </w:r>
      <w:r>
        <w:rPr>
          <w:rFonts w:hint="eastAsia" w:cs="方正小标宋简体"/>
          <w:sz w:val="72"/>
          <w:szCs w:val="72"/>
          <w:lang w:val="zh-CN"/>
        </w:rPr>
        <w:t>年度</w:t>
      </w:r>
    </w:p>
    <w:p>
      <w:pPr>
        <w:spacing w:line="240" w:lineRule="auto"/>
        <w:jc w:val="center"/>
        <w:rPr>
          <w:rFonts w:cs="方正小标宋简体"/>
          <w:sz w:val="72"/>
          <w:szCs w:val="72"/>
          <w:lang w:val="zh-CN"/>
        </w:rPr>
      </w:pPr>
      <w:r>
        <w:rPr>
          <w:rFonts w:hint="eastAsia" w:cs="方正小标宋简体"/>
          <w:sz w:val="72"/>
          <w:szCs w:val="72"/>
          <w:lang w:val="zh-CN"/>
        </w:rPr>
        <w:t>攀枝花市仁和区建设工程质量安全站单位决算编制说明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widowControl/>
        <w:jc w:val="center"/>
        <w:rPr>
          <w:rFonts w:ascii="黑体" w:hAnsi="黑体" w:eastAsia="黑体" w:cstheme="minorBidi"/>
          <w:sz w:val="28"/>
          <w:szCs w:val="28"/>
        </w:rPr>
      </w:pPr>
    </w:p>
    <w:p>
      <w:pPr>
        <w:pStyle w:val="10"/>
        <w:rPr>
          <w:sz w:val="32"/>
          <w:szCs w:val="32"/>
        </w:rPr>
      </w:pPr>
      <w:r>
        <w:rPr>
          <w:rFonts w:hint="eastAsia"/>
          <w:sz w:val="32"/>
          <w:szCs w:val="32"/>
        </w:rPr>
        <w:t>公开时间：2023年</w:t>
      </w:r>
      <w:r>
        <w:rPr>
          <w:rFonts w:hint="eastAsia"/>
          <w:sz w:val="32"/>
          <w:szCs w:val="32"/>
          <w:lang w:val="en-US" w:eastAsia="zh-CN"/>
        </w:rPr>
        <w:t>9</w:t>
      </w:r>
      <w:r>
        <w:rPr>
          <w:rFonts w:hint="eastAsia"/>
          <w:sz w:val="32"/>
          <w:szCs w:val="32"/>
        </w:rPr>
        <w:t>月</w:t>
      </w:r>
      <w:r>
        <w:rPr>
          <w:rFonts w:hint="eastAsia"/>
          <w:sz w:val="32"/>
          <w:szCs w:val="32"/>
          <w:lang w:val="en-US" w:eastAsia="zh-CN"/>
        </w:rPr>
        <w:t>26</w:t>
      </w:r>
      <w:r>
        <w:rPr>
          <w:rFonts w:hint="eastAsia"/>
          <w:sz w:val="32"/>
          <w:szCs w:val="32"/>
        </w:rPr>
        <w:t>日</w:t>
      </w:r>
    </w:p>
    <w:p/>
    <w:p>
      <w:pPr>
        <w:pStyle w:val="10"/>
        <w:adjustRightInd w:val="0"/>
        <w:snapToGrid w:val="0"/>
        <w:spacing w:before="0" w:line="440" w:lineRule="exact"/>
        <w:jc w:val="left"/>
        <w:rPr>
          <w:rFonts w:hint="default" w:ascii="Times New Roman" w:hAnsi="Times New Roman" w:eastAsia="宋体"/>
          <w:sz w:val="32"/>
          <w:szCs w:val="32"/>
          <w:lang w:val="en-US" w:eastAsia="zh-CN"/>
        </w:rPr>
      </w:pPr>
      <w:r>
        <w:rPr>
          <w:rFonts w:hint="eastAsia" w:ascii="Times New Roman" w:hAnsi="Times New Roman" w:eastAsia="宋体"/>
          <w:sz w:val="32"/>
          <w:szCs w:val="32"/>
        </w:rPr>
        <w:t>第一部分</w:t>
      </w:r>
      <w:r>
        <w:rPr>
          <w:rFonts w:ascii="Times New Roman" w:hAnsi="Times New Roman" w:eastAsia="宋体"/>
          <w:sz w:val="32"/>
          <w:szCs w:val="32"/>
        </w:rPr>
        <w:t xml:space="preserve"> </w:t>
      </w:r>
      <w:r>
        <w:rPr>
          <w:rFonts w:hint="eastAsia" w:ascii="Times New Roman" w:hAnsi="Times New Roman" w:eastAsia="宋体"/>
          <w:sz w:val="32"/>
          <w:szCs w:val="32"/>
        </w:rPr>
        <w:t>单位概况</w:t>
      </w:r>
      <w:r>
        <w:rPr>
          <w:rFonts w:hint="eastAsia" w:ascii="Times New Roman" w:hAnsi="Times New Roman" w:eastAsia="宋体"/>
          <w:sz w:val="32"/>
          <w:szCs w:val="32"/>
          <w:lang w:val="en-US" w:eastAsia="zh-CN"/>
        </w:rPr>
        <w:t xml:space="preserve">                                1</w:t>
      </w:r>
    </w:p>
    <w:p>
      <w:pPr>
        <w:pStyle w:val="11"/>
        <w:numPr>
          <w:numId w:val="0"/>
        </w:numPr>
        <w:adjustRightInd w:val="0"/>
        <w:snapToGrid w:val="0"/>
        <w:spacing w:line="440" w:lineRule="exact"/>
        <w:ind w:left="420" w:leftChars="0"/>
        <w:jc w:val="left"/>
        <w:rPr>
          <w:rFonts w:hint="default" w:eastAsia="宋体"/>
          <w:sz w:val="32"/>
          <w:szCs w:val="32"/>
          <w:lang w:val="en-US" w:eastAsia="zh-CN"/>
        </w:rPr>
      </w:pPr>
      <w:r>
        <w:rPr>
          <w:rFonts w:hint="eastAsia"/>
          <w:sz w:val="32"/>
          <w:szCs w:val="32"/>
          <w:lang w:eastAsia="zh-CN"/>
        </w:rPr>
        <w:t>一、</w:t>
      </w:r>
      <w:r>
        <w:rPr>
          <w:rFonts w:hint="eastAsia"/>
          <w:sz w:val="32"/>
          <w:szCs w:val="32"/>
        </w:rPr>
        <w:t>主要职责</w:t>
      </w:r>
      <w:r>
        <w:rPr>
          <w:rFonts w:hint="eastAsia"/>
          <w:sz w:val="32"/>
          <w:szCs w:val="32"/>
          <w:lang w:val="en-US" w:eastAsia="zh-CN"/>
        </w:rPr>
        <w:t xml:space="preserve">                                  1</w:t>
      </w:r>
    </w:p>
    <w:p>
      <w:pPr>
        <w:pStyle w:val="11"/>
        <w:numPr>
          <w:numId w:val="0"/>
        </w:numPr>
        <w:adjustRightInd w:val="0"/>
        <w:snapToGrid w:val="0"/>
        <w:spacing w:line="440" w:lineRule="exact"/>
        <w:ind w:left="420" w:leftChars="0"/>
        <w:jc w:val="left"/>
        <w:rPr>
          <w:rFonts w:hint="default" w:eastAsia="宋体"/>
          <w:sz w:val="32"/>
          <w:szCs w:val="32"/>
          <w:lang w:val="en-US" w:eastAsia="zh-CN"/>
        </w:rPr>
      </w:pPr>
      <w:r>
        <w:rPr>
          <w:rFonts w:hint="eastAsia"/>
          <w:sz w:val="32"/>
          <w:szCs w:val="32"/>
          <w:lang w:eastAsia="zh-CN"/>
        </w:rPr>
        <w:t>二、</w:t>
      </w:r>
      <w:r>
        <w:rPr>
          <w:rFonts w:hint="eastAsia"/>
          <w:sz w:val="32"/>
          <w:szCs w:val="32"/>
        </w:rPr>
        <w:t>机构设置</w:t>
      </w:r>
      <w:r>
        <w:rPr>
          <w:rFonts w:hint="eastAsia"/>
          <w:sz w:val="32"/>
          <w:szCs w:val="32"/>
          <w:lang w:val="en-US" w:eastAsia="zh-CN"/>
        </w:rPr>
        <w:t xml:space="preserve">                                  1</w:t>
      </w:r>
    </w:p>
    <w:p>
      <w:pPr>
        <w:pStyle w:val="10"/>
        <w:adjustRightInd w:val="0"/>
        <w:snapToGrid w:val="0"/>
        <w:spacing w:before="0" w:line="440" w:lineRule="exact"/>
        <w:jc w:val="left"/>
        <w:rPr>
          <w:rFonts w:hint="default" w:ascii="Times New Roman" w:hAnsi="Times New Roman" w:eastAsia="宋体"/>
          <w:sz w:val="32"/>
          <w:szCs w:val="32"/>
          <w:lang w:val="en-US" w:eastAsia="zh-CN"/>
        </w:rPr>
      </w:pPr>
      <w:r>
        <w:rPr>
          <w:rFonts w:hint="eastAsia" w:ascii="Times New Roman" w:hAnsi="Times New Roman" w:eastAsia="宋体"/>
          <w:sz w:val="32"/>
          <w:szCs w:val="32"/>
        </w:rPr>
        <w:t>第二部分 2022年度单位决算情况说明</w:t>
      </w:r>
      <w:r>
        <w:rPr>
          <w:rFonts w:hint="eastAsia" w:ascii="Times New Roman" w:hAnsi="Times New Roman" w:eastAsia="宋体"/>
          <w:sz w:val="32"/>
          <w:szCs w:val="32"/>
          <w:lang w:val="en-US" w:eastAsia="zh-CN"/>
        </w:rPr>
        <w:t xml:space="preserve">               2</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一、收入支出决算总体情况说明</w:t>
      </w:r>
      <w:r>
        <w:rPr>
          <w:rFonts w:hint="eastAsia"/>
          <w:sz w:val="32"/>
          <w:szCs w:val="32"/>
          <w:lang w:val="en-US" w:eastAsia="zh-CN"/>
        </w:rPr>
        <w:t xml:space="preserve">                  2                 </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二、收入决算情况说明</w:t>
      </w:r>
      <w:r>
        <w:rPr>
          <w:rFonts w:hint="eastAsia"/>
          <w:sz w:val="32"/>
          <w:szCs w:val="32"/>
          <w:lang w:val="en-US" w:eastAsia="zh-CN"/>
        </w:rPr>
        <w:t xml:space="preserve">                          2</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三、支出决算情况说明</w:t>
      </w:r>
      <w:r>
        <w:rPr>
          <w:rFonts w:hint="eastAsia"/>
          <w:sz w:val="32"/>
          <w:szCs w:val="32"/>
          <w:lang w:val="en-US" w:eastAsia="zh-CN"/>
        </w:rPr>
        <w:t xml:space="preserve">                          3</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四、财政拨款收入支出决算总体情况说明</w:t>
      </w:r>
      <w:r>
        <w:rPr>
          <w:rFonts w:hint="eastAsia"/>
          <w:sz w:val="32"/>
          <w:szCs w:val="32"/>
          <w:lang w:val="en-US" w:eastAsia="zh-CN"/>
        </w:rPr>
        <w:t xml:space="preserve">          3</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五、一般公共预算财政拨款支出决算情况说明</w:t>
      </w:r>
      <w:r>
        <w:rPr>
          <w:rFonts w:hint="eastAsia"/>
          <w:sz w:val="32"/>
          <w:szCs w:val="32"/>
          <w:lang w:val="en-US" w:eastAsia="zh-CN"/>
        </w:rPr>
        <w:t xml:space="preserve">      4</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六、一般公共预算财政拨款基本支出决算情况说明</w:t>
      </w:r>
      <w:r>
        <w:rPr>
          <w:rFonts w:hint="eastAsia"/>
          <w:sz w:val="32"/>
          <w:szCs w:val="32"/>
          <w:lang w:val="en-US" w:eastAsia="zh-CN"/>
        </w:rPr>
        <w:t xml:space="preserve">  6</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七、财政拨款“三公”经费支出决算情况说明</w:t>
      </w:r>
      <w:r>
        <w:rPr>
          <w:rFonts w:hint="eastAsia"/>
          <w:sz w:val="32"/>
          <w:szCs w:val="32"/>
          <w:lang w:val="en-US" w:eastAsia="zh-CN"/>
        </w:rPr>
        <w:t xml:space="preserve">      6</w:t>
      </w:r>
    </w:p>
    <w:p>
      <w:pPr>
        <w:pStyle w:val="11"/>
        <w:adjustRightInd w:val="0"/>
        <w:snapToGrid w:val="0"/>
        <w:spacing w:line="440" w:lineRule="exact"/>
        <w:jc w:val="left"/>
        <w:rPr>
          <w:rFonts w:hint="default" w:ascii="仿宋" w:hAnsi="仿宋" w:eastAsia="宋体" w:cstheme="minorBidi"/>
          <w:sz w:val="32"/>
          <w:szCs w:val="32"/>
          <w:lang w:val="en-US" w:eastAsia="zh-CN"/>
        </w:rPr>
      </w:pPr>
      <w:r>
        <w:rPr>
          <w:rFonts w:hint="eastAsia"/>
          <w:sz w:val="32"/>
          <w:szCs w:val="32"/>
        </w:rPr>
        <w:t>八、政府性基金预算支出决算情况说明</w:t>
      </w:r>
      <w:r>
        <w:rPr>
          <w:rFonts w:hint="eastAsia"/>
          <w:sz w:val="32"/>
          <w:szCs w:val="32"/>
          <w:lang w:val="en-US" w:eastAsia="zh-CN"/>
        </w:rPr>
        <w:t xml:space="preserve">            7</w:t>
      </w:r>
    </w:p>
    <w:p>
      <w:pPr>
        <w:pStyle w:val="11"/>
        <w:adjustRightInd w:val="0"/>
        <w:snapToGrid w:val="0"/>
        <w:spacing w:line="440" w:lineRule="exact"/>
        <w:jc w:val="left"/>
        <w:rPr>
          <w:rFonts w:hint="default" w:eastAsia="宋体"/>
          <w:sz w:val="32"/>
          <w:szCs w:val="32"/>
          <w:lang w:val="en-US" w:eastAsia="zh-CN"/>
        </w:rPr>
      </w:pPr>
      <w:r>
        <w:rPr>
          <w:rFonts w:hint="eastAsia"/>
          <w:sz w:val="32"/>
          <w:szCs w:val="32"/>
        </w:rPr>
        <w:t>九、国有资本经营预算支出决算情况说明</w:t>
      </w:r>
      <w:r>
        <w:rPr>
          <w:rFonts w:hint="eastAsia"/>
          <w:sz w:val="32"/>
          <w:szCs w:val="32"/>
          <w:lang w:val="en-US" w:eastAsia="zh-CN"/>
        </w:rPr>
        <w:t xml:space="preserve">          7</w:t>
      </w:r>
    </w:p>
    <w:p>
      <w:pPr>
        <w:pStyle w:val="11"/>
        <w:adjustRightInd w:val="0"/>
        <w:snapToGrid w:val="0"/>
        <w:spacing w:line="440" w:lineRule="exact"/>
        <w:jc w:val="left"/>
        <w:rPr>
          <w:rFonts w:hint="default" w:eastAsia="宋体"/>
          <w:sz w:val="32"/>
          <w:szCs w:val="32"/>
          <w:lang w:val="en-US" w:eastAsia="zh-CN"/>
        </w:rPr>
      </w:pPr>
      <w:r>
        <w:rPr>
          <w:rFonts w:hint="eastAsia"/>
          <w:sz w:val="32"/>
          <w:szCs w:val="32"/>
        </w:rPr>
        <w:t>十、其他重要事项的情况说明</w:t>
      </w:r>
      <w:r>
        <w:rPr>
          <w:rFonts w:hint="eastAsia"/>
          <w:sz w:val="32"/>
          <w:szCs w:val="32"/>
          <w:lang w:val="en-US" w:eastAsia="zh-CN"/>
        </w:rPr>
        <w:t xml:space="preserve">                    7</w:t>
      </w:r>
    </w:p>
    <w:p>
      <w:pPr>
        <w:pStyle w:val="10"/>
        <w:adjustRightInd w:val="0"/>
        <w:snapToGrid w:val="0"/>
        <w:spacing w:before="0" w:line="440" w:lineRule="exact"/>
        <w:jc w:val="left"/>
        <w:rPr>
          <w:rFonts w:hint="default" w:ascii="Times New Roman" w:hAnsi="Times New Roman" w:eastAsia="宋体"/>
          <w:sz w:val="32"/>
          <w:szCs w:val="32"/>
          <w:lang w:val="en-US" w:eastAsia="zh-CN"/>
        </w:rPr>
      </w:pPr>
      <w:r>
        <w:rPr>
          <w:rFonts w:hint="eastAsia" w:ascii="Times New Roman" w:hAnsi="Times New Roman" w:eastAsia="宋体"/>
          <w:sz w:val="32"/>
          <w:szCs w:val="32"/>
        </w:rPr>
        <w:t>第三部分</w:t>
      </w:r>
      <w:r>
        <w:rPr>
          <w:rFonts w:ascii="Times New Roman" w:hAnsi="Times New Roman" w:eastAsia="宋体"/>
          <w:sz w:val="32"/>
          <w:szCs w:val="32"/>
        </w:rPr>
        <w:t xml:space="preserve"> </w:t>
      </w:r>
      <w:r>
        <w:rPr>
          <w:rFonts w:hint="eastAsia" w:ascii="Times New Roman" w:hAnsi="Times New Roman" w:eastAsia="宋体"/>
          <w:sz w:val="32"/>
          <w:szCs w:val="32"/>
        </w:rPr>
        <w:t>名词解释</w:t>
      </w:r>
      <w:r>
        <w:rPr>
          <w:rFonts w:hint="eastAsia" w:ascii="Times New Roman" w:hAnsi="Times New Roman" w:eastAsia="宋体"/>
          <w:sz w:val="32"/>
          <w:szCs w:val="32"/>
          <w:lang w:val="en-US" w:eastAsia="zh-CN"/>
        </w:rPr>
        <w:t xml:space="preserve">                                9</w:t>
      </w:r>
    </w:p>
    <w:p>
      <w:pPr>
        <w:pStyle w:val="10"/>
        <w:adjustRightInd w:val="0"/>
        <w:snapToGrid w:val="0"/>
        <w:spacing w:before="0" w:line="440" w:lineRule="exact"/>
        <w:jc w:val="left"/>
        <w:rPr>
          <w:rFonts w:hint="default" w:ascii="Times New Roman" w:hAnsi="Times New Roman" w:eastAsia="宋体"/>
          <w:sz w:val="32"/>
          <w:szCs w:val="32"/>
          <w:lang w:val="en-US" w:eastAsia="zh-CN"/>
        </w:rPr>
      </w:pPr>
      <w:r>
        <w:rPr>
          <w:rFonts w:hint="eastAsia" w:ascii="Times New Roman" w:hAnsi="Times New Roman" w:eastAsia="宋体"/>
          <w:sz w:val="32"/>
          <w:szCs w:val="32"/>
        </w:rPr>
        <w:t>第四部分</w:t>
      </w:r>
      <w:r>
        <w:rPr>
          <w:rFonts w:ascii="Times New Roman" w:hAnsi="Times New Roman" w:eastAsia="宋体"/>
          <w:sz w:val="32"/>
          <w:szCs w:val="32"/>
        </w:rPr>
        <w:t xml:space="preserve"> </w:t>
      </w:r>
      <w:r>
        <w:rPr>
          <w:rFonts w:hint="eastAsia" w:ascii="Times New Roman" w:hAnsi="Times New Roman" w:eastAsia="宋体"/>
          <w:sz w:val="32"/>
          <w:szCs w:val="32"/>
        </w:rPr>
        <w:t>附件</w:t>
      </w:r>
      <w:r>
        <w:rPr>
          <w:rFonts w:hint="eastAsia" w:ascii="Times New Roman" w:hAnsi="Times New Roman" w:eastAsia="宋体"/>
          <w:sz w:val="32"/>
          <w:szCs w:val="32"/>
          <w:lang w:val="en-US" w:eastAsia="zh-CN"/>
        </w:rPr>
        <w:t xml:space="preserve">                                   12</w:t>
      </w:r>
    </w:p>
    <w:p>
      <w:pPr>
        <w:pStyle w:val="10"/>
        <w:adjustRightInd w:val="0"/>
        <w:snapToGrid w:val="0"/>
        <w:spacing w:before="0" w:line="440" w:lineRule="exact"/>
        <w:jc w:val="left"/>
        <w:rPr>
          <w:rFonts w:hint="default" w:ascii="Times New Roman" w:hAnsi="Times New Roman" w:eastAsia="宋体"/>
          <w:sz w:val="32"/>
          <w:szCs w:val="32"/>
          <w:lang w:val="en-US" w:eastAsia="zh-CN"/>
        </w:rPr>
      </w:pPr>
      <w:r>
        <w:rPr>
          <w:rFonts w:hint="eastAsia" w:ascii="Times New Roman" w:hAnsi="Times New Roman" w:eastAsia="宋体"/>
          <w:sz w:val="32"/>
          <w:szCs w:val="32"/>
        </w:rPr>
        <w:t>第五部分</w:t>
      </w:r>
      <w:r>
        <w:rPr>
          <w:rFonts w:ascii="Times New Roman" w:hAnsi="Times New Roman" w:eastAsia="宋体"/>
          <w:sz w:val="32"/>
          <w:szCs w:val="32"/>
        </w:rPr>
        <w:t xml:space="preserve"> </w:t>
      </w:r>
      <w:r>
        <w:rPr>
          <w:rFonts w:hint="eastAsia" w:ascii="Times New Roman" w:hAnsi="Times New Roman" w:eastAsia="宋体"/>
          <w:sz w:val="32"/>
          <w:szCs w:val="32"/>
        </w:rPr>
        <w:t>附表</w:t>
      </w:r>
      <w:r>
        <w:rPr>
          <w:rFonts w:hint="eastAsia" w:ascii="Times New Roman" w:hAnsi="Times New Roman" w:eastAsia="宋体"/>
          <w:sz w:val="32"/>
          <w:szCs w:val="32"/>
          <w:lang w:val="en-US" w:eastAsia="zh-CN"/>
        </w:rPr>
        <w:t xml:space="preserve">                                   13</w:t>
      </w:r>
    </w:p>
    <w:p>
      <w:pPr>
        <w:pStyle w:val="11"/>
        <w:adjustRightInd w:val="0"/>
        <w:snapToGrid w:val="0"/>
        <w:spacing w:line="440" w:lineRule="exact"/>
        <w:jc w:val="left"/>
        <w:rPr>
          <w:sz w:val="32"/>
          <w:szCs w:val="32"/>
        </w:rPr>
      </w:pPr>
      <w:r>
        <w:rPr>
          <w:rFonts w:hint="eastAsia"/>
          <w:sz w:val="32"/>
          <w:szCs w:val="32"/>
        </w:rPr>
        <w:t>一、收入支出决算总表</w:t>
      </w:r>
      <w:bookmarkStart w:id="51" w:name="_GoBack"/>
      <w:bookmarkEnd w:id="51"/>
    </w:p>
    <w:p>
      <w:pPr>
        <w:pStyle w:val="11"/>
        <w:adjustRightInd w:val="0"/>
        <w:snapToGrid w:val="0"/>
        <w:spacing w:line="440" w:lineRule="exact"/>
        <w:jc w:val="left"/>
        <w:rPr>
          <w:sz w:val="32"/>
          <w:szCs w:val="32"/>
        </w:rPr>
      </w:pPr>
      <w:r>
        <w:rPr>
          <w:rFonts w:hint="eastAsia"/>
          <w:sz w:val="32"/>
          <w:szCs w:val="32"/>
        </w:rPr>
        <w:t>二、收入决算表</w:t>
      </w:r>
    </w:p>
    <w:p>
      <w:pPr>
        <w:pStyle w:val="11"/>
        <w:adjustRightInd w:val="0"/>
        <w:snapToGrid w:val="0"/>
        <w:spacing w:line="440" w:lineRule="exact"/>
        <w:jc w:val="left"/>
        <w:rPr>
          <w:sz w:val="32"/>
          <w:szCs w:val="32"/>
        </w:rPr>
      </w:pPr>
      <w:r>
        <w:rPr>
          <w:rFonts w:hint="eastAsia"/>
          <w:sz w:val="32"/>
          <w:szCs w:val="32"/>
        </w:rPr>
        <w:t>三、支出决算表</w:t>
      </w:r>
    </w:p>
    <w:p>
      <w:pPr>
        <w:pStyle w:val="11"/>
        <w:adjustRightInd w:val="0"/>
        <w:snapToGrid w:val="0"/>
        <w:spacing w:line="440" w:lineRule="exact"/>
        <w:jc w:val="left"/>
        <w:rPr>
          <w:sz w:val="32"/>
          <w:szCs w:val="32"/>
        </w:rPr>
      </w:pPr>
      <w:r>
        <w:rPr>
          <w:rFonts w:hint="eastAsia"/>
          <w:sz w:val="32"/>
          <w:szCs w:val="32"/>
        </w:rPr>
        <w:t>四、财政拨款收入支出决算总表</w:t>
      </w:r>
    </w:p>
    <w:p>
      <w:pPr>
        <w:pStyle w:val="11"/>
        <w:adjustRightInd w:val="0"/>
        <w:snapToGrid w:val="0"/>
        <w:spacing w:line="440" w:lineRule="exact"/>
        <w:jc w:val="left"/>
        <w:rPr>
          <w:sz w:val="32"/>
          <w:szCs w:val="32"/>
        </w:rPr>
      </w:pPr>
      <w:r>
        <w:rPr>
          <w:rFonts w:hint="eastAsia"/>
          <w:sz w:val="32"/>
          <w:szCs w:val="32"/>
        </w:rPr>
        <w:t>五、财政拨款支出决算明细表</w:t>
      </w:r>
    </w:p>
    <w:p>
      <w:pPr>
        <w:pStyle w:val="11"/>
        <w:adjustRightInd w:val="0"/>
        <w:snapToGrid w:val="0"/>
        <w:spacing w:line="440" w:lineRule="exact"/>
        <w:jc w:val="left"/>
        <w:rPr>
          <w:sz w:val="32"/>
          <w:szCs w:val="32"/>
        </w:rPr>
      </w:pPr>
      <w:r>
        <w:rPr>
          <w:rFonts w:hint="eastAsia"/>
          <w:sz w:val="32"/>
          <w:szCs w:val="32"/>
        </w:rPr>
        <w:t>六、一般公共预算财政拨款支出决算表</w:t>
      </w:r>
    </w:p>
    <w:p>
      <w:pPr>
        <w:pStyle w:val="11"/>
        <w:adjustRightInd w:val="0"/>
        <w:snapToGrid w:val="0"/>
        <w:spacing w:line="440" w:lineRule="exact"/>
        <w:jc w:val="left"/>
        <w:rPr>
          <w:sz w:val="32"/>
          <w:szCs w:val="32"/>
        </w:rPr>
      </w:pPr>
      <w:r>
        <w:rPr>
          <w:rFonts w:hint="eastAsia"/>
          <w:sz w:val="32"/>
          <w:szCs w:val="32"/>
        </w:rPr>
        <w:t>七、一般公共预算财政拨款支出决算明细表</w:t>
      </w:r>
    </w:p>
    <w:p>
      <w:pPr>
        <w:pStyle w:val="11"/>
        <w:adjustRightInd w:val="0"/>
        <w:snapToGrid w:val="0"/>
        <w:spacing w:line="440" w:lineRule="exact"/>
        <w:jc w:val="left"/>
        <w:rPr>
          <w:sz w:val="32"/>
          <w:szCs w:val="32"/>
        </w:rPr>
      </w:pPr>
      <w:r>
        <w:rPr>
          <w:rFonts w:hint="eastAsia"/>
          <w:sz w:val="32"/>
          <w:szCs w:val="32"/>
        </w:rPr>
        <w:t>八、一般公共预算财政拨款基本支出决算明细表</w:t>
      </w:r>
    </w:p>
    <w:p>
      <w:pPr>
        <w:pStyle w:val="11"/>
        <w:adjustRightInd w:val="0"/>
        <w:snapToGrid w:val="0"/>
        <w:spacing w:line="440" w:lineRule="exact"/>
        <w:jc w:val="left"/>
        <w:rPr>
          <w:sz w:val="32"/>
          <w:szCs w:val="32"/>
        </w:rPr>
      </w:pPr>
      <w:r>
        <w:rPr>
          <w:rFonts w:hint="eastAsia"/>
          <w:sz w:val="32"/>
          <w:szCs w:val="32"/>
        </w:rPr>
        <w:t>九、一般公共预算财政拨款项目支出决算表</w:t>
      </w:r>
    </w:p>
    <w:p>
      <w:pPr>
        <w:pStyle w:val="11"/>
        <w:adjustRightInd w:val="0"/>
        <w:snapToGrid w:val="0"/>
        <w:spacing w:line="440" w:lineRule="exact"/>
        <w:jc w:val="left"/>
        <w:rPr>
          <w:sz w:val="32"/>
          <w:szCs w:val="32"/>
        </w:rPr>
      </w:pPr>
      <w:r>
        <w:rPr>
          <w:rFonts w:hint="eastAsia"/>
          <w:sz w:val="32"/>
          <w:szCs w:val="32"/>
        </w:rPr>
        <w:t>十、政府性基金预算财政拨款收入支出决算表</w:t>
      </w:r>
    </w:p>
    <w:p>
      <w:pPr>
        <w:pStyle w:val="11"/>
        <w:adjustRightInd w:val="0"/>
        <w:snapToGrid w:val="0"/>
        <w:spacing w:line="440" w:lineRule="exact"/>
        <w:jc w:val="left"/>
        <w:rPr>
          <w:sz w:val="32"/>
          <w:szCs w:val="32"/>
        </w:rPr>
      </w:pPr>
      <w:r>
        <w:rPr>
          <w:rFonts w:hint="eastAsia"/>
          <w:sz w:val="32"/>
          <w:szCs w:val="32"/>
        </w:rPr>
        <w:t>十一、国有资本经营预算财政拨款收入支出决算表</w:t>
      </w:r>
    </w:p>
    <w:p>
      <w:pPr>
        <w:pStyle w:val="11"/>
        <w:adjustRightInd w:val="0"/>
        <w:snapToGrid w:val="0"/>
        <w:spacing w:line="440" w:lineRule="exact"/>
        <w:jc w:val="left"/>
        <w:rPr>
          <w:sz w:val="32"/>
          <w:szCs w:val="32"/>
        </w:rPr>
      </w:pPr>
      <w:r>
        <w:rPr>
          <w:rFonts w:hint="eastAsia"/>
          <w:sz w:val="32"/>
          <w:szCs w:val="32"/>
        </w:rPr>
        <w:t>十二、国有资本经营预算财政拨款支出决算表</w:t>
      </w:r>
    </w:p>
    <w:p>
      <w:pPr>
        <w:pStyle w:val="11"/>
        <w:adjustRightInd w:val="0"/>
        <w:snapToGrid w:val="0"/>
        <w:spacing w:line="440" w:lineRule="exact"/>
        <w:jc w:val="left"/>
        <w:rPr>
          <w:sz w:val="32"/>
          <w:szCs w:val="32"/>
        </w:rPr>
      </w:pPr>
      <w:r>
        <w:rPr>
          <w:rFonts w:hint="eastAsia"/>
          <w:sz w:val="32"/>
          <w:szCs w:val="32"/>
        </w:rPr>
        <w:t>十三、财政拨款“三公”经费支出决算表</w:t>
      </w:r>
    </w:p>
    <w:p>
      <w:pPr>
        <w:widowControl/>
        <w:spacing w:line="440" w:lineRule="exact"/>
        <w:jc w:val="center"/>
        <w:rPr>
          <w:rFonts w:ascii="仿宋" w:hAnsi="仿宋" w:eastAsia="仿宋"/>
          <w:b/>
          <w:sz w:val="24"/>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spacing w:line="440" w:lineRule="exact"/>
        <w:jc w:val="center"/>
        <w:rPr>
          <w:rStyle w:val="24"/>
          <w:rFonts w:ascii="仿宋" w:hAnsi="仿宋" w:eastAsia="仿宋"/>
          <w:b w:val="0"/>
          <w:sz w:val="24"/>
          <w:szCs w:val="24"/>
        </w:rPr>
      </w:pPr>
      <w:r>
        <w:rPr>
          <w:rStyle w:val="24"/>
          <w:rFonts w:hint="eastAsia" w:ascii="黑体" w:hAnsi="黑体" w:eastAsia="黑体"/>
        </w:rPr>
        <w:t>第一部分 单位概况</w:t>
      </w:r>
    </w:p>
    <w:p>
      <w:pPr>
        <w:pStyle w:val="4"/>
        <w:keepNext w:val="0"/>
        <w:keepLines w:val="0"/>
        <w:spacing w:line="415" w:lineRule="auto"/>
        <w:rPr>
          <w:rFonts w:ascii="黑体" w:hAnsi="Times New Roman" w:eastAsia="黑体" w:cs="Times New Roman"/>
          <w:b w:val="0"/>
          <w:bCs w:val="0"/>
        </w:rPr>
      </w:pPr>
      <w:bookmarkStart w:id="1" w:name="_Toc15396600"/>
      <w:bookmarkStart w:id="2" w:name="_Toc15377197"/>
    </w:p>
    <w:p>
      <w:pPr>
        <w:pStyle w:val="2"/>
        <w:adjustRightInd w:val="0"/>
        <w:snapToGrid w:val="0"/>
        <w:spacing w:before="93" w:line="600" w:lineRule="exact"/>
        <w:ind w:firstLine="640" w:firstLineChars="200"/>
        <w:outlineLvl w:val="2"/>
        <w:rPr>
          <w:rFonts w:ascii="黑体" w:hAnsi="黑体" w:eastAsia="黑体"/>
          <w:kern w:val="2"/>
          <w:sz w:val="32"/>
          <w:szCs w:val="32"/>
        </w:rPr>
      </w:pPr>
      <w:r>
        <w:rPr>
          <w:rFonts w:hint="eastAsia" w:ascii="黑体" w:hAnsi="黑体" w:eastAsia="黑体"/>
          <w:kern w:val="2"/>
          <w:sz w:val="32"/>
          <w:szCs w:val="32"/>
        </w:rPr>
        <w:t>一、主要职责</w:t>
      </w:r>
    </w:p>
    <w:p>
      <w:pPr>
        <w:pStyle w:val="2"/>
        <w:adjustRightInd w:val="0"/>
        <w:snapToGrid w:val="0"/>
        <w:spacing w:before="93" w:line="600" w:lineRule="exact"/>
        <w:ind w:firstLine="640" w:firstLineChars="200"/>
        <w:outlineLvl w:val="2"/>
        <w:rPr>
          <w:rFonts w:ascii="仿宋" w:hAnsi="仿宋" w:eastAsia="仿宋"/>
          <w:kern w:val="2"/>
          <w:sz w:val="32"/>
          <w:szCs w:val="32"/>
        </w:rPr>
      </w:pPr>
      <w:r>
        <w:rPr>
          <w:rFonts w:hint="eastAsia" w:ascii="仿宋" w:hAnsi="仿宋" w:eastAsia="仿宋"/>
          <w:kern w:val="2"/>
          <w:sz w:val="32"/>
          <w:szCs w:val="32"/>
        </w:rPr>
        <w:t>依据中华人民共和国《建筑法》、《安全生产法》、国务院《建设工程质量管理条例》、《建设工程安全生产管理条例》等法律、法规、规章，按工程建设标准、规范、规程、审查合格的施工图设计文件，对我区行政区域内房屋建筑和市政基础设施的工程质量和施工现场安全生产文明施工进行强制性监督管理。</w:t>
      </w:r>
    </w:p>
    <w:p>
      <w:pPr>
        <w:pStyle w:val="2"/>
        <w:adjustRightInd w:val="0"/>
        <w:snapToGrid w:val="0"/>
        <w:spacing w:before="93" w:line="600" w:lineRule="exact"/>
        <w:ind w:firstLine="640" w:firstLineChars="200"/>
        <w:outlineLvl w:val="2"/>
        <w:rPr>
          <w:rFonts w:ascii="仿宋" w:hAnsi="仿宋" w:eastAsia="仿宋"/>
          <w:kern w:val="2"/>
          <w:sz w:val="32"/>
          <w:szCs w:val="32"/>
        </w:rPr>
      </w:pPr>
      <w:r>
        <w:rPr>
          <w:rFonts w:hint="eastAsia" w:ascii="仿宋" w:hAnsi="仿宋" w:eastAsia="仿宋"/>
          <w:kern w:val="2"/>
          <w:sz w:val="32"/>
          <w:szCs w:val="32"/>
        </w:rPr>
        <w:t>二、</w:t>
      </w:r>
      <w:r>
        <w:rPr>
          <w:rFonts w:hint="eastAsia" w:ascii="黑体" w:hAnsi="黑体" w:eastAsia="黑体"/>
        </w:rPr>
        <w:t>机构设置</w:t>
      </w:r>
    </w:p>
    <w:p>
      <w:pPr>
        <w:pStyle w:val="2"/>
        <w:adjustRightInd w:val="0"/>
        <w:snapToGrid w:val="0"/>
        <w:spacing w:before="93" w:line="600" w:lineRule="exact"/>
        <w:ind w:firstLine="640" w:firstLineChars="200"/>
        <w:outlineLvl w:val="2"/>
        <w:rPr>
          <w:rFonts w:ascii="仿宋" w:hAnsi="仿宋" w:eastAsia="仿宋"/>
          <w:kern w:val="2"/>
          <w:sz w:val="32"/>
          <w:szCs w:val="32"/>
        </w:rPr>
      </w:pPr>
      <w:r>
        <w:rPr>
          <w:rFonts w:hint="eastAsia" w:ascii="仿宋" w:hAnsi="仿宋" w:eastAsia="仿宋"/>
          <w:kern w:val="2"/>
          <w:sz w:val="32"/>
          <w:szCs w:val="32"/>
        </w:rPr>
        <w:t>攀枝花市仁和区建设工程质量安全站是攀枝花市仁和区住房和城乡建设局下属副科级单位，编制15人，其中副科级1名。</w:t>
      </w:r>
    </w:p>
    <w:bookmarkEnd w:id="1"/>
    <w:bookmarkEnd w:id="2"/>
    <w:p>
      <w:pPr>
        <w:widowControl/>
        <w:jc w:val="left"/>
        <w:rPr>
          <w:rFonts w:ascii="仿宋" w:hAnsi="仿宋" w:eastAsia="仿宋"/>
          <w:kern w:val="0"/>
          <w:sz w:val="32"/>
          <w:szCs w:val="32"/>
        </w:rPr>
      </w:pPr>
      <w:r>
        <w:rPr>
          <w:rFonts w:ascii="仿宋" w:hAnsi="仿宋" w:eastAsia="仿宋"/>
          <w:sz w:val="32"/>
          <w:szCs w:val="32"/>
        </w:rPr>
        <w:br w:type="page"/>
      </w:r>
    </w:p>
    <w:p>
      <w:pPr>
        <w:pStyle w:val="3"/>
        <w:keepNext w:val="0"/>
        <w:keepLines w:val="0"/>
        <w:ind w:right="442"/>
        <w:jc w:val="center"/>
        <w:rPr>
          <w:rStyle w:val="24"/>
          <w:rFonts w:ascii="黑体" w:hAnsi="黑体" w:eastAsia="黑体"/>
          <w:b w:val="0"/>
          <w:bCs/>
        </w:rPr>
      </w:pPr>
      <w:bookmarkStart w:id="3" w:name="_Toc15396602"/>
      <w:bookmarkStart w:id="4"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3"/>
      <w:bookmarkEnd w:id="4"/>
    </w:p>
    <w:p/>
    <w:p>
      <w:pPr>
        <w:pStyle w:val="23"/>
        <w:numPr>
          <w:ilvl w:val="0"/>
          <w:numId w:val="1"/>
        </w:numPr>
        <w:spacing w:line="600" w:lineRule="exact"/>
        <w:ind w:firstLineChars="0"/>
        <w:outlineLvl w:val="1"/>
        <w:rPr>
          <w:rStyle w:val="25"/>
          <w:rFonts w:ascii="黑体" w:hAnsi="黑体" w:eastAsia="黑体"/>
          <w:b w:val="0"/>
        </w:rPr>
      </w:pPr>
      <w:bookmarkStart w:id="5" w:name="_Toc15396603"/>
      <w:bookmarkStart w:id="6"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5"/>
      <w:bookmarkEnd w:id="6"/>
    </w:p>
    <w:p>
      <w:pPr>
        <w:spacing w:line="600" w:lineRule="exact"/>
        <w:ind w:firstLine="640" w:firstLineChars="20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年度收入总计</w:t>
      </w:r>
      <w:r>
        <w:rPr>
          <w:rFonts w:ascii="仿宋" w:hAnsi="仿宋" w:eastAsia="仿宋"/>
          <w:sz w:val="32"/>
          <w:szCs w:val="32"/>
        </w:rPr>
        <w:t>170.1</w:t>
      </w:r>
      <w:r>
        <w:rPr>
          <w:rFonts w:hint="eastAsia" w:ascii="仿宋" w:hAnsi="仿宋" w:eastAsia="仿宋"/>
          <w:sz w:val="32"/>
          <w:szCs w:val="32"/>
        </w:rPr>
        <w:t>万元。与</w:t>
      </w:r>
      <w:r>
        <w:rPr>
          <w:rFonts w:ascii="仿宋" w:hAnsi="仿宋" w:eastAsia="仿宋"/>
          <w:sz w:val="32"/>
          <w:szCs w:val="32"/>
        </w:rPr>
        <w:t>2021</w:t>
      </w:r>
      <w:r>
        <w:rPr>
          <w:rFonts w:hint="eastAsia" w:ascii="仿宋" w:hAnsi="仿宋" w:eastAsia="仿宋"/>
          <w:sz w:val="32"/>
          <w:szCs w:val="32"/>
        </w:rPr>
        <w:t>年相比，减少</w:t>
      </w:r>
      <w:r>
        <w:rPr>
          <w:rFonts w:ascii="仿宋" w:hAnsi="仿宋" w:eastAsia="仿宋"/>
          <w:sz w:val="32"/>
          <w:szCs w:val="32"/>
        </w:rPr>
        <w:t>0.39</w:t>
      </w:r>
      <w:r>
        <w:rPr>
          <w:rFonts w:hint="eastAsia" w:ascii="仿宋" w:hAnsi="仿宋" w:eastAsia="仿宋"/>
          <w:sz w:val="32"/>
          <w:szCs w:val="32"/>
        </w:rPr>
        <w:t>万元，下降</w:t>
      </w:r>
      <w:r>
        <w:rPr>
          <w:rFonts w:ascii="仿宋" w:hAnsi="仿宋" w:eastAsia="仿宋"/>
          <w:sz w:val="32"/>
          <w:szCs w:val="32"/>
        </w:rPr>
        <w:t>0.2%</w:t>
      </w:r>
      <w:r>
        <w:rPr>
          <w:rFonts w:hint="eastAsia" w:ascii="仿宋" w:hAnsi="仿宋" w:eastAsia="仿宋"/>
          <w:sz w:val="32"/>
          <w:szCs w:val="32"/>
        </w:rPr>
        <w:t>。主要变动原因是一是人员经费增加7.79万元；二是项目工作经费因财政调度部分经费未支付减少8.18万元。</w:t>
      </w:r>
    </w:p>
    <w:p>
      <w:pPr>
        <w:pStyle w:val="2"/>
        <w:spacing w:before="93"/>
        <w:jc w:val="center"/>
      </w:pPr>
      <w:r>
        <w:rPr>
          <w:rFonts w:hint="eastAsia" w:ascii="楷体" w:eastAsia="楷体" w:cs="楷体" w:hAnsiTheme="minorHAnsi"/>
          <w:color w:val="000000"/>
          <w:sz w:val="32"/>
          <w:szCs w:val="32"/>
          <w:lang w:val="zh-CN"/>
        </w:rPr>
        <w:object>
          <v:shape id="_x0000_i1025" o:spt="75" type="#_x0000_t75" style="height:105.75pt;width:244.5pt;" o:ole="t" filled="f" o:preferrelative="t" stroked="f" coordsize="21600,21600">
            <v:path/>
            <v:fill on="f" focussize="0,0"/>
            <v:stroke on="f" joinstyle="miter"/>
            <v:imagedata r:id="rId9" o:title=""/>
            <o:lock v:ext="edit" aspectratio="t"/>
            <w10:wrap type="none"/>
            <w10:anchorlock/>
          </v:shape>
          <o:OLEObject Type="Embed" ProgID="Picture.PicObj.1" ShapeID="_x0000_i1025" DrawAspect="Content" ObjectID="_1468075725" r:id="rId8">
            <o:LockedField>false</o:LockedField>
          </o:OLEObject>
        </w:object>
      </w:r>
    </w:p>
    <w:p>
      <w:pPr>
        <w:spacing w:line="600" w:lineRule="exact"/>
        <w:ind w:firstLine="640" w:firstLineChars="20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年度支出总计</w:t>
      </w:r>
      <w:r>
        <w:rPr>
          <w:rFonts w:ascii="仿宋" w:hAnsi="仿宋" w:eastAsia="仿宋"/>
          <w:sz w:val="32"/>
          <w:szCs w:val="32"/>
        </w:rPr>
        <w:t>170.1</w:t>
      </w:r>
      <w:r>
        <w:rPr>
          <w:rFonts w:hint="eastAsia" w:ascii="仿宋" w:hAnsi="仿宋" w:eastAsia="仿宋"/>
          <w:sz w:val="32"/>
          <w:szCs w:val="32"/>
        </w:rPr>
        <w:t>万元。与</w:t>
      </w:r>
      <w:r>
        <w:rPr>
          <w:rFonts w:ascii="仿宋" w:hAnsi="仿宋" w:eastAsia="仿宋"/>
          <w:sz w:val="32"/>
          <w:szCs w:val="32"/>
        </w:rPr>
        <w:t>2021</w:t>
      </w:r>
      <w:r>
        <w:rPr>
          <w:rFonts w:hint="eastAsia" w:ascii="仿宋" w:hAnsi="仿宋" w:eastAsia="仿宋"/>
          <w:sz w:val="32"/>
          <w:szCs w:val="32"/>
        </w:rPr>
        <w:t>年相比，减少</w:t>
      </w:r>
      <w:r>
        <w:rPr>
          <w:rFonts w:ascii="仿宋" w:hAnsi="仿宋" w:eastAsia="仿宋"/>
          <w:sz w:val="32"/>
          <w:szCs w:val="32"/>
        </w:rPr>
        <w:t>0.39</w:t>
      </w:r>
      <w:r>
        <w:rPr>
          <w:rFonts w:hint="eastAsia" w:ascii="仿宋" w:hAnsi="仿宋" w:eastAsia="仿宋"/>
          <w:sz w:val="32"/>
          <w:szCs w:val="32"/>
        </w:rPr>
        <w:t>万元，下降</w:t>
      </w:r>
      <w:r>
        <w:rPr>
          <w:rFonts w:ascii="仿宋" w:hAnsi="仿宋" w:eastAsia="仿宋"/>
          <w:sz w:val="32"/>
          <w:szCs w:val="32"/>
        </w:rPr>
        <w:t>0.2%</w:t>
      </w:r>
      <w:r>
        <w:rPr>
          <w:rFonts w:hint="eastAsia" w:ascii="仿宋" w:hAnsi="仿宋" w:eastAsia="仿宋"/>
          <w:sz w:val="32"/>
          <w:szCs w:val="32"/>
        </w:rPr>
        <w:t>。主要变动原因是一是人员经费增加7.79万元；二是项目工作经费因财政调度部分经费未支付减少8.18万元。</w:t>
      </w:r>
    </w:p>
    <w:p>
      <w:pPr>
        <w:pStyle w:val="2"/>
        <w:spacing w:before="93"/>
        <w:jc w:val="center"/>
      </w:pPr>
      <w:r>
        <w:rPr>
          <w:rFonts w:hint="eastAsia" w:ascii="楷体" w:eastAsia="楷体" w:cs="楷体" w:hAnsiTheme="minorHAnsi"/>
          <w:color w:val="000000"/>
          <w:sz w:val="32"/>
          <w:szCs w:val="32"/>
          <w:lang w:val="zh-CN"/>
        </w:rPr>
        <w:object>
          <v:shape id="_x0000_i1026" o:spt="75" type="#_x0000_t75" style="height:129.75pt;width:337.5pt;" o:ole="t" filled="f" o:preferrelative="t" stroked="f" coordsize="21600,21600">
            <v:path/>
            <v:fill on="f" focussize="0,0"/>
            <v:stroke on="f" joinstyle="miter"/>
            <v:imagedata r:id="rId11" o:title=""/>
            <o:lock v:ext="edit" aspectratio="t"/>
            <w10:wrap type="none"/>
            <w10:anchorlock/>
          </v:shape>
          <o:OLEObject Type="Embed" ProgID="Picture.PicObj.1" ShapeID="_x0000_i1026" DrawAspect="Content" ObjectID="_1468075726" r:id="rId10">
            <o:LockedField>false</o:LockedField>
          </o:OLEObject>
        </w:object>
      </w:r>
    </w:p>
    <w:p>
      <w:pPr>
        <w:pStyle w:val="23"/>
        <w:numPr>
          <w:ilvl w:val="0"/>
          <w:numId w:val="1"/>
        </w:numPr>
        <w:spacing w:line="600" w:lineRule="exact"/>
        <w:ind w:firstLineChars="0"/>
        <w:outlineLvl w:val="1"/>
        <w:rPr>
          <w:rStyle w:val="25"/>
          <w:rFonts w:ascii="黑体" w:hAnsi="黑体" w:eastAsia="黑体"/>
          <w:b w:val="0"/>
        </w:rPr>
      </w:pPr>
      <w:bookmarkStart w:id="7" w:name="_Toc15396604"/>
      <w:bookmarkStart w:id="8" w:name="_Toc15377206"/>
      <w:r>
        <w:rPr>
          <w:rFonts w:hint="eastAsia" w:ascii="黑体" w:hAnsi="黑体" w:eastAsia="黑体"/>
          <w:sz w:val="32"/>
          <w:szCs w:val="32"/>
        </w:rPr>
        <w:t>收</w:t>
      </w:r>
      <w:r>
        <w:rPr>
          <w:rStyle w:val="25"/>
          <w:rFonts w:hint="eastAsia" w:ascii="黑体" w:hAnsi="黑体" w:eastAsia="黑体"/>
          <w:b w:val="0"/>
        </w:rPr>
        <w:t>入决算情况说明</w:t>
      </w:r>
      <w:bookmarkEnd w:id="7"/>
      <w:bookmarkEnd w:id="8"/>
    </w:p>
    <w:p>
      <w:pPr>
        <w:spacing w:line="600" w:lineRule="exact"/>
        <w:ind w:firstLine="640" w:firstLineChars="200"/>
        <w:outlineLvl w:val="1"/>
        <w:rPr>
          <w:rFonts w:ascii="仿宋" w:hAnsi="仿宋" w:eastAsia="仿宋"/>
          <w:b/>
          <w:sz w:val="32"/>
          <w:szCs w:val="32"/>
        </w:rPr>
      </w:pPr>
      <w:r>
        <w:rPr>
          <w:rFonts w:ascii="仿宋" w:hAnsi="仿宋" w:eastAsia="仿宋"/>
          <w:sz w:val="32"/>
          <w:szCs w:val="32"/>
        </w:rPr>
        <w:t>2022</w:t>
      </w:r>
      <w:r>
        <w:rPr>
          <w:rFonts w:hint="eastAsia" w:ascii="仿宋" w:hAnsi="仿宋" w:eastAsia="仿宋"/>
          <w:sz w:val="32"/>
          <w:szCs w:val="32"/>
        </w:rPr>
        <w:t>年本年收入合计</w:t>
      </w:r>
      <w:r>
        <w:rPr>
          <w:rFonts w:ascii="仿宋" w:hAnsi="仿宋" w:eastAsia="仿宋"/>
          <w:sz w:val="32"/>
          <w:szCs w:val="32"/>
        </w:rPr>
        <w:t>170.1</w:t>
      </w:r>
      <w:r>
        <w:rPr>
          <w:rFonts w:hint="eastAsia" w:ascii="仿宋" w:hAnsi="仿宋" w:eastAsia="仿宋"/>
          <w:sz w:val="32"/>
          <w:szCs w:val="32"/>
        </w:rPr>
        <w:t>万元，其中：一般公共预算财政拨款收入</w:t>
      </w:r>
      <w:r>
        <w:rPr>
          <w:rFonts w:ascii="仿宋" w:hAnsi="仿宋" w:eastAsia="仿宋"/>
          <w:sz w:val="32"/>
          <w:szCs w:val="32"/>
        </w:rPr>
        <w:t>170.1</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b/>
          <w:sz w:val="32"/>
          <w:szCs w:val="32"/>
        </w:rPr>
        <w:t>。</w:t>
      </w:r>
    </w:p>
    <w:p>
      <w:pPr>
        <w:pStyle w:val="2"/>
        <w:spacing w:before="93"/>
        <w:jc w:val="center"/>
      </w:pPr>
      <w:r>
        <w:rPr>
          <w:rFonts w:hint="eastAsia" w:ascii="楷体" w:eastAsia="楷体" w:cs="楷体" w:hAnsiTheme="minorHAnsi"/>
          <w:color w:val="000000"/>
          <w:sz w:val="32"/>
          <w:szCs w:val="32"/>
          <w:lang w:val="zh-CN"/>
        </w:rPr>
        <w:object>
          <v:shape id="_x0000_i1027" o:spt="75" type="#_x0000_t75" style="height:132.75pt;width:210pt;" o:ole="t" filled="f" o:preferrelative="t" stroked="f" coordsize="21600,21600">
            <v:path/>
            <v:fill on="f" focussize="0,0"/>
            <v:stroke on="f" joinstyle="miter"/>
            <v:imagedata r:id="rId13" o:title=""/>
            <o:lock v:ext="edit" aspectratio="t"/>
            <w10:wrap type="none"/>
            <w10:anchorlock/>
          </v:shape>
          <o:OLEObject Type="Embed" ProgID="Picture.PicObj.1" ShapeID="_x0000_i1027" DrawAspect="Content" ObjectID="_1468075727" r:id="rId12">
            <o:LockedField>false</o:LockedField>
          </o:OLEObject>
        </w:object>
      </w:r>
    </w:p>
    <w:p>
      <w:pPr>
        <w:pStyle w:val="23"/>
        <w:numPr>
          <w:ilvl w:val="0"/>
          <w:numId w:val="1"/>
        </w:numPr>
        <w:spacing w:line="600" w:lineRule="exact"/>
        <w:ind w:firstLineChars="0"/>
        <w:outlineLvl w:val="1"/>
        <w:rPr>
          <w:rStyle w:val="25"/>
          <w:rFonts w:ascii="黑体" w:hAnsi="黑体" w:eastAsia="黑体"/>
          <w:b w:val="0"/>
        </w:rPr>
      </w:pPr>
      <w:bookmarkStart w:id="9" w:name="_Toc15396605"/>
      <w:bookmarkStart w:id="10" w:name="_Toc15377207"/>
      <w:r>
        <w:rPr>
          <w:rFonts w:hint="eastAsia" w:ascii="黑体" w:hAnsi="黑体" w:eastAsia="黑体"/>
          <w:sz w:val="32"/>
          <w:szCs w:val="32"/>
        </w:rPr>
        <w:t>支</w:t>
      </w:r>
      <w:r>
        <w:rPr>
          <w:rStyle w:val="25"/>
          <w:rFonts w:hint="eastAsia" w:ascii="黑体" w:hAnsi="黑体" w:eastAsia="黑体"/>
          <w:b w:val="0"/>
        </w:rPr>
        <w:t>出决算情况说明</w:t>
      </w:r>
      <w:bookmarkEnd w:id="9"/>
      <w:bookmarkEnd w:id="10"/>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年本年支出合计</w:t>
      </w:r>
      <w:r>
        <w:rPr>
          <w:rFonts w:ascii="仿宋" w:hAnsi="仿宋" w:eastAsia="仿宋"/>
          <w:sz w:val="32"/>
          <w:szCs w:val="32"/>
        </w:rPr>
        <w:t>170.1</w:t>
      </w:r>
      <w:r>
        <w:rPr>
          <w:rFonts w:hint="eastAsia" w:ascii="仿宋" w:hAnsi="仿宋" w:eastAsia="仿宋"/>
          <w:sz w:val="32"/>
          <w:szCs w:val="32"/>
        </w:rPr>
        <w:t>万元，其中：基本支出</w:t>
      </w:r>
      <w:r>
        <w:rPr>
          <w:rFonts w:ascii="仿宋" w:hAnsi="仿宋" w:eastAsia="仿宋"/>
          <w:sz w:val="32"/>
          <w:szCs w:val="32"/>
        </w:rPr>
        <w:t>170.1</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p>
    <w:p>
      <w:pPr>
        <w:pStyle w:val="2"/>
        <w:spacing w:before="93"/>
        <w:jc w:val="center"/>
      </w:pPr>
      <w:r>
        <w:rPr>
          <w:rFonts w:hint="eastAsia" w:ascii="楷体" w:eastAsia="楷体" w:cs="楷体" w:hAnsiTheme="minorHAnsi"/>
          <w:color w:val="000000"/>
          <w:sz w:val="32"/>
          <w:szCs w:val="32"/>
          <w:lang w:val="zh-CN"/>
        </w:rPr>
        <w:object>
          <v:shape id="_x0000_i1028" o:spt="75" type="#_x0000_t75" style="height:126.75pt;width:188.25pt;" o:ole="t" filled="f" o:preferrelative="t" stroked="f" coordsize="21600,21600">
            <v:path/>
            <v:fill on="f" focussize="0,0"/>
            <v:stroke on="f" joinstyle="miter"/>
            <v:imagedata r:id="rId15" o:title=""/>
            <o:lock v:ext="edit" aspectratio="t"/>
            <w10:wrap type="none"/>
            <w10:anchorlock/>
          </v:shape>
          <o:OLEObject Type="Embed" ProgID="Picture.PicObj.1" ShapeID="_x0000_i1028" DrawAspect="Content" ObjectID="_1468075728" r:id="rId14">
            <o:LockedField>false</o:LockedField>
          </o:OLEObject>
        </w:object>
      </w:r>
    </w:p>
    <w:p>
      <w:pPr>
        <w:spacing w:line="600" w:lineRule="exact"/>
        <w:ind w:firstLine="640" w:firstLineChars="200"/>
        <w:outlineLvl w:val="1"/>
        <w:rPr>
          <w:rStyle w:val="25"/>
          <w:rFonts w:ascii="黑体" w:hAnsi="黑体" w:eastAsia="黑体"/>
          <w:b w:val="0"/>
        </w:rPr>
      </w:pPr>
      <w:bookmarkStart w:id="11" w:name="_Toc15377208"/>
      <w:bookmarkStart w:id="12"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11"/>
      <w:bookmarkEnd w:id="12"/>
    </w:p>
    <w:p>
      <w:pPr>
        <w:spacing w:line="576"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年财政拨款收入总计</w:t>
      </w:r>
      <w:r>
        <w:rPr>
          <w:rFonts w:ascii="仿宋" w:hAnsi="仿宋" w:eastAsia="仿宋"/>
          <w:sz w:val="32"/>
          <w:szCs w:val="32"/>
        </w:rPr>
        <w:t>170.1</w:t>
      </w:r>
      <w:r>
        <w:rPr>
          <w:rFonts w:hint="eastAsia" w:ascii="仿宋" w:hAnsi="仿宋" w:eastAsia="仿宋"/>
          <w:sz w:val="32"/>
          <w:szCs w:val="32"/>
        </w:rPr>
        <w:t>万元。与</w:t>
      </w:r>
      <w:r>
        <w:rPr>
          <w:rFonts w:ascii="仿宋" w:hAnsi="仿宋" w:eastAsia="仿宋"/>
          <w:sz w:val="32"/>
          <w:szCs w:val="32"/>
        </w:rPr>
        <w:t>2021</w:t>
      </w:r>
      <w:r>
        <w:rPr>
          <w:rFonts w:hint="eastAsia" w:ascii="仿宋" w:hAnsi="仿宋" w:eastAsia="仿宋"/>
          <w:sz w:val="32"/>
          <w:szCs w:val="32"/>
        </w:rPr>
        <w:t>年相比，财政拨款收入减少</w:t>
      </w:r>
      <w:r>
        <w:rPr>
          <w:rFonts w:ascii="仿宋" w:hAnsi="仿宋" w:eastAsia="仿宋"/>
          <w:sz w:val="32"/>
          <w:szCs w:val="32"/>
        </w:rPr>
        <w:t>0.39</w:t>
      </w:r>
      <w:r>
        <w:rPr>
          <w:rFonts w:hint="eastAsia" w:ascii="仿宋" w:hAnsi="仿宋" w:eastAsia="仿宋"/>
          <w:sz w:val="32"/>
          <w:szCs w:val="32"/>
        </w:rPr>
        <w:t>万元，下降</w:t>
      </w:r>
      <w:r>
        <w:rPr>
          <w:rFonts w:ascii="仿宋" w:hAnsi="仿宋" w:eastAsia="仿宋"/>
          <w:sz w:val="32"/>
          <w:szCs w:val="32"/>
        </w:rPr>
        <w:t>0.2%</w:t>
      </w:r>
      <w:r>
        <w:rPr>
          <w:rFonts w:hint="eastAsia" w:ascii="仿宋" w:hAnsi="仿宋" w:eastAsia="仿宋"/>
          <w:sz w:val="32"/>
          <w:szCs w:val="32"/>
        </w:rPr>
        <w:t>。主要变动原因是一是人员经费增加7.79万元；二是项目工作经费因财政调度部分经费未支付减少8.18万元。</w:t>
      </w:r>
    </w:p>
    <w:p>
      <w:pPr>
        <w:pStyle w:val="2"/>
        <w:spacing w:before="93"/>
        <w:jc w:val="center"/>
      </w:pPr>
      <w:r>
        <w:rPr>
          <w:rFonts w:hint="eastAsia" w:ascii="楷体" w:eastAsia="楷体" w:cs="楷体" w:hAnsiTheme="minorHAnsi"/>
          <w:color w:val="000000"/>
          <w:sz w:val="32"/>
          <w:szCs w:val="32"/>
          <w:lang w:val="zh-CN"/>
        </w:rPr>
        <w:object>
          <v:shape id="_x0000_i1029" o:spt="75" type="#_x0000_t75" style="height:133.5pt;width:273pt;" o:ole="t" filled="f" o:preferrelative="t" stroked="f" coordsize="21600,21600">
            <v:path/>
            <v:fill on="f" focussize="0,0"/>
            <v:stroke on="f" joinstyle="miter"/>
            <v:imagedata r:id="rId17" o:title=""/>
            <o:lock v:ext="edit" aspectratio="t"/>
            <w10:wrap type="none"/>
            <w10:anchorlock/>
          </v:shape>
          <o:OLEObject Type="Embed" ProgID="Picture.PicObj.1" ShapeID="_x0000_i1029" DrawAspect="Content" ObjectID="_1468075729" r:id="rId16">
            <o:LockedField>false</o:LockedField>
          </o:OLEObject>
        </w:object>
      </w:r>
    </w:p>
    <w:p>
      <w:pPr>
        <w:pStyle w:val="2"/>
        <w:spacing w:before="93"/>
        <w:ind w:firstLine="640" w:firstLineChars="200"/>
      </w:pPr>
      <w:r>
        <w:rPr>
          <w:rFonts w:ascii="仿宋" w:hAnsi="仿宋" w:eastAsia="仿宋"/>
          <w:sz w:val="32"/>
          <w:szCs w:val="32"/>
        </w:rPr>
        <w:t>2022</w:t>
      </w:r>
      <w:r>
        <w:rPr>
          <w:rFonts w:hint="eastAsia" w:ascii="仿宋" w:hAnsi="仿宋" w:eastAsia="仿宋"/>
          <w:sz w:val="32"/>
          <w:szCs w:val="32"/>
        </w:rPr>
        <w:t>年财政拨款支出总计</w:t>
      </w:r>
      <w:r>
        <w:rPr>
          <w:rFonts w:ascii="仿宋" w:hAnsi="仿宋" w:eastAsia="仿宋"/>
          <w:sz w:val="32"/>
          <w:szCs w:val="32"/>
        </w:rPr>
        <w:t>170.1</w:t>
      </w:r>
      <w:r>
        <w:rPr>
          <w:rFonts w:hint="eastAsia" w:ascii="仿宋" w:hAnsi="仿宋" w:eastAsia="仿宋"/>
          <w:sz w:val="32"/>
          <w:szCs w:val="32"/>
        </w:rPr>
        <w:t>万元。与</w:t>
      </w:r>
      <w:r>
        <w:rPr>
          <w:rFonts w:ascii="仿宋" w:hAnsi="仿宋" w:eastAsia="仿宋"/>
          <w:sz w:val="32"/>
          <w:szCs w:val="32"/>
        </w:rPr>
        <w:t>2021</w:t>
      </w:r>
      <w:r>
        <w:rPr>
          <w:rFonts w:hint="eastAsia" w:ascii="仿宋" w:hAnsi="仿宋" w:eastAsia="仿宋"/>
          <w:sz w:val="32"/>
          <w:szCs w:val="32"/>
        </w:rPr>
        <w:t>年相比，财政拨款支出减少</w:t>
      </w:r>
      <w:r>
        <w:rPr>
          <w:rFonts w:ascii="仿宋" w:hAnsi="仿宋" w:eastAsia="仿宋"/>
          <w:sz w:val="32"/>
          <w:szCs w:val="32"/>
        </w:rPr>
        <w:t>0.39</w:t>
      </w:r>
      <w:r>
        <w:rPr>
          <w:rFonts w:hint="eastAsia" w:ascii="仿宋" w:hAnsi="仿宋" w:eastAsia="仿宋"/>
          <w:sz w:val="32"/>
          <w:szCs w:val="32"/>
        </w:rPr>
        <w:t>万元，下降</w:t>
      </w:r>
      <w:r>
        <w:rPr>
          <w:rFonts w:ascii="仿宋" w:hAnsi="仿宋" w:eastAsia="仿宋"/>
          <w:sz w:val="32"/>
          <w:szCs w:val="32"/>
        </w:rPr>
        <w:t>0.2%</w:t>
      </w:r>
      <w:r>
        <w:rPr>
          <w:rFonts w:hint="eastAsia" w:ascii="仿宋" w:hAnsi="仿宋" w:eastAsia="仿宋"/>
          <w:sz w:val="32"/>
          <w:szCs w:val="32"/>
        </w:rPr>
        <w:t>。主要变动原因是一是人员经费增加7.79万元；二是项目工作经费因财政调度部分经费未支付减少8.18万元。</w:t>
      </w:r>
    </w:p>
    <w:p>
      <w:pPr>
        <w:pStyle w:val="2"/>
        <w:spacing w:before="93"/>
        <w:jc w:val="center"/>
      </w:pPr>
      <w:r>
        <w:rPr>
          <w:rFonts w:hint="eastAsia" w:ascii="楷体" w:eastAsia="楷体" w:cs="楷体" w:hAnsiTheme="minorHAnsi"/>
          <w:color w:val="000000"/>
          <w:sz w:val="32"/>
          <w:szCs w:val="32"/>
          <w:lang w:val="zh-CN"/>
        </w:rPr>
        <w:object>
          <v:shape id="_x0000_i1030" o:spt="75" type="#_x0000_t75" style="height:127.5pt;width:270pt;" o:ole="t" filled="f" o:preferrelative="t" stroked="f" coordsize="21600,21600">
            <v:path/>
            <v:fill on="f" focussize="0,0"/>
            <v:stroke on="f" joinstyle="miter"/>
            <v:imagedata r:id="rId19" o:title=""/>
            <o:lock v:ext="edit" aspectratio="t"/>
            <w10:wrap type="none"/>
            <w10:anchorlock/>
          </v:shape>
          <o:OLEObject Type="Embed" ProgID="Picture.PicObj.1" ShapeID="_x0000_i1030" DrawAspect="Content" ObjectID="_1468075730" r:id="rId18">
            <o:LockedField>false</o:LockedField>
          </o:OLEObject>
        </w:object>
      </w:r>
    </w:p>
    <w:p>
      <w:pPr>
        <w:spacing w:line="600" w:lineRule="exact"/>
        <w:ind w:firstLine="640" w:firstLineChars="200"/>
        <w:outlineLvl w:val="1"/>
        <w:rPr>
          <w:rStyle w:val="25"/>
          <w:rFonts w:ascii="黑体" w:hAnsi="黑体" w:eastAsia="黑体"/>
          <w:b w:val="0"/>
        </w:rPr>
      </w:pPr>
      <w:bookmarkStart w:id="13" w:name="_Toc15396607"/>
      <w:bookmarkStart w:id="14"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13"/>
      <w:bookmarkEnd w:id="14"/>
    </w:p>
    <w:p>
      <w:pPr>
        <w:spacing w:line="600" w:lineRule="exact"/>
        <w:ind w:firstLine="643" w:firstLineChars="200"/>
        <w:outlineLvl w:val="2"/>
        <w:rPr>
          <w:rFonts w:ascii="仿宋" w:hAnsi="仿宋" w:eastAsia="仿宋"/>
          <w:b/>
          <w:sz w:val="32"/>
          <w:szCs w:val="32"/>
        </w:rPr>
      </w:pPr>
      <w:bookmarkStart w:id="15" w:name="_Toc15377210"/>
      <w:r>
        <w:rPr>
          <w:rFonts w:hint="eastAsia" w:ascii="仿宋" w:hAnsi="仿宋" w:eastAsia="仿宋"/>
          <w:b/>
          <w:sz w:val="32"/>
          <w:szCs w:val="32"/>
        </w:rPr>
        <w:t>（一）一般公共预算财政拨款支出决算总体情况</w:t>
      </w:r>
      <w:bookmarkEnd w:id="15"/>
    </w:p>
    <w:p>
      <w:pPr>
        <w:spacing w:line="576"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年一般公共预算财政拨款支出</w:t>
      </w:r>
      <w:r>
        <w:rPr>
          <w:rFonts w:ascii="仿宋" w:hAnsi="仿宋" w:eastAsia="仿宋"/>
          <w:sz w:val="32"/>
          <w:szCs w:val="32"/>
        </w:rPr>
        <w:t>170.1</w:t>
      </w:r>
      <w:r>
        <w:rPr>
          <w:rFonts w:hint="eastAsia" w:ascii="仿宋" w:hAnsi="仿宋" w:eastAsia="仿宋"/>
          <w:sz w:val="32"/>
          <w:szCs w:val="32"/>
        </w:rPr>
        <w:t>万元，占本年支出合计的</w:t>
      </w:r>
      <w:r>
        <w:rPr>
          <w:rFonts w:ascii="仿宋" w:hAnsi="仿宋" w:eastAsia="仿宋"/>
          <w:sz w:val="32"/>
          <w:szCs w:val="32"/>
        </w:rPr>
        <w:t>100%</w:t>
      </w:r>
      <w:r>
        <w:rPr>
          <w:rFonts w:hint="eastAsia" w:ascii="仿宋" w:hAnsi="仿宋" w:eastAsia="仿宋"/>
          <w:sz w:val="32"/>
          <w:szCs w:val="32"/>
        </w:rPr>
        <w:t>。与</w:t>
      </w:r>
      <w:r>
        <w:rPr>
          <w:rFonts w:ascii="仿宋" w:hAnsi="仿宋" w:eastAsia="仿宋"/>
          <w:sz w:val="32"/>
          <w:szCs w:val="32"/>
        </w:rPr>
        <w:t>2021</w:t>
      </w:r>
      <w:r>
        <w:rPr>
          <w:rFonts w:hint="eastAsia" w:ascii="仿宋" w:hAnsi="仿宋" w:eastAsia="仿宋"/>
          <w:sz w:val="32"/>
          <w:szCs w:val="32"/>
        </w:rPr>
        <w:t>年相比，一般公共预算财政拨款支出减少</w:t>
      </w:r>
      <w:r>
        <w:rPr>
          <w:rFonts w:ascii="仿宋" w:hAnsi="仿宋" w:eastAsia="仿宋"/>
          <w:sz w:val="32"/>
          <w:szCs w:val="32"/>
        </w:rPr>
        <w:t>0.39</w:t>
      </w:r>
      <w:r>
        <w:rPr>
          <w:rFonts w:hint="eastAsia" w:ascii="仿宋" w:hAnsi="仿宋" w:eastAsia="仿宋"/>
          <w:sz w:val="32"/>
          <w:szCs w:val="32"/>
        </w:rPr>
        <w:t>万元，下降</w:t>
      </w:r>
      <w:r>
        <w:rPr>
          <w:rFonts w:ascii="仿宋" w:hAnsi="仿宋" w:eastAsia="仿宋"/>
          <w:sz w:val="32"/>
          <w:szCs w:val="32"/>
        </w:rPr>
        <w:t>0.2%</w:t>
      </w:r>
      <w:r>
        <w:rPr>
          <w:rFonts w:hint="eastAsia" w:ascii="仿宋" w:hAnsi="仿宋" w:eastAsia="仿宋"/>
          <w:sz w:val="32"/>
          <w:szCs w:val="32"/>
        </w:rPr>
        <w:t>。主要变动原因是一是人员经费增加7.79万元；二是项目工作经费因财政调度部分经费未支付减少8.18万元。</w:t>
      </w:r>
    </w:p>
    <w:p>
      <w:pPr>
        <w:pStyle w:val="2"/>
        <w:spacing w:before="93"/>
        <w:jc w:val="center"/>
      </w:pPr>
      <w:r>
        <w:rPr>
          <w:rFonts w:hint="eastAsia" w:ascii="楷体" w:eastAsia="楷体" w:cs="楷体" w:hAnsiTheme="minorHAnsi"/>
          <w:color w:val="000000"/>
          <w:sz w:val="32"/>
          <w:szCs w:val="32"/>
          <w:lang w:val="zh-CN"/>
        </w:rPr>
        <w:object>
          <v:shape id="_x0000_i1031" o:spt="75" type="#_x0000_t75" style="height:112.5pt;width:254.25pt;" o:ole="t" filled="f" o:preferrelative="t" stroked="f" coordsize="21600,21600">
            <v:path/>
            <v:fill on="f" focussize="0,0"/>
            <v:stroke on="f" joinstyle="miter"/>
            <v:imagedata r:id="rId21" o:title=""/>
            <o:lock v:ext="edit" aspectratio="t"/>
            <w10:wrap type="none"/>
            <w10:anchorlock/>
          </v:shape>
          <o:OLEObject Type="Embed" ProgID="Picture.PicObj.1" ShapeID="_x0000_i1031" DrawAspect="Content" ObjectID="_1468075731" r:id="rId20">
            <o:LockedField>false</o:LockedField>
          </o:OLEObject>
        </w:object>
      </w:r>
    </w:p>
    <w:p>
      <w:pPr>
        <w:spacing w:line="600" w:lineRule="exact"/>
        <w:ind w:firstLine="643" w:firstLineChars="200"/>
        <w:outlineLvl w:val="2"/>
        <w:rPr>
          <w:rFonts w:ascii="仿宋" w:hAnsi="仿宋" w:eastAsia="仿宋"/>
          <w:b/>
          <w:sz w:val="32"/>
          <w:szCs w:val="32"/>
        </w:rPr>
      </w:pPr>
      <w:bookmarkStart w:id="16" w:name="_Toc15377211"/>
      <w:r>
        <w:rPr>
          <w:rFonts w:hint="eastAsia" w:ascii="仿宋" w:hAnsi="仿宋" w:eastAsia="仿宋"/>
          <w:b/>
          <w:sz w:val="32"/>
          <w:szCs w:val="32"/>
        </w:rPr>
        <w:t>（二）一般公共预算财政拨款支出决算结构情况</w:t>
      </w:r>
      <w:bookmarkEnd w:id="16"/>
    </w:p>
    <w:p>
      <w:pPr>
        <w:spacing w:line="600"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年一般公共预算财政拨款支出</w:t>
      </w:r>
      <w:r>
        <w:rPr>
          <w:rFonts w:ascii="仿宋" w:hAnsi="仿宋" w:eastAsia="仿宋"/>
          <w:sz w:val="32"/>
          <w:szCs w:val="32"/>
        </w:rPr>
        <w:t>170.1</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sz w:val="32"/>
          <w:szCs w:val="32"/>
        </w:rPr>
        <w:t>社会保障和就业支出</w:t>
      </w:r>
      <w:r>
        <w:rPr>
          <w:rFonts w:ascii="仿宋" w:hAnsi="仿宋" w:eastAsia="仿宋"/>
          <w:sz w:val="32"/>
          <w:szCs w:val="32"/>
        </w:rPr>
        <w:t>12.03</w:t>
      </w:r>
      <w:r>
        <w:rPr>
          <w:rFonts w:hint="eastAsia" w:ascii="仿宋" w:hAnsi="仿宋" w:eastAsia="仿宋"/>
          <w:sz w:val="32"/>
          <w:szCs w:val="32"/>
        </w:rPr>
        <w:t>万元，占</w:t>
      </w:r>
      <w:r>
        <w:rPr>
          <w:rFonts w:ascii="仿宋" w:hAnsi="仿宋" w:eastAsia="仿宋"/>
          <w:sz w:val="32"/>
          <w:szCs w:val="32"/>
        </w:rPr>
        <w:t>7.1%</w:t>
      </w:r>
      <w:r>
        <w:rPr>
          <w:rFonts w:hint="eastAsia" w:ascii="仿宋" w:hAnsi="仿宋" w:eastAsia="仿宋"/>
          <w:sz w:val="32"/>
          <w:szCs w:val="32"/>
        </w:rPr>
        <w:t>；卫生健康支出</w:t>
      </w:r>
      <w:r>
        <w:rPr>
          <w:rFonts w:ascii="仿宋" w:hAnsi="仿宋" w:eastAsia="仿宋"/>
          <w:sz w:val="32"/>
          <w:szCs w:val="32"/>
        </w:rPr>
        <w:t>9.31</w:t>
      </w:r>
      <w:r>
        <w:rPr>
          <w:rFonts w:hint="eastAsia" w:ascii="仿宋" w:hAnsi="仿宋" w:eastAsia="仿宋"/>
          <w:sz w:val="32"/>
          <w:szCs w:val="32"/>
        </w:rPr>
        <w:t>万元，占</w:t>
      </w:r>
      <w:r>
        <w:rPr>
          <w:rFonts w:ascii="仿宋" w:hAnsi="仿宋" w:eastAsia="仿宋"/>
          <w:sz w:val="32"/>
          <w:szCs w:val="32"/>
        </w:rPr>
        <w:t>5.5%</w:t>
      </w:r>
      <w:r>
        <w:rPr>
          <w:rFonts w:hint="eastAsia" w:ascii="仿宋" w:hAnsi="仿宋" w:eastAsia="仿宋"/>
          <w:sz w:val="32"/>
          <w:szCs w:val="32"/>
        </w:rPr>
        <w:t>；城乡社区支出</w:t>
      </w:r>
      <w:r>
        <w:rPr>
          <w:rFonts w:ascii="仿宋" w:hAnsi="仿宋" w:eastAsia="仿宋"/>
          <w:sz w:val="32"/>
          <w:szCs w:val="32"/>
        </w:rPr>
        <w:t>135.91</w:t>
      </w:r>
      <w:r>
        <w:rPr>
          <w:rFonts w:hint="eastAsia" w:ascii="仿宋" w:hAnsi="仿宋" w:eastAsia="仿宋"/>
          <w:sz w:val="32"/>
          <w:szCs w:val="32"/>
        </w:rPr>
        <w:t>万元，占</w:t>
      </w:r>
      <w:r>
        <w:rPr>
          <w:rFonts w:ascii="仿宋" w:hAnsi="仿宋" w:eastAsia="仿宋"/>
          <w:sz w:val="32"/>
          <w:szCs w:val="32"/>
        </w:rPr>
        <w:t>79.9%</w:t>
      </w:r>
      <w:r>
        <w:rPr>
          <w:rFonts w:hint="eastAsia" w:ascii="仿宋" w:hAnsi="仿宋" w:eastAsia="仿宋"/>
          <w:sz w:val="32"/>
          <w:szCs w:val="32"/>
        </w:rPr>
        <w:t>；住房保障支出</w:t>
      </w:r>
      <w:r>
        <w:rPr>
          <w:rFonts w:ascii="仿宋" w:hAnsi="仿宋" w:eastAsia="仿宋"/>
          <w:sz w:val="32"/>
          <w:szCs w:val="32"/>
        </w:rPr>
        <w:t>12.85</w:t>
      </w:r>
      <w:r>
        <w:rPr>
          <w:rFonts w:hint="eastAsia" w:ascii="仿宋" w:hAnsi="仿宋" w:eastAsia="仿宋"/>
          <w:sz w:val="32"/>
          <w:szCs w:val="32"/>
        </w:rPr>
        <w:t>万元，占</w:t>
      </w:r>
      <w:r>
        <w:rPr>
          <w:rFonts w:ascii="仿宋" w:hAnsi="仿宋" w:eastAsia="仿宋"/>
          <w:sz w:val="32"/>
          <w:szCs w:val="32"/>
        </w:rPr>
        <w:t>7.</w:t>
      </w: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w:t>
      </w:r>
    </w:p>
    <w:p>
      <w:pPr>
        <w:pStyle w:val="2"/>
        <w:spacing w:before="93"/>
        <w:jc w:val="center"/>
        <w:rPr>
          <w:lang w:val="zh-CN"/>
        </w:rPr>
      </w:pPr>
      <w:r>
        <w:rPr>
          <w:rFonts w:hint="eastAsia" w:ascii="楷体" w:eastAsia="楷体" w:cs="楷体" w:hAnsiTheme="minorHAnsi"/>
          <w:color w:val="000000"/>
          <w:sz w:val="32"/>
          <w:szCs w:val="32"/>
          <w:lang w:val="zh-CN"/>
        </w:rPr>
        <w:object>
          <v:shape id="_x0000_i1032" o:spt="75" type="#_x0000_t75" style="height:146.25pt;width:238.5pt;" o:ole="t" filled="f" o:preferrelative="t" stroked="f" coordsize="21600,21600">
            <v:path/>
            <v:fill on="f" focussize="0,0"/>
            <v:stroke on="f" joinstyle="miter"/>
            <v:imagedata r:id="rId23" o:title=""/>
            <o:lock v:ext="edit" aspectratio="t"/>
            <w10:wrap type="none"/>
            <w10:anchorlock/>
          </v:shape>
          <o:OLEObject Type="Embed" ProgID="Picture.PicObj.1" ShapeID="_x0000_i1032" DrawAspect="Content" ObjectID="_1468075732" r:id="rId22">
            <o:LockedField>false</o:LockedField>
          </o:OLEObject>
        </w:object>
      </w:r>
    </w:p>
    <w:p>
      <w:pPr>
        <w:spacing w:line="600" w:lineRule="exact"/>
        <w:ind w:firstLine="643" w:firstLineChars="200"/>
        <w:outlineLvl w:val="2"/>
        <w:rPr>
          <w:rFonts w:ascii="仿宋" w:hAnsi="仿宋" w:eastAsia="仿宋"/>
          <w:b/>
          <w:sz w:val="32"/>
          <w:szCs w:val="32"/>
        </w:rPr>
      </w:pPr>
      <w:bookmarkStart w:id="17" w:name="_Toc15377212"/>
      <w:r>
        <w:rPr>
          <w:rFonts w:hint="eastAsia" w:ascii="仿宋" w:hAnsi="仿宋" w:eastAsia="仿宋"/>
          <w:b/>
          <w:sz w:val="32"/>
          <w:szCs w:val="32"/>
        </w:rPr>
        <w:t>（三）一般公共预算财政拨款支出决算具体情况</w:t>
      </w:r>
      <w:bookmarkEnd w:id="17"/>
    </w:p>
    <w:p>
      <w:pPr>
        <w:keepNext/>
        <w:keepLines/>
        <w:spacing w:line="576" w:lineRule="exact"/>
        <w:ind w:firstLine="643"/>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年一般公共预算支出决算数为</w:t>
      </w:r>
      <w:r>
        <w:rPr>
          <w:rFonts w:ascii="仿宋" w:hAnsi="仿宋" w:eastAsia="仿宋"/>
          <w:sz w:val="32"/>
          <w:szCs w:val="32"/>
        </w:rPr>
        <w:t>170.1</w:t>
      </w:r>
      <w:r>
        <w:rPr>
          <w:rFonts w:hint="eastAsia" w:ascii="仿宋" w:hAnsi="仿宋" w:eastAsia="仿宋"/>
          <w:sz w:val="32"/>
          <w:szCs w:val="32"/>
        </w:rPr>
        <w:t>万元，完成预算</w:t>
      </w:r>
      <w:r>
        <w:rPr>
          <w:rFonts w:ascii="仿宋" w:hAnsi="仿宋" w:eastAsia="仿宋"/>
          <w:sz w:val="32"/>
          <w:szCs w:val="32"/>
        </w:rPr>
        <w:t>100%</w:t>
      </w:r>
      <w:r>
        <w:rPr>
          <w:rFonts w:hint="eastAsia" w:ascii="仿宋" w:hAnsi="仿宋" w:eastAsia="仿宋"/>
          <w:sz w:val="32"/>
          <w:szCs w:val="32"/>
        </w:rPr>
        <w:t>。其中：</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1.</w:t>
      </w:r>
      <w:r>
        <w:rPr>
          <w:rStyle w:val="14"/>
          <w:rFonts w:hint="eastAsia" w:ascii="仿宋" w:hAnsi="仿宋" w:eastAsia="仿宋"/>
          <w:bCs/>
          <w:sz w:val="32"/>
          <w:szCs w:val="32"/>
        </w:rPr>
        <w:t>社会保障和就业（类）行政事业单位养老支出（款）事业单位离退休（项）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支出决算为2.05万元，完成预算100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2.社会保障和就业（类）行政事业单位养老支出（款）机关事业单位基本养老保险缴费支出（项）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支出决算为9.98万元，完成预算100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3</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（类）行政事业单位医疗（款）事业单位医疗（项）</w:t>
      </w:r>
      <w:r>
        <w:rPr>
          <w:rStyle w:val="14"/>
          <w:rFonts w:ascii="仿宋" w:hAnsi="仿宋" w:eastAsia="仿宋"/>
          <w:bCs/>
          <w:sz w:val="32"/>
          <w:szCs w:val="32"/>
        </w:rPr>
        <w:t>:</w:t>
      </w:r>
      <w:r>
        <w:rPr>
          <w:rStyle w:val="14"/>
          <w:rFonts w:hint="eastAsia" w:ascii="仿宋" w:hAnsi="仿宋" w:eastAsia="仿宋"/>
          <w:b w:val="0"/>
          <w:bCs/>
          <w:sz w:val="32"/>
          <w:szCs w:val="32"/>
        </w:rPr>
        <w:t>支出决算为8.44万元，完成预算100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4</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（类）行政事业单位医疗（款）公务员医疗补助（项）</w:t>
      </w:r>
      <w:r>
        <w:rPr>
          <w:rStyle w:val="14"/>
          <w:rFonts w:ascii="仿宋" w:hAnsi="仿宋" w:eastAsia="仿宋"/>
          <w:bCs/>
          <w:sz w:val="32"/>
          <w:szCs w:val="32"/>
        </w:rPr>
        <w:t>:</w:t>
      </w:r>
      <w:r>
        <w:rPr>
          <w:rStyle w:val="14"/>
          <w:rFonts w:hint="eastAsia" w:ascii="仿宋" w:hAnsi="仿宋" w:eastAsia="仿宋"/>
          <w:b w:val="0"/>
          <w:bCs/>
          <w:sz w:val="32"/>
          <w:szCs w:val="32"/>
        </w:rPr>
        <w:t>支出决算为0.87万元，完成预算100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420" w:firstLineChars="200"/>
        <w:rPr>
          <w:rFonts w:ascii="仿宋" w:hAnsi="仿宋" w:eastAsia="仿宋"/>
          <w:b/>
          <w:sz w:val="32"/>
          <w:szCs w:val="32"/>
        </w:rPr>
      </w:pPr>
      <w:r>
        <w:rPr>
          <w:rFonts w:hint="eastAsia"/>
        </w:rPr>
        <w:t xml:space="preserve">   </w:t>
      </w:r>
      <w:r>
        <w:rPr>
          <w:rStyle w:val="14"/>
          <w:rFonts w:hint="eastAsia" w:ascii="仿宋" w:hAnsi="仿宋" w:eastAsia="仿宋"/>
          <w:bCs/>
          <w:sz w:val="32"/>
          <w:szCs w:val="32"/>
        </w:rPr>
        <w:t>5</w:t>
      </w:r>
      <w:r>
        <w:rPr>
          <w:rStyle w:val="14"/>
          <w:rFonts w:ascii="仿宋" w:hAnsi="仿宋" w:eastAsia="仿宋"/>
          <w:bCs/>
          <w:sz w:val="32"/>
          <w:szCs w:val="32"/>
        </w:rPr>
        <w:t>.</w:t>
      </w:r>
      <w:r>
        <w:rPr>
          <w:rFonts w:hint="eastAsia"/>
        </w:rPr>
        <w:t xml:space="preserve"> </w:t>
      </w:r>
      <w:r>
        <w:rPr>
          <w:rFonts w:hint="eastAsia" w:ascii="仿宋" w:hAnsi="仿宋" w:eastAsia="仿宋"/>
          <w:b/>
          <w:bCs/>
          <w:sz w:val="32"/>
          <w:szCs w:val="32"/>
        </w:rPr>
        <w:t>城乡社区支出</w:t>
      </w:r>
      <w:r>
        <w:rPr>
          <w:rStyle w:val="14"/>
          <w:rFonts w:hint="eastAsia" w:ascii="仿宋" w:hAnsi="仿宋" w:eastAsia="仿宋"/>
          <w:bCs/>
          <w:sz w:val="32"/>
          <w:szCs w:val="32"/>
        </w:rPr>
        <w:t>（类）城乡社区管理事务（款）其他城乡社区管理事务支出（项）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支出决算为135.91万元，完成预算100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6</w:t>
      </w:r>
      <w:r>
        <w:rPr>
          <w:rStyle w:val="14"/>
          <w:rFonts w:ascii="仿宋" w:hAnsi="仿宋" w:eastAsia="仿宋"/>
          <w:bCs/>
          <w:sz w:val="32"/>
          <w:szCs w:val="32"/>
        </w:rPr>
        <w:t>.</w:t>
      </w:r>
      <w:r>
        <w:rPr>
          <w:rFonts w:hint="eastAsia" w:ascii="仿宋" w:hAnsi="仿宋" w:eastAsia="仿宋"/>
          <w:b/>
          <w:bCs/>
          <w:sz w:val="32"/>
          <w:szCs w:val="32"/>
        </w:rPr>
        <w:t xml:space="preserve"> 住房保障支出</w:t>
      </w:r>
      <w:r>
        <w:rPr>
          <w:rStyle w:val="14"/>
          <w:rFonts w:hint="eastAsia" w:ascii="仿宋" w:hAnsi="仿宋" w:eastAsia="仿宋"/>
          <w:bCs/>
          <w:sz w:val="32"/>
          <w:szCs w:val="32"/>
        </w:rPr>
        <w:t>（类）住房改革支出（款）住房公积金（项）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支出决算为12.85万元，完成预算100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tabs>
          <w:tab w:val="right" w:pos="8306"/>
        </w:tabs>
        <w:spacing w:line="600" w:lineRule="exact"/>
        <w:ind w:firstLine="640"/>
        <w:outlineLvl w:val="1"/>
        <w:rPr>
          <w:rStyle w:val="25"/>
        </w:rPr>
      </w:pPr>
      <w:bookmarkStart w:id="18" w:name="_Toc15396608"/>
      <w:bookmarkStart w:id="1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18"/>
      <w:bookmarkEnd w:id="19"/>
      <w:r>
        <w:rPr>
          <w:rStyle w:val="25"/>
          <w:rFonts w:ascii="黑体" w:hAnsi="黑体" w:eastAsia="黑体"/>
          <w:b w:val="0"/>
        </w:rPr>
        <w:tab/>
      </w:r>
    </w:p>
    <w:p>
      <w:pPr>
        <w:spacing w:line="576" w:lineRule="exact"/>
        <w:ind w:firstLine="640"/>
        <w:rPr>
          <w:rFonts w:ascii="仿宋_GB2312" w:hAnsi="Cambria" w:eastAsia="仿宋_GB2312" w:cs="仿宋_GB2312"/>
          <w:color w:val="000000"/>
          <w:sz w:val="32"/>
          <w:szCs w:val="32"/>
          <w:lang w:val="zh-CN"/>
        </w:rPr>
      </w:pPr>
      <w:r>
        <w:rPr>
          <w:rFonts w:ascii="仿宋_GB2312" w:hAnsi="Cambria" w:eastAsia="仿宋_GB2312" w:cs="仿宋_GB2312"/>
          <w:color w:val="000000"/>
          <w:sz w:val="32"/>
          <w:szCs w:val="32"/>
          <w:lang w:val="zh-CN"/>
        </w:rPr>
        <w:t>2022</w:t>
      </w:r>
      <w:r>
        <w:rPr>
          <w:rFonts w:hint="eastAsia" w:ascii="仿宋_GB2312" w:hAnsi="Cambria" w:eastAsia="仿宋_GB2312" w:cs="仿宋_GB2312"/>
          <w:color w:val="000000"/>
          <w:sz w:val="32"/>
          <w:szCs w:val="32"/>
          <w:lang w:val="zh-CN"/>
        </w:rPr>
        <w:t>年一般公共预算财政拨款基本支出</w:t>
      </w:r>
      <w:r>
        <w:rPr>
          <w:rFonts w:ascii="仿宋_GB2312" w:hAnsi="Cambria" w:eastAsia="仿宋_GB2312" w:cs="仿宋_GB2312"/>
          <w:color w:val="000000"/>
          <w:sz w:val="32"/>
          <w:szCs w:val="32"/>
          <w:lang w:val="zh-CN"/>
        </w:rPr>
        <w:t>170.1</w:t>
      </w:r>
      <w:r>
        <w:rPr>
          <w:rFonts w:hint="eastAsia" w:ascii="仿宋_GB2312" w:hAnsi="Cambria" w:eastAsia="仿宋_GB2312" w:cs="仿宋_GB2312"/>
          <w:color w:val="000000"/>
          <w:sz w:val="32"/>
          <w:szCs w:val="32"/>
          <w:lang w:val="zh-CN"/>
        </w:rPr>
        <w:t>万元，其中：</w:t>
      </w:r>
    </w:p>
    <w:p>
      <w:pPr>
        <w:ind w:firstLine="643" w:firstLineChars="200"/>
        <w:rPr>
          <w:rFonts w:ascii="仿宋" w:hAnsi="Cambria" w:eastAsia="仿宋" w:cs="仿宋"/>
          <w:sz w:val="32"/>
          <w:szCs w:val="32"/>
        </w:rPr>
      </w:pPr>
      <w:r>
        <w:rPr>
          <w:rFonts w:hint="eastAsia" w:ascii="仿宋_GB2312" w:hAnsi="Cambria" w:eastAsia="仿宋_GB2312" w:cs="仿宋_GB2312"/>
          <w:b/>
          <w:bCs/>
          <w:color w:val="000000"/>
          <w:sz w:val="32"/>
          <w:szCs w:val="32"/>
          <w:lang w:val="zh-CN"/>
        </w:rPr>
        <w:t>人员经费</w:t>
      </w:r>
      <w:r>
        <w:rPr>
          <w:rFonts w:ascii="仿宋_GB2312" w:hAnsi="Cambria" w:eastAsia="仿宋_GB2312" w:cs="仿宋_GB2312"/>
          <w:color w:val="000000"/>
          <w:sz w:val="32"/>
          <w:szCs w:val="32"/>
          <w:lang w:val="zh-CN"/>
        </w:rPr>
        <w:t>164.33</w:t>
      </w:r>
      <w:r>
        <w:rPr>
          <w:rFonts w:hint="eastAsia" w:ascii="仿宋_GB2312" w:hAnsi="Cambria" w:eastAsia="仿宋_GB2312" w:cs="仿宋_GB2312"/>
          <w:color w:val="000000"/>
          <w:sz w:val="32"/>
          <w:szCs w:val="32"/>
          <w:lang w:val="zh-CN"/>
        </w:rPr>
        <w:t>万元，主要包括：</w:t>
      </w:r>
      <w:r>
        <w:rPr>
          <w:rFonts w:hint="eastAsia" w:ascii="仿宋" w:hAnsi="Cambria" w:eastAsia="仿宋" w:cs="仿宋"/>
          <w:sz w:val="32"/>
          <w:szCs w:val="32"/>
        </w:rPr>
        <w:t>基本工资、津贴补贴、奖金、绩效工资、机关事业单位基本养老保险缴费、职工基本医疗保险缴费、公务员医疗补助缴费、其他社会保障缴费、住房公积金、医疗费、其他工资福利支出、生活补助、医疗费补助</w:t>
      </w:r>
      <w:r>
        <w:rPr>
          <w:rFonts w:hint="eastAsia" w:ascii="仿宋_GB2312" w:hAnsi="Cambria" w:eastAsia="仿宋_GB2312" w:cs="仿宋_GB2312"/>
          <w:color w:val="000000"/>
          <w:sz w:val="32"/>
          <w:szCs w:val="32"/>
          <w:lang w:val="zh-CN"/>
        </w:rPr>
        <w:t>。</w:t>
      </w:r>
    </w:p>
    <w:p>
      <w:pPr>
        <w:spacing w:line="600" w:lineRule="exact"/>
        <w:ind w:firstLine="645"/>
        <w:rPr>
          <w:rFonts w:ascii="仿宋" w:hAnsi="仿宋" w:eastAsia="仿宋"/>
          <w:sz w:val="32"/>
          <w:szCs w:val="32"/>
        </w:rPr>
      </w:pPr>
      <w:r>
        <w:rPr>
          <w:rFonts w:hint="eastAsia" w:ascii="仿宋_GB2312" w:hAnsi="Cambria" w:eastAsia="仿宋_GB2312" w:cs="仿宋_GB2312"/>
          <w:b/>
          <w:bCs/>
          <w:color w:val="000000"/>
          <w:sz w:val="32"/>
          <w:szCs w:val="32"/>
          <w:lang w:val="zh-CN"/>
        </w:rPr>
        <w:t>公用经费</w:t>
      </w:r>
      <w:r>
        <w:rPr>
          <w:rFonts w:ascii="仿宋_GB2312" w:hAnsi="Cambria" w:eastAsia="仿宋_GB2312" w:cs="仿宋_GB2312"/>
          <w:color w:val="000000"/>
          <w:sz w:val="32"/>
          <w:szCs w:val="32"/>
          <w:lang w:val="zh-CN"/>
        </w:rPr>
        <w:t>5.77</w:t>
      </w:r>
      <w:r>
        <w:rPr>
          <w:rFonts w:hint="eastAsia" w:ascii="仿宋_GB2312" w:hAnsi="Cambria" w:eastAsia="仿宋_GB2312" w:cs="仿宋_GB2312"/>
          <w:color w:val="000000"/>
          <w:sz w:val="32"/>
          <w:szCs w:val="32"/>
          <w:lang w:val="zh-CN"/>
        </w:rPr>
        <w:t>万元，主要包括：</w:t>
      </w:r>
      <w:r>
        <w:rPr>
          <w:rFonts w:hint="eastAsia" w:ascii="仿宋" w:hAnsi="Cambria" w:eastAsia="仿宋" w:cs="仿宋"/>
          <w:sz w:val="32"/>
          <w:szCs w:val="32"/>
        </w:rPr>
        <w:t>办公费、邮电费、差旅费、维修（护）费、会议费、培训费、工会经费、福利费</w:t>
      </w:r>
      <w:r>
        <w:rPr>
          <w:rFonts w:hint="eastAsia" w:ascii="仿宋_GB2312" w:hAnsi="Cambria" w:eastAsia="仿宋_GB2312" w:cs="仿宋_GB2312"/>
          <w:color w:val="000000"/>
          <w:sz w:val="32"/>
          <w:szCs w:val="32"/>
          <w:lang w:val="zh-CN"/>
        </w:rPr>
        <w:t>。</w:t>
      </w:r>
    </w:p>
    <w:p>
      <w:pPr>
        <w:spacing w:line="600" w:lineRule="exact"/>
        <w:ind w:firstLine="640"/>
        <w:outlineLvl w:val="1"/>
        <w:rPr>
          <w:rStyle w:val="25"/>
          <w:rFonts w:ascii="黑体" w:hAnsi="黑体" w:eastAsia="黑体"/>
          <w:b w:val="0"/>
        </w:rPr>
      </w:pPr>
      <w:bookmarkStart w:id="20" w:name="_Toc15396609"/>
      <w:bookmarkStart w:id="21"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20"/>
      <w:bookmarkEnd w:id="21"/>
    </w:p>
    <w:p>
      <w:pPr>
        <w:spacing w:line="600" w:lineRule="exact"/>
        <w:ind w:firstLine="640"/>
        <w:outlineLvl w:val="2"/>
        <w:rPr>
          <w:rFonts w:ascii="仿宋" w:hAnsi="仿宋" w:eastAsia="仿宋"/>
          <w:b/>
          <w:sz w:val="32"/>
          <w:szCs w:val="32"/>
        </w:rPr>
      </w:pPr>
      <w:bookmarkStart w:id="22" w:name="_Toc15377216"/>
      <w:r>
        <w:rPr>
          <w:rFonts w:hint="eastAsia" w:ascii="仿宋" w:hAnsi="仿宋" w:eastAsia="仿宋"/>
          <w:b/>
          <w:sz w:val="32"/>
          <w:szCs w:val="32"/>
        </w:rPr>
        <w:t>（一）“三公”经费财政拨款支出决算总体情况说明</w:t>
      </w:r>
      <w:bookmarkEnd w:id="22"/>
    </w:p>
    <w:p>
      <w:pPr>
        <w:spacing w:line="600" w:lineRule="exact"/>
        <w:ind w:firstLine="640"/>
        <w:outlineLvl w:val="2"/>
        <w:rPr>
          <w:rFonts w:ascii="仿宋" w:hAnsi="仿宋" w:eastAsia="仿宋"/>
          <w:b/>
          <w:sz w:val="32"/>
          <w:szCs w:val="32"/>
        </w:rPr>
      </w:pPr>
      <w:r>
        <w:rPr>
          <w:rFonts w:ascii="仿宋" w:hAnsi="仿宋" w:eastAsia="仿宋"/>
          <w:sz w:val="32"/>
          <w:szCs w:val="32"/>
        </w:rPr>
        <w:t>2022</w:t>
      </w:r>
      <w:r>
        <w:rPr>
          <w:rFonts w:hint="eastAsia" w:ascii="仿宋" w:hAnsi="仿宋" w:eastAsia="仿宋"/>
          <w:sz w:val="32"/>
          <w:szCs w:val="32"/>
        </w:rPr>
        <w:t>年</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经费财政拨款支出决算为</w:t>
      </w:r>
      <w:r>
        <w:rPr>
          <w:rFonts w:ascii="仿宋" w:hAnsi="仿宋" w:eastAsia="仿宋"/>
          <w:sz w:val="32"/>
          <w:szCs w:val="32"/>
        </w:rPr>
        <w:t>0</w:t>
      </w:r>
      <w:r>
        <w:rPr>
          <w:rFonts w:hint="eastAsia" w:ascii="仿宋" w:hAnsi="仿宋" w:eastAsia="仿宋"/>
          <w:sz w:val="32"/>
          <w:szCs w:val="32"/>
        </w:rPr>
        <w:t>万元，完成预算</w:t>
      </w:r>
      <w:r>
        <w:rPr>
          <w:rFonts w:ascii="仿宋" w:hAnsi="仿宋" w:eastAsia="仿宋"/>
          <w:sz w:val="32"/>
          <w:szCs w:val="32"/>
        </w:rPr>
        <w:t>0%</w:t>
      </w:r>
      <w:r>
        <w:rPr>
          <w:rFonts w:hint="eastAsia" w:ascii="仿宋" w:hAnsi="仿宋" w:eastAsia="仿宋"/>
          <w:sz w:val="32"/>
          <w:szCs w:val="32"/>
        </w:rPr>
        <w:t>；与上年度持平。决算数小于预算数的主要原因是严格执行接待制度。</w:t>
      </w:r>
    </w:p>
    <w:p>
      <w:pPr>
        <w:spacing w:line="600" w:lineRule="exact"/>
        <w:ind w:firstLine="640"/>
        <w:outlineLvl w:val="2"/>
        <w:rPr>
          <w:rFonts w:ascii="仿宋" w:hAnsi="仿宋" w:eastAsia="仿宋"/>
          <w:b/>
          <w:sz w:val="32"/>
          <w:szCs w:val="32"/>
        </w:rPr>
      </w:pPr>
      <w:bookmarkStart w:id="23" w:name="_Toc15377217"/>
      <w:r>
        <w:rPr>
          <w:rFonts w:hint="eastAsia" w:ascii="仿宋" w:hAnsi="仿宋" w:eastAsia="仿宋"/>
          <w:b/>
          <w:sz w:val="32"/>
          <w:szCs w:val="32"/>
        </w:rPr>
        <w:t>（二）“三公”经费财政拨款支出决算具体情况说明</w:t>
      </w:r>
      <w:bookmarkEnd w:id="2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22年“三公”经费财政拨款支出决算中，因公出国（境）费支出决算0万元；公务用车购置及运行维护费支出决算0万元；公务接待费支出决算0万元。具体情况如下：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21年持平（</w:t>
      </w:r>
      <w:r>
        <w:rPr>
          <w:rStyle w:val="14"/>
          <w:rFonts w:hint="eastAsia" w:ascii="仿宋" w:hAnsi="仿宋" w:eastAsia="仿宋"/>
          <w:b w:val="0"/>
          <w:bCs/>
          <w:sz w:val="32"/>
          <w:szCs w:val="32"/>
        </w:rPr>
        <w:t>质安站无公务用车）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0万元。全年按规定更新购置公务用车0辆，其中：轿车0辆、金额0万元，越野车0辆、金额0万元，载客汽车0辆、金额0万元，主要用于公务用车购置。截至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0万元。主要用于</w:t>
      </w:r>
      <w:r>
        <w:rPr>
          <w:rFonts w:hint="eastAsia" w:ascii="仿宋_GB2312" w:eastAsia="仿宋_GB2312"/>
          <w:sz w:val="32"/>
          <w:szCs w:val="32"/>
          <w:lang w:eastAsia="zh-CN"/>
        </w:rPr>
        <w:t>仁和区辖区内建设工程检查</w:t>
      </w:r>
      <w:r>
        <w:rPr>
          <w:rFonts w:hint="eastAsia" w:ascii="仿宋_GB2312" w:eastAsia="仿宋_GB2312"/>
          <w:sz w:val="32"/>
          <w:szCs w:val="32"/>
        </w:rPr>
        <w:t>等所需的公务用车燃料费、维修费、过路过桥费、保险费等支出。</w:t>
      </w:r>
    </w:p>
    <w:p>
      <w:pPr>
        <w:spacing w:line="60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outlineLvl w:val="1"/>
        <w:rPr>
          <w:rStyle w:val="25"/>
          <w:rFonts w:ascii="黑体" w:hAnsi="黑体" w:eastAsia="黑体"/>
        </w:rPr>
      </w:pPr>
      <w:bookmarkStart w:id="24" w:name="_Toc15396610"/>
      <w:bookmarkStart w:id="25" w:name="_Toc15377218"/>
      <w:r>
        <w:rPr>
          <w:rFonts w:hint="eastAsia" w:ascii="黑体" w:eastAsia="黑体"/>
          <w:sz w:val="32"/>
          <w:szCs w:val="32"/>
        </w:rPr>
        <w:t>八、</w:t>
      </w:r>
      <w:r>
        <w:rPr>
          <w:rStyle w:val="25"/>
          <w:rFonts w:hint="eastAsia" w:ascii="黑体" w:hAnsi="黑体" w:eastAsia="黑体"/>
          <w:b w:val="0"/>
        </w:rPr>
        <w:t>政府性基金预算支出决算情况说明</w:t>
      </w:r>
      <w:bookmarkEnd w:id="24"/>
      <w:bookmarkEnd w:id="2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2"/>
        </w:numPr>
        <w:spacing w:line="600" w:lineRule="exact"/>
        <w:ind w:firstLine="640"/>
        <w:outlineLvl w:val="1"/>
        <w:rPr>
          <w:rStyle w:val="25"/>
          <w:rFonts w:ascii="黑体" w:hAnsi="黑体" w:eastAsia="黑体"/>
          <w:b w:val="0"/>
        </w:rPr>
      </w:pPr>
      <w:bookmarkStart w:id="26" w:name="_Toc15377219"/>
      <w:bookmarkStart w:id="27" w:name="_Toc15396611"/>
      <w:r>
        <w:rPr>
          <w:rStyle w:val="25"/>
          <w:rFonts w:hint="eastAsia" w:ascii="黑体" w:hAnsi="黑体" w:eastAsia="黑体"/>
          <w:b w:val="0"/>
        </w:rPr>
        <w:t>国有资本经营预算支出决算情况说明</w:t>
      </w:r>
      <w:bookmarkEnd w:id="26"/>
      <w:bookmarkEnd w:id="2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28" w:name="_Toc15396612"/>
      <w:bookmarkStart w:id="29" w:name="_Toc15377221"/>
      <w:r>
        <w:rPr>
          <w:rStyle w:val="25"/>
          <w:rFonts w:hint="eastAsia" w:ascii="黑体" w:hAnsi="黑体" w:eastAsia="黑体"/>
          <w:b w:val="0"/>
        </w:rPr>
        <w:t>其他重要事项的情况说明</w:t>
      </w:r>
      <w:bookmarkEnd w:id="28"/>
      <w:bookmarkEnd w:id="29"/>
    </w:p>
    <w:p>
      <w:pPr>
        <w:spacing w:line="600" w:lineRule="exact"/>
        <w:ind w:firstLine="643" w:firstLineChars="200"/>
        <w:outlineLvl w:val="2"/>
        <w:rPr>
          <w:rFonts w:ascii="仿宋" w:hAnsi="仿宋" w:eastAsia="仿宋"/>
          <w:sz w:val="32"/>
          <w:szCs w:val="32"/>
        </w:rPr>
      </w:pPr>
      <w:bookmarkStart w:id="30" w:name="_Toc15377222"/>
      <w:r>
        <w:rPr>
          <w:rFonts w:hint="eastAsia" w:ascii="仿宋" w:hAnsi="仿宋" w:eastAsia="仿宋"/>
          <w:b/>
          <w:sz w:val="32"/>
          <w:szCs w:val="32"/>
        </w:rPr>
        <w:t>（一）机关运行经费支出情况</w:t>
      </w:r>
      <w:bookmarkEnd w:id="30"/>
    </w:p>
    <w:p>
      <w:pPr>
        <w:spacing w:line="600" w:lineRule="exact"/>
        <w:ind w:firstLine="640" w:firstLineChars="200"/>
        <w:rPr>
          <w:rFonts w:ascii="仿宋_GB2312" w:eastAsia="仿宋_GB2312"/>
          <w:color w:val="000000"/>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仁和区建设工程质量安全站政补助的事业单位，无机关运行经费。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31" w:name="_Toc15377223"/>
      <w:r>
        <w:rPr>
          <w:rFonts w:hint="eastAsia" w:ascii="仿宋" w:hAnsi="仿宋" w:eastAsia="仿宋"/>
          <w:b/>
          <w:sz w:val="32"/>
          <w:szCs w:val="32"/>
        </w:rPr>
        <w:t>（二）政府采购支出情况</w:t>
      </w:r>
      <w:bookmarkEnd w:id="3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仁和区建设工程质量安全站未发生政府采购支出</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32" w:name="_Toc15377224"/>
      <w:r>
        <w:rPr>
          <w:rFonts w:hint="eastAsia" w:ascii="仿宋" w:hAnsi="仿宋" w:eastAsia="仿宋"/>
          <w:b/>
          <w:sz w:val="32"/>
          <w:szCs w:val="32"/>
        </w:rPr>
        <w:t>（三）国有资产占有使用情况</w:t>
      </w:r>
      <w:bookmarkEnd w:id="3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仁和区建设工程质量安全站</w:t>
      </w:r>
      <w:r>
        <w:rPr>
          <w:rFonts w:hint="eastAsia" w:ascii="仿宋_GB2312" w:eastAsia="仿宋_GB2312"/>
          <w:sz w:val="32"/>
          <w:szCs w:val="32"/>
        </w:rPr>
        <w:t>共有车辆0辆。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项目为连续项目，且预算金额未超过50万元，不需要进行预算事前绩效评估，对1个项目编制了绩效目标，预算执行过程中，选取1个项目开展绩效监控，因区财政资金调度原因，该项目已收回，未进行绩效评价。</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33" w:name="_Toc15377225"/>
      <w:bookmarkStart w:id="34" w:name="_Toc15396613"/>
      <w:r>
        <w:rPr>
          <w:rFonts w:hint="eastAsia" w:ascii="黑体" w:hAnsi="黑体" w:eastAsia="黑体"/>
          <w:sz w:val="44"/>
          <w:szCs w:val="44"/>
        </w:rPr>
        <w:t>名</w:t>
      </w:r>
      <w:r>
        <w:rPr>
          <w:rStyle w:val="24"/>
          <w:rFonts w:hint="eastAsia" w:ascii="黑体" w:hAnsi="黑体" w:eastAsia="黑体"/>
          <w:b w:val="0"/>
        </w:rPr>
        <w:t>词解释</w:t>
      </w:r>
      <w:bookmarkEnd w:id="33"/>
      <w:bookmarkEnd w:id="34"/>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color w:val="000000"/>
          <w:sz w:val="32"/>
          <w:szCs w:val="32"/>
        </w:rPr>
        <w:t xml:space="preserve"> 社会保障和就业（类）行政事业单位养老支出（款）事业单位离退休（项）：反映事业单位开支的离退休经费。</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color w:val="000000"/>
          <w:sz w:val="32"/>
          <w:szCs w:val="32"/>
        </w:rPr>
        <w:t xml:space="preserve"> 社会保障和就业（类）行政事业单位养老支出（款）机关事业单位基本养老保险缴费支出（项）：反映机关事业单位实施养老保险制度由单位缴纳的基本养老保险费支出。</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color w:val="000000"/>
          <w:sz w:val="32"/>
          <w:szCs w:val="32"/>
        </w:rPr>
        <w:t xml:space="preserve"> 医疗卫生与计划生育（类）行政事业单位医疗（款）事业单位医疗（项）：指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color w:val="000000"/>
          <w:sz w:val="32"/>
          <w:szCs w:val="32"/>
        </w:rPr>
        <w:t xml:space="preserve"> 医疗卫生与计划生育（类）行政事业单位医疗（款）事业单位医疗公务员医疗补助（项）：指财政部门安排的公务员医疗补助经费。</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color w:val="000000"/>
          <w:sz w:val="32"/>
          <w:szCs w:val="32"/>
        </w:rPr>
        <w:t xml:space="preserve"> 城乡社区（类）城乡社区管理事务（款）其他城乡社区管理事务支出（项）：指除行政运行、一般行政管理事务、机关服务、城管执法、工程建设标准规范编制与监管、工程建设管理、市政公用行业市场监管、住宅建设与房地产市场监管、资格注册、资质审查等项目以外其他用于城乡社区管理事务方面的支出。</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color w:val="000000"/>
          <w:sz w:val="32"/>
          <w:szCs w:val="32"/>
        </w:rPr>
        <w:t xml:space="preserve"> 住房保障支出（类）住房改革支出（款）住房公积金（项）：反映行政事业单位按人力资源和社</w:t>
      </w:r>
      <w:r>
        <w:rPr>
          <w:rFonts w:hint="eastAsia" w:ascii="仿宋_GB2312" w:eastAsia="仿宋_GB2312"/>
          <w:color w:val="000000"/>
          <w:sz w:val="32"/>
          <w:szCs w:val="32"/>
          <w:lang w:eastAsia="zh-CN"/>
        </w:rPr>
        <w:t>会</w:t>
      </w:r>
      <w:r>
        <w:rPr>
          <w:rFonts w:hint="eastAsia" w:ascii="仿宋_GB2312" w:eastAsia="仿宋_GB2312"/>
          <w:color w:val="000000"/>
          <w:sz w:val="32"/>
          <w:szCs w:val="32"/>
        </w:rPr>
        <w:t>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 xml:space="preserve"> “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35" w:name="_Toc15377226"/>
      <w:r>
        <w:rPr>
          <w:rFonts w:ascii="宋体"/>
          <w:b/>
          <w:sz w:val="44"/>
          <w:szCs w:val="44"/>
        </w:rPr>
        <w:br w:type="page"/>
      </w:r>
      <w:bookmarkStart w:id="36" w:name="_Toc15396614"/>
      <w:r>
        <w:rPr>
          <w:rFonts w:hint="eastAsia" w:ascii="黑体" w:hAnsi="黑体" w:eastAsia="黑体"/>
          <w:sz w:val="44"/>
          <w:szCs w:val="44"/>
        </w:rPr>
        <w:t>第</w:t>
      </w:r>
      <w:r>
        <w:rPr>
          <w:rStyle w:val="24"/>
          <w:rFonts w:hint="eastAsia" w:ascii="黑体" w:hAnsi="黑体" w:eastAsia="黑体"/>
          <w:b w:val="0"/>
        </w:rPr>
        <w:t>四部分 附件</w:t>
      </w:r>
      <w:bookmarkEnd w:id="36"/>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37" w:name="_Toc15396618"/>
    </w:p>
    <w:p>
      <w:pPr>
        <w:spacing w:line="600" w:lineRule="exact"/>
        <w:jc w:val="left"/>
        <w:outlineLvl w:val="0"/>
        <w:rPr>
          <w:rFonts w:ascii="仿宋_GB2312" w:hAnsi="Calibri" w:eastAsia="仿宋_GB2312" w:cs="仿宋"/>
          <w:kern w:val="0"/>
          <w:sz w:val="32"/>
          <w:szCs w:val="32"/>
        </w:rPr>
      </w:pPr>
    </w:p>
    <w:p>
      <w:pPr>
        <w:spacing w:line="600" w:lineRule="exact"/>
        <w:ind w:firstLine="640" w:firstLineChars="200"/>
        <w:jc w:val="left"/>
        <w:outlineLvl w:val="0"/>
        <w:rPr>
          <w:rFonts w:ascii="仿宋_GB2312" w:hAnsi="Calibri" w:eastAsia="仿宋_GB2312" w:cs="仿宋"/>
          <w:kern w:val="0"/>
          <w:sz w:val="32"/>
          <w:szCs w:val="32"/>
        </w:rPr>
      </w:pPr>
      <w:r>
        <w:rPr>
          <w:rFonts w:hint="eastAsia" w:ascii="仿宋_GB2312" w:hAnsi="Calibri" w:eastAsia="仿宋_GB2312" w:cs="仿宋"/>
          <w:kern w:val="0"/>
          <w:sz w:val="32"/>
          <w:szCs w:val="32"/>
        </w:rPr>
        <w:t>2022年无项目。</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int="eastAsia" w:hAnsi="Calibri" w:cs="仿宋"/>
          <w:sz w:val="32"/>
          <w:szCs w:val="32"/>
        </w:rPr>
      </w:pPr>
    </w:p>
    <w:p>
      <w:pPr>
        <w:pStyle w:val="2"/>
        <w:spacing w:before="93"/>
        <w:rPr>
          <w:rFonts w:hint="eastAsia" w:hAnsi="Calibri" w:cs="仿宋"/>
          <w:sz w:val="32"/>
          <w:szCs w:val="32"/>
        </w:rPr>
      </w:pPr>
    </w:p>
    <w:p>
      <w:pPr>
        <w:pStyle w:val="2"/>
        <w:spacing w:before="93"/>
        <w:rPr>
          <w:rFonts w:hint="eastAsia" w:hAnsi="Calibri" w:cs="仿宋"/>
          <w:sz w:val="32"/>
          <w:szCs w:val="32"/>
        </w:rPr>
      </w:pPr>
    </w:p>
    <w:p>
      <w:pPr>
        <w:pStyle w:val="2"/>
        <w:spacing w:before="93"/>
        <w:rPr>
          <w:rFonts w:hint="eastAsia"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35"/>
      <w:bookmarkEnd w:id="37"/>
      <w:bookmarkStart w:id="38"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38"/>
    </w:p>
    <w:p>
      <w:pPr>
        <w:pStyle w:val="4"/>
        <w:rPr>
          <w:rFonts w:ascii="仿宋" w:hAnsi="仿宋" w:eastAsia="仿宋"/>
        </w:rPr>
      </w:pPr>
      <w:bookmarkStart w:id="39" w:name="_Toc15396620"/>
      <w:r>
        <w:rPr>
          <w:rFonts w:hint="eastAsia" w:ascii="仿宋" w:hAnsi="仿宋" w:eastAsia="仿宋"/>
          <w:b w:val="0"/>
        </w:rPr>
        <w:t>二、收</w:t>
      </w:r>
      <w:r>
        <w:rPr>
          <w:rStyle w:val="25"/>
          <w:rFonts w:hint="eastAsia" w:ascii="仿宋" w:hAnsi="仿宋" w:eastAsia="仿宋"/>
          <w:b w:val="0"/>
          <w:bCs w:val="0"/>
        </w:rPr>
        <w:t>入决算表</w:t>
      </w:r>
      <w:bookmarkEnd w:id="39"/>
    </w:p>
    <w:p>
      <w:pPr>
        <w:pStyle w:val="4"/>
        <w:rPr>
          <w:rFonts w:ascii="仿宋" w:hAnsi="仿宋" w:eastAsia="仿宋"/>
        </w:rPr>
      </w:pPr>
      <w:bookmarkStart w:id="40"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40"/>
    </w:p>
    <w:p>
      <w:pPr>
        <w:pStyle w:val="4"/>
        <w:rPr>
          <w:rFonts w:ascii="仿宋" w:hAnsi="仿宋" w:eastAsia="仿宋"/>
          <w:b w:val="0"/>
        </w:rPr>
      </w:pPr>
      <w:bookmarkStart w:id="41"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41"/>
    </w:p>
    <w:p>
      <w:pPr>
        <w:pStyle w:val="4"/>
        <w:rPr>
          <w:rStyle w:val="25"/>
          <w:rFonts w:ascii="仿宋" w:hAnsi="仿宋" w:eastAsia="仿宋"/>
          <w:b w:val="0"/>
          <w:bCs w:val="0"/>
        </w:rPr>
      </w:pPr>
      <w:bookmarkStart w:id="42"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42"/>
      <w:bookmarkStart w:id="43"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43"/>
    </w:p>
    <w:p>
      <w:pPr>
        <w:pStyle w:val="4"/>
        <w:rPr>
          <w:rFonts w:ascii="仿宋" w:hAnsi="仿宋" w:eastAsia="仿宋"/>
        </w:rPr>
      </w:pPr>
      <w:bookmarkStart w:id="44"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44"/>
    </w:p>
    <w:p>
      <w:pPr>
        <w:pStyle w:val="4"/>
        <w:rPr>
          <w:rFonts w:ascii="仿宋" w:hAnsi="仿宋" w:eastAsia="仿宋"/>
        </w:rPr>
      </w:pPr>
      <w:bookmarkStart w:id="45"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45"/>
    </w:p>
    <w:p>
      <w:pPr>
        <w:pStyle w:val="4"/>
        <w:rPr>
          <w:rFonts w:ascii="仿宋" w:hAnsi="仿宋" w:eastAsia="仿宋"/>
        </w:rPr>
      </w:pPr>
      <w:bookmarkStart w:id="46"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46"/>
    </w:p>
    <w:p>
      <w:pPr>
        <w:pStyle w:val="4"/>
        <w:rPr>
          <w:rFonts w:ascii="仿宋" w:hAnsi="仿宋" w:eastAsia="仿宋"/>
        </w:rPr>
      </w:pPr>
      <w:bookmarkStart w:id="47" w:name="_Toc15396628"/>
      <w:r>
        <w:rPr>
          <w:rStyle w:val="25"/>
          <w:rFonts w:hint="eastAsia" w:ascii="仿宋" w:hAnsi="仿宋" w:eastAsia="仿宋"/>
          <w:b w:val="0"/>
          <w:bCs w:val="0"/>
        </w:rPr>
        <w:t>十、</w:t>
      </w:r>
      <w:bookmarkEnd w:id="47"/>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48" w:name="_Toc15396629"/>
      <w:r>
        <w:rPr>
          <w:rStyle w:val="25"/>
          <w:rFonts w:hint="eastAsia" w:ascii="仿宋" w:hAnsi="仿宋" w:eastAsia="仿宋"/>
          <w:b w:val="0"/>
          <w:bCs w:val="0"/>
        </w:rPr>
        <w:t>十一、</w:t>
      </w:r>
      <w:bookmarkEnd w:id="48"/>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49" w:name="_Toc15396630"/>
      <w:r>
        <w:rPr>
          <w:rStyle w:val="25"/>
          <w:rFonts w:hint="eastAsia" w:ascii="仿宋" w:hAnsi="仿宋" w:eastAsia="仿宋"/>
          <w:b w:val="0"/>
          <w:bCs w:val="0"/>
        </w:rPr>
        <w:t>十二、</w:t>
      </w:r>
      <w:bookmarkEnd w:id="49"/>
      <w:r>
        <w:rPr>
          <w:rStyle w:val="25"/>
          <w:rFonts w:hint="eastAsia" w:ascii="仿宋" w:hAnsi="仿宋" w:eastAsia="仿宋"/>
          <w:b w:val="0"/>
          <w:bCs w:val="0"/>
        </w:rPr>
        <w:t>国有资本经营预算财政拨款支出决算表</w:t>
      </w:r>
    </w:p>
    <w:p>
      <w:pPr>
        <w:pStyle w:val="4"/>
        <w:rPr>
          <w:rFonts w:eastAsia="仿宋"/>
        </w:rPr>
      </w:pPr>
      <w:bookmarkStart w:id="50" w:name="_Toc15396631"/>
      <w:r>
        <w:rPr>
          <w:rStyle w:val="25"/>
          <w:rFonts w:hint="eastAsia" w:ascii="仿宋" w:hAnsi="仿宋" w:eastAsia="仿宋"/>
          <w:b w:val="0"/>
          <w:bCs w:val="0"/>
        </w:rPr>
        <w:t>十三、</w:t>
      </w:r>
      <w:bookmarkEnd w:id="50"/>
      <w:r>
        <w:rPr>
          <w:rStyle w:val="25"/>
          <w:rFonts w:hint="eastAsia" w:ascii="仿宋" w:hAnsi="仿宋" w:eastAsia="仿宋"/>
          <w:b w:val="0"/>
          <w:bCs w:val="0"/>
        </w:rPr>
        <w:t>财政拨款“三公”经费支出决算表</w:t>
      </w:r>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11203"/>
      <w:showingPlcHdr/>
    </w:sdtPr>
    <w:sdtContent>
      <w:p>
        <w:pPr>
          <w:pStyle w:val="8"/>
          <w:jc w:val="center"/>
        </w:pPr>
        <w: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sdt>
      <w:sdtPr>
        <w:id w:val="32811203"/>
        <w:showingPlcHdr/>
      </w:sdtPr>
      <w:sdtContent>
        <w:r>
          <w:t xml:space="preserve">     </w:t>
        </w:r>
      </w:sdtContent>
    </w:sdt>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70BC"/>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1B44"/>
    <w:rsid w:val="004223DE"/>
    <w:rsid w:val="00434489"/>
    <w:rsid w:val="00437085"/>
    <w:rsid w:val="00443880"/>
    <w:rsid w:val="004464F4"/>
    <w:rsid w:val="00471401"/>
    <w:rsid w:val="00473F31"/>
    <w:rsid w:val="0048263A"/>
    <w:rsid w:val="00487E5D"/>
    <w:rsid w:val="004923A3"/>
    <w:rsid w:val="004A711F"/>
    <w:rsid w:val="004B199D"/>
    <w:rsid w:val="004B4690"/>
    <w:rsid w:val="004E0A2D"/>
    <w:rsid w:val="004E206B"/>
    <w:rsid w:val="004E6DF7"/>
    <w:rsid w:val="004F0FBD"/>
    <w:rsid w:val="00505A47"/>
    <w:rsid w:val="00512FDA"/>
    <w:rsid w:val="00520DA0"/>
    <w:rsid w:val="005470F2"/>
    <w:rsid w:val="005664BB"/>
    <w:rsid w:val="00566FFA"/>
    <w:rsid w:val="0057481D"/>
    <w:rsid w:val="0058486E"/>
    <w:rsid w:val="00585B33"/>
    <w:rsid w:val="0059014D"/>
    <w:rsid w:val="005936F2"/>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2DF8"/>
    <w:rsid w:val="007416B6"/>
    <w:rsid w:val="00746F48"/>
    <w:rsid w:val="0075404D"/>
    <w:rsid w:val="0076182A"/>
    <w:rsid w:val="00767B7E"/>
    <w:rsid w:val="007770C3"/>
    <w:rsid w:val="00777BE9"/>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27F80"/>
    <w:rsid w:val="0083706E"/>
    <w:rsid w:val="008408F6"/>
    <w:rsid w:val="008423A5"/>
    <w:rsid w:val="00850625"/>
    <w:rsid w:val="00853718"/>
    <w:rsid w:val="00855221"/>
    <w:rsid w:val="00860645"/>
    <w:rsid w:val="00871F71"/>
    <w:rsid w:val="00872FD8"/>
    <w:rsid w:val="00885AF4"/>
    <w:rsid w:val="008939CD"/>
    <w:rsid w:val="008B768C"/>
    <w:rsid w:val="008C27A1"/>
    <w:rsid w:val="008C4DB1"/>
    <w:rsid w:val="008C4EAF"/>
    <w:rsid w:val="008C5176"/>
    <w:rsid w:val="008C7FD0"/>
    <w:rsid w:val="008E1DE7"/>
    <w:rsid w:val="008E6EE4"/>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8B6"/>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68AC"/>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3ED7"/>
    <w:rsid w:val="00D34E7C"/>
    <w:rsid w:val="00D35489"/>
    <w:rsid w:val="00D36AFE"/>
    <w:rsid w:val="00D50267"/>
    <w:rsid w:val="00D51276"/>
    <w:rsid w:val="00D7035F"/>
    <w:rsid w:val="00DA387E"/>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543D"/>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313"/>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0D5709"/>
    <w:rsid w:val="053A62B5"/>
    <w:rsid w:val="0A2032A3"/>
    <w:rsid w:val="0B8A37D8"/>
    <w:rsid w:val="0ECB15ED"/>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5CDF1616"/>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8.png"/><Relationship Id="rId22" Type="http://schemas.openxmlformats.org/officeDocument/2006/relationships/oleObject" Target="embeddings/oleObject8.bin"/><Relationship Id="rId21" Type="http://schemas.openxmlformats.org/officeDocument/2006/relationships/image" Target="media/image7.png"/><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oleObject" Target="embeddings/oleObject6.bin"/><Relationship Id="rId17" Type="http://schemas.openxmlformats.org/officeDocument/2006/relationships/image" Target="media/image5.png"/><Relationship Id="rId16" Type="http://schemas.openxmlformats.org/officeDocument/2006/relationships/oleObject" Target="embeddings/oleObject5.bin"/><Relationship Id="rId15" Type="http://schemas.openxmlformats.org/officeDocument/2006/relationships/image" Target="media/image4.png"/><Relationship Id="rId14" Type="http://schemas.openxmlformats.org/officeDocument/2006/relationships/oleObject" Target="embeddings/oleObject4.bin"/><Relationship Id="rId13" Type="http://schemas.openxmlformats.org/officeDocument/2006/relationships/image" Target="media/image3.png"/><Relationship Id="rId12" Type="http://schemas.openxmlformats.org/officeDocument/2006/relationships/oleObject" Target="embeddings/oleObject3.bin"/><Relationship Id="rId11" Type="http://schemas.openxmlformats.org/officeDocument/2006/relationships/image" Target="media/image2.png"/><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1A493-668D-44E2-A79D-4F9BDE53166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16</Pages>
  <Words>762</Words>
  <Characters>4348</Characters>
  <Lines>36</Lines>
  <Paragraphs>10</Paragraphs>
  <TotalTime>3</TotalTime>
  <ScaleCrop>false</ScaleCrop>
  <LinksUpToDate>false</LinksUpToDate>
  <CharactersWithSpaces>5100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2024-04-30T02:43:46Z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95C7B6DDB8FF466FA3CE188F1D03E525</vt:lpwstr>
  </property>
</Properties>
</file>