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56"/>
          <w:szCs w:val="5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36"/>
          <w:sz w:val="56"/>
          <w:szCs w:val="56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微软雅黑" w:hAnsi="微软雅黑" w:eastAsia="微软雅黑" w:cs="宋体"/>
          <w:color w:val="000000" w:themeColor="text1"/>
          <w:kern w:val="36"/>
          <w:sz w:val="56"/>
          <w:szCs w:val="56"/>
          <w:lang w:eastAsia="zh-CN"/>
          <w14:textFill>
            <w14:solidFill>
              <w14:schemeClr w14:val="tx1"/>
            </w14:solidFill>
          </w14:textFill>
        </w:rPr>
        <w:t>务本乡卫生院</w:t>
      </w:r>
    </w:p>
    <w:p>
      <w:pPr>
        <w:widowControl/>
        <w:shd w:val="clear" w:color="auto" w:fill="FFFFFF"/>
        <w:spacing w:before="525" w:after="375"/>
        <w:jc w:val="center"/>
        <w:outlineLvl w:val="0"/>
        <w:rPr>
          <w:rFonts w:ascii="微软雅黑" w:hAnsi="微软雅黑" w:eastAsia="微软雅黑" w:cs="宋体"/>
          <w:color w:val="000000" w:themeColor="text1"/>
          <w:kern w:val="36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36"/>
          <w:sz w:val="56"/>
          <w:szCs w:val="56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微软雅黑" w:hAnsi="微软雅黑" w:eastAsia="微软雅黑" w:cs="宋体"/>
          <w:color w:val="000000" w:themeColor="text1"/>
          <w:kern w:val="36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宋体"/>
          <w:color w:val="000000" w:themeColor="text1"/>
          <w:kern w:val="36"/>
          <w:sz w:val="56"/>
          <w:szCs w:val="56"/>
          <w14:textFill>
            <w14:solidFill>
              <w14:schemeClr w14:val="tx1"/>
            </w14:solidFill>
          </w14:textFill>
        </w:rPr>
        <w:t>年部门预算编制的说明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目录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公开时间：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2024年3月8日</w:t>
      </w:r>
    </w:p>
    <w:p>
      <w:pPr>
        <w:pStyle w:val="18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 w:val="44"/>
          <w:szCs w:val="44"/>
        </w:rPr>
        <w:fldChar w:fldCharType="begin"/>
      </w:r>
      <w:r>
        <w:rPr>
          <w:rFonts w:eastAsia="方正小标宋简体"/>
          <w:color w:val="auto"/>
          <w:sz w:val="44"/>
          <w:szCs w:val="44"/>
        </w:rPr>
        <w:instrText xml:space="preserve">TOC \o "1-3" \h \u </w:instrText>
      </w:r>
      <w:r>
        <w:rPr>
          <w:rFonts w:eastAsia="方正小标宋简体"/>
          <w:color w:val="auto"/>
          <w:sz w:val="44"/>
          <w:szCs w:val="44"/>
        </w:rPr>
        <w:fldChar w:fldCharType="separate"/>
      </w:r>
    </w:p>
    <w:p>
      <w:pPr>
        <w:pStyle w:val="18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_Toc28650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eastAsia="黑体"/>
          <w:color w:val="auto"/>
          <w:szCs w:val="32"/>
        </w:rPr>
        <w:t>一、基本职能及主要工作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_Toc28650 \h </w:instrText>
      </w:r>
      <w:r>
        <w:rPr>
          <w:color w:val="auto"/>
        </w:rPr>
        <w:fldChar w:fldCharType="separate"/>
      </w:r>
      <w:r>
        <w:rPr>
          <w:color w:val="auto"/>
        </w:rPr>
        <w:t>3</w:t>
      </w:r>
      <w:r>
        <w:rPr>
          <w:color w:val="auto"/>
        </w:rPr>
        <w:fldChar w:fldCharType="end"/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_Toc26953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ascii="Times New Roman"/>
          <w:bCs/>
          <w:color w:val="auto"/>
          <w:szCs w:val="32"/>
        </w:rPr>
        <w:t>（一）</w:t>
      </w:r>
      <w:r>
        <w:rPr>
          <w:rFonts w:hint="eastAsia" w:ascii="仿宋" w:hAnsi="仿宋" w:eastAsia="仿宋" w:cs="仿宋"/>
          <w:bCs/>
          <w:color w:val="auto"/>
          <w:szCs w:val="32"/>
        </w:rPr>
        <w:t>职能简介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3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_Toc12420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ascii="仿宋" w:hAnsi="仿宋" w:eastAsia="仿宋" w:cs="仿宋"/>
          <w:bCs/>
          <w:color w:val="auto"/>
          <w:szCs w:val="32"/>
        </w:rPr>
        <w:t>（二）202</w:t>
      </w:r>
      <w:r>
        <w:rPr>
          <w:rFonts w:hint="eastAsia" w:ascii="仿宋" w:hAnsi="仿宋" w:eastAsia="仿宋" w:cs="仿宋"/>
          <w:bCs/>
          <w:color w:val="auto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Cs w:val="32"/>
        </w:rPr>
        <w:t>年重点工作任务介绍。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4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8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_Toc2365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eastAsia="黑体"/>
          <w:color w:val="auto"/>
          <w:szCs w:val="32"/>
        </w:rPr>
        <w:t>二、基本情况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5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_Toc23171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Cs w:val="32"/>
          <w:lang w:eastAsia="zh-CN"/>
        </w:rPr>
        <w:t>（一）单位构成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5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_Toc24650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Cs w:val="32"/>
          <w:lang w:val="en-US" w:eastAsia="zh-CN"/>
        </w:rPr>
        <w:t>(二）</w:t>
      </w:r>
      <w:r>
        <w:rPr>
          <w:rFonts w:hint="eastAsia" w:ascii="Times New Roman" w:hAnsi="Times New Roman" w:eastAsia="仿宋_GB2312" w:cs="Times New Roman"/>
          <w:color w:val="auto"/>
          <w:szCs w:val="32"/>
          <w:lang w:eastAsia="zh-CN"/>
        </w:rPr>
        <w:t>单位人员编制、实有人数情况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5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_Toc32346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Cs w:val="32"/>
          <w:lang w:eastAsia="zh-CN"/>
        </w:rPr>
        <w:t>（三）</w:t>
      </w:r>
      <w:r>
        <w:rPr>
          <w:rFonts w:hint="eastAsia" w:eastAsia="仿宋_GB2312" w:cs="Times New Roman"/>
          <w:color w:val="auto"/>
          <w:szCs w:val="32"/>
          <w:lang w:eastAsia="zh-CN"/>
        </w:rPr>
        <w:t>固定资产情况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5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8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_Toc368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eastAsia="黑体"/>
          <w:color w:val="auto"/>
          <w:szCs w:val="32"/>
        </w:rPr>
        <w:t>三、收支预算总体情况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6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_Toc24083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ascii="楷体_GB2312" w:eastAsia="楷体_GB2312"/>
          <w:color w:val="auto"/>
          <w:kern w:val="0"/>
          <w:szCs w:val="32"/>
        </w:rPr>
        <w:t>（一）收入预算情况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6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_Toc23914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ascii="楷体_GB2312" w:eastAsia="楷体_GB2312"/>
          <w:color w:val="auto"/>
          <w:kern w:val="0"/>
          <w:szCs w:val="32"/>
        </w:rPr>
        <w:t>（二）支出预算情况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_Toc23914 \h </w:instrText>
      </w:r>
      <w:r>
        <w:rPr>
          <w:color w:val="auto"/>
        </w:rPr>
        <w:fldChar w:fldCharType="separate"/>
      </w:r>
      <w:r>
        <w:rPr>
          <w:color w:val="auto"/>
        </w:rPr>
        <w:t>7</w:t>
      </w:r>
      <w:r>
        <w:rPr>
          <w:color w:val="auto"/>
        </w:rPr>
        <w:fldChar w:fldCharType="end"/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8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_Toc2770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Ansi="黑体" w:eastAsia="黑体"/>
          <w:color w:val="auto"/>
          <w:szCs w:val="32"/>
        </w:rPr>
        <w:t>四、一般公共预算当年拨款情况说明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8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_Toc32451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ascii="楷体_GB2312" w:hAnsi="黑体" w:eastAsia="楷体_GB2312"/>
          <w:color w:val="auto"/>
          <w:szCs w:val="32"/>
        </w:rPr>
        <w:t>（一）一般公共预算当年拨款规模变化情况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_Toc32451 \h </w:instrText>
      </w:r>
      <w:r>
        <w:rPr>
          <w:color w:val="auto"/>
        </w:rPr>
        <w:fldChar w:fldCharType="separate"/>
      </w:r>
      <w:r>
        <w:rPr>
          <w:color w:val="auto"/>
        </w:rPr>
        <w:t>8</w:t>
      </w:r>
      <w:r>
        <w:rPr>
          <w:color w:val="auto"/>
        </w:rPr>
        <w:fldChar w:fldCharType="end"/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_Toc29477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ascii="楷体_GB2312" w:hAnsi="黑体" w:eastAsia="楷体_GB2312"/>
          <w:color w:val="auto"/>
          <w:szCs w:val="32"/>
        </w:rPr>
        <w:t>（二）一般公共预算当年拨款结构情况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_Toc29477 \h </w:instrText>
      </w:r>
      <w:r>
        <w:rPr>
          <w:color w:val="auto"/>
        </w:rPr>
        <w:fldChar w:fldCharType="separate"/>
      </w:r>
      <w:r>
        <w:rPr>
          <w:color w:val="auto"/>
        </w:rPr>
        <w:t>8</w:t>
      </w:r>
      <w:r>
        <w:rPr>
          <w:color w:val="auto"/>
        </w:rPr>
        <w:fldChar w:fldCharType="end"/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8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_Toc5972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Ansi="黑体" w:eastAsia="黑体"/>
          <w:color w:val="auto"/>
          <w:szCs w:val="32"/>
        </w:rPr>
        <w:t>五、一般公共预算基本支出情况说明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_Toc5972 \h </w:instrText>
      </w:r>
      <w:r>
        <w:rPr>
          <w:color w:val="auto"/>
        </w:rPr>
        <w:fldChar w:fldCharType="separate"/>
      </w:r>
      <w:r>
        <w:rPr>
          <w:color w:val="auto"/>
        </w:rPr>
        <w:t>8</w:t>
      </w:r>
      <w:r>
        <w:rPr>
          <w:color w:val="auto"/>
        </w:rPr>
        <w:fldChar w:fldCharType="end"/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8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_Toc4344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Ansi="黑体" w:eastAsia="黑体"/>
          <w:color w:val="auto"/>
          <w:szCs w:val="32"/>
        </w:rPr>
        <w:t>六、</w:t>
      </w:r>
      <w:r>
        <w:rPr>
          <w:rFonts w:eastAsia="黑体"/>
          <w:color w:val="auto"/>
          <w:szCs w:val="32"/>
        </w:rPr>
        <w:t>“</w:t>
      </w:r>
      <w:r>
        <w:rPr>
          <w:rFonts w:hAnsi="黑体" w:eastAsia="黑体"/>
          <w:color w:val="auto"/>
          <w:szCs w:val="32"/>
        </w:rPr>
        <w:t>三公</w:t>
      </w:r>
      <w:r>
        <w:rPr>
          <w:rFonts w:eastAsia="黑体"/>
          <w:color w:val="auto"/>
          <w:szCs w:val="32"/>
        </w:rPr>
        <w:t>”</w:t>
      </w:r>
      <w:r>
        <w:rPr>
          <w:rFonts w:hAnsi="黑体" w:eastAsia="黑体"/>
          <w:color w:val="auto"/>
          <w:szCs w:val="32"/>
        </w:rPr>
        <w:t>经费财政拨款预算安排情况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_Toc4344 \h </w:instrText>
      </w:r>
      <w:r>
        <w:rPr>
          <w:color w:val="auto"/>
        </w:rPr>
        <w:fldChar w:fldCharType="separate"/>
      </w:r>
      <w:r>
        <w:rPr>
          <w:color w:val="auto"/>
        </w:rPr>
        <w:t>9</w:t>
      </w:r>
      <w:r>
        <w:rPr>
          <w:color w:val="auto"/>
        </w:rPr>
        <w:fldChar w:fldCharType="end"/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_Toc29415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eastAsia="楷体_GB2312"/>
          <w:color w:val="auto"/>
          <w:szCs w:val="32"/>
        </w:rPr>
        <w:t>（一）因公出国（境）经费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_Toc29415 \h </w:instrText>
      </w:r>
      <w:r>
        <w:rPr>
          <w:color w:val="auto"/>
        </w:rPr>
        <w:fldChar w:fldCharType="separate"/>
      </w:r>
      <w:r>
        <w:rPr>
          <w:color w:val="auto"/>
        </w:rPr>
        <w:t>9</w:t>
      </w:r>
      <w:r>
        <w:rPr>
          <w:color w:val="auto"/>
        </w:rPr>
        <w:fldChar w:fldCharType="end"/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_Toc7222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eastAsia="楷体_GB2312"/>
          <w:color w:val="auto"/>
          <w:szCs w:val="32"/>
        </w:rPr>
        <w:t>（二）公务接待费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_Toc7222 \h </w:instrText>
      </w:r>
      <w:r>
        <w:rPr>
          <w:color w:val="auto"/>
        </w:rPr>
        <w:fldChar w:fldCharType="separate"/>
      </w:r>
      <w:r>
        <w:rPr>
          <w:color w:val="auto"/>
        </w:rPr>
        <w:t>9</w:t>
      </w:r>
      <w:r>
        <w:rPr>
          <w:color w:val="auto"/>
        </w:rPr>
        <w:fldChar w:fldCharType="end"/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_Toc16350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eastAsia="楷体_GB2312"/>
          <w:color w:val="auto"/>
          <w:szCs w:val="32"/>
        </w:rPr>
        <w:t>（三）公务用车购置及运行维护费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_Toc16350 \h </w:instrText>
      </w:r>
      <w:r>
        <w:rPr>
          <w:color w:val="auto"/>
        </w:rPr>
        <w:fldChar w:fldCharType="separate"/>
      </w:r>
      <w:r>
        <w:rPr>
          <w:color w:val="auto"/>
        </w:rPr>
        <w:t>9</w:t>
      </w:r>
      <w:r>
        <w:rPr>
          <w:color w:val="auto"/>
        </w:rPr>
        <w:fldChar w:fldCharType="end"/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8"/>
        <w:tabs>
          <w:tab w:val="right" w:leader="dot" w:pos="8844"/>
        </w:tabs>
        <w:rPr>
          <w:rFonts w:eastAsia="方正小标宋简体"/>
          <w:color w:val="auto"/>
          <w:szCs w:val="44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_Toc3929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hAnsi="黑体" w:eastAsia="黑体"/>
          <w:color w:val="auto"/>
          <w:szCs w:val="32"/>
        </w:rPr>
        <w:t xml:space="preserve">七、 </w:t>
      </w:r>
      <w:r>
        <w:rPr>
          <w:rFonts w:hint="eastAsia" w:hAnsi="黑体" w:eastAsia="黑体"/>
          <w:color w:val="auto"/>
          <w:szCs w:val="32"/>
          <w:lang w:eastAsia="zh-CN"/>
        </w:rPr>
        <w:t>非财政拨款预算安排“三公”经费情况说明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_Toc3929 \h </w:instrText>
      </w:r>
      <w:r>
        <w:rPr>
          <w:color w:val="auto"/>
        </w:rPr>
        <w:fldChar w:fldCharType="separate"/>
      </w:r>
      <w:r>
        <w:rPr>
          <w:color w:val="auto"/>
        </w:rPr>
        <w:t>9</w:t>
      </w:r>
      <w:r>
        <w:rPr>
          <w:color w:val="auto"/>
        </w:rPr>
        <w:fldChar w:fldCharType="end"/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8"/>
        <w:tabs>
          <w:tab w:val="right" w:leader="dot" w:pos="8844"/>
        </w:tabs>
        <w:rPr>
          <w:rFonts w:hint="eastAsia" w:eastAsia="方正小标宋简体"/>
          <w:color w:val="auto"/>
          <w:szCs w:val="44"/>
          <w:lang w:val="en-US" w:eastAsia="zh-CN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_Toc26114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Ansi="黑体" w:eastAsia="黑体"/>
          <w:color w:val="auto"/>
          <w:szCs w:val="32"/>
        </w:rPr>
        <w:t>八、</w:t>
      </w:r>
      <w:r>
        <w:rPr>
          <w:rFonts w:hint="eastAsia" w:hAnsi="黑体" w:eastAsia="黑体"/>
          <w:color w:val="auto"/>
          <w:szCs w:val="32"/>
          <w:lang w:eastAsia="zh-CN"/>
        </w:rPr>
        <w:t>政府性基金预算支出情况说明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1</w:t>
      </w:r>
      <w:r>
        <w:rPr>
          <w:rFonts w:eastAsia="方正小标宋简体"/>
          <w:color w:val="auto"/>
          <w:szCs w:val="44"/>
        </w:rPr>
        <w:fldChar w:fldCharType="end"/>
      </w:r>
      <w:r>
        <w:rPr>
          <w:rFonts w:hint="eastAsia" w:eastAsia="方正小标宋简体"/>
          <w:color w:val="auto"/>
          <w:szCs w:val="44"/>
          <w:lang w:val="en-US" w:eastAsia="zh-CN"/>
        </w:rPr>
        <w:t>1</w:t>
      </w:r>
    </w:p>
    <w:p>
      <w:pPr>
        <w:pStyle w:val="18"/>
        <w:tabs>
          <w:tab w:val="right" w:leader="dot" w:pos="8844"/>
        </w:tabs>
        <w:rPr>
          <w:rFonts w:hint="eastAsia" w:eastAsia="方正小标宋简体"/>
          <w:color w:val="auto"/>
          <w:lang w:val="en-US" w:eastAsia="zh-CN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_Toc26114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hAnsi="黑体" w:eastAsia="黑体"/>
          <w:color w:val="auto"/>
          <w:szCs w:val="32"/>
          <w:lang w:eastAsia="zh-CN"/>
        </w:rPr>
        <w:t>九</w:t>
      </w:r>
      <w:r>
        <w:rPr>
          <w:rFonts w:hAnsi="黑体" w:eastAsia="黑体"/>
          <w:color w:val="auto"/>
          <w:szCs w:val="32"/>
        </w:rPr>
        <w:t>、国有资本经营预算支出情况说明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1</w:t>
      </w:r>
      <w:r>
        <w:rPr>
          <w:rFonts w:eastAsia="方正小标宋简体"/>
          <w:color w:val="auto"/>
          <w:szCs w:val="44"/>
        </w:rPr>
        <w:fldChar w:fldCharType="end"/>
      </w:r>
      <w:r>
        <w:rPr>
          <w:rFonts w:hint="eastAsia" w:eastAsia="方正小标宋简体"/>
          <w:color w:val="auto"/>
          <w:szCs w:val="44"/>
          <w:lang w:val="en-US" w:eastAsia="zh-CN"/>
        </w:rPr>
        <w:t>1</w:t>
      </w:r>
    </w:p>
    <w:p>
      <w:pPr>
        <w:pStyle w:val="18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_Toc30061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hAnsi="黑体" w:eastAsia="黑体"/>
          <w:color w:val="auto"/>
          <w:szCs w:val="32"/>
          <w:lang w:eastAsia="zh-CN"/>
        </w:rPr>
        <w:t>十</w:t>
      </w:r>
      <w:r>
        <w:rPr>
          <w:rFonts w:hAnsi="黑体" w:eastAsia="黑体"/>
          <w:color w:val="auto"/>
          <w:szCs w:val="32"/>
        </w:rPr>
        <w:t>、其他重要事项的情况说明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_Toc30061 \h </w:instrText>
      </w:r>
      <w:r>
        <w:rPr>
          <w:color w:val="auto"/>
        </w:rPr>
        <w:fldChar w:fldCharType="separate"/>
      </w:r>
      <w:r>
        <w:rPr>
          <w:color w:val="auto"/>
        </w:rPr>
        <w:t>1</w:t>
      </w:r>
      <w:r>
        <w:rPr>
          <w:rFonts w:hint="eastAsia"/>
          <w:color w:val="auto"/>
          <w:lang w:val="en-US" w:eastAsia="zh-CN"/>
        </w:rPr>
        <w:t>1</w:t>
      </w:r>
      <w:r>
        <w:rPr>
          <w:color w:val="auto"/>
        </w:rPr>
        <w:fldChar w:fldCharType="end"/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rFonts w:hint="eastAsia" w:eastAsia="方正小标宋简体"/>
          <w:color w:val="auto"/>
          <w:lang w:val="en-US" w:eastAsia="zh-CN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_Toc9452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ascii="楷体_GB2312" w:hAnsi="黑体" w:eastAsia="楷体_GB2312"/>
          <w:color w:val="auto"/>
          <w:szCs w:val="32"/>
        </w:rPr>
        <w:t>（一）业务运行经费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1</w:t>
      </w:r>
      <w:r>
        <w:rPr>
          <w:rFonts w:eastAsia="方正小标宋简体"/>
          <w:color w:val="auto"/>
          <w:szCs w:val="44"/>
        </w:rPr>
        <w:fldChar w:fldCharType="end"/>
      </w:r>
      <w:r>
        <w:rPr>
          <w:rFonts w:hint="eastAsia" w:eastAsia="方正小标宋简体"/>
          <w:color w:val="auto"/>
          <w:szCs w:val="44"/>
          <w:lang w:val="en-US" w:eastAsia="zh-CN"/>
        </w:rPr>
        <w:t>1</w:t>
      </w:r>
    </w:p>
    <w:p>
      <w:pPr>
        <w:pStyle w:val="19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方正小标宋简体"/>
          <w:color w:val="auto"/>
          <w:lang w:val="en-US" w:eastAsia="zh-CN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_Toc30045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ascii="楷体_GB2312" w:hAnsi="黑体" w:eastAsia="楷体_GB2312"/>
          <w:color w:val="auto"/>
          <w:szCs w:val="32"/>
        </w:rPr>
        <w:t>（二）国有资产占有使用情况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1</w:t>
      </w:r>
      <w:r>
        <w:rPr>
          <w:rFonts w:eastAsia="方正小标宋简体"/>
          <w:color w:val="auto"/>
          <w:szCs w:val="44"/>
        </w:rPr>
        <w:fldChar w:fldCharType="end"/>
      </w:r>
      <w:r>
        <w:rPr>
          <w:rFonts w:hint="eastAsia" w:eastAsia="方正小标宋简体"/>
          <w:color w:val="auto"/>
          <w:szCs w:val="44"/>
          <w:lang w:val="en-US" w:eastAsia="zh-CN"/>
        </w:rPr>
        <w:t>1</w:t>
      </w:r>
    </w:p>
    <w:p>
      <w:pPr>
        <w:pStyle w:val="19"/>
        <w:tabs>
          <w:tab w:val="right" w:leader="dot" w:pos="8844"/>
        </w:tabs>
        <w:rPr>
          <w:rFonts w:hint="eastAsia" w:eastAsia="方正小标宋简体"/>
          <w:color w:val="auto"/>
          <w:lang w:val="en-US" w:eastAsia="zh-CN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_Toc16045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ascii="楷体_GB2312" w:hAnsi="黑体" w:eastAsia="楷体_GB2312"/>
          <w:color w:val="auto"/>
          <w:szCs w:val="32"/>
        </w:rPr>
        <w:t>（三）政府采购情况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1</w:t>
      </w:r>
      <w:r>
        <w:rPr>
          <w:rFonts w:eastAsia="方正小标宋简体"/>
          <w:color w:val="auto"/>
          <w:szCs w:val="44"/>
        </w:rPr>
        <w:fldChar w:fldCharType="end"/>
      </w:r>
      <w:r>
        <w:rPr>
          <w:rFonts w:hint="eastAsia" w:eastAsia="方正小标宋简体"/>
          <w:color w:val="auto"/>
          <w:szCs w:val="44"/>
          <w:lang w:val="en-US" w:eastAsia="zh-CN"/>
        </w:rPr>
        <w:t>1</w:t>
      </w:r>
    </w:p>
    <w:p>
      <w:pPr>
        <w:pStyle w:val="19"/>
        <w:tabs>
          <w:tab w:val="right" w:leader="dot" w:pos="8844"/>
        </w:tabs>
        <w:rPr>
          <w:rFonts w:hint="eastAsia" w:eastAsia="方正小标宋简体"/>
          <w:color w:val="auto"/>
          <w:lang w:val="en-US" w:eastAsia="zh-CN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_Toc27782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ascii="楷体_GB2312" w:hAnsi="黑体" w:eastAsia="楷体_GB2312"/>
          <w:color w:val="auto"/>
          <w:szCs w:val="32"/>
        </w:rPr>
        <w:t>（四）绩效目标设置情况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1</w:t>
      </w:r>
      <w:r>
        <w:rPr>
          <w:rFonts w:eastAsia="方正小标宋简体"/>
          <w:color w:val="auto"/>
          <w:szCs w:val="44"/>
        </w:rPr>
        <w:fldChar w:fldCharType="end"/>
      </w:r>
      <w:r>
        <w:rPr>
          <w:rFonts w:hint="eastAsia" w:eastAsia="方正小标宋简体"/>
          <w:color w:val="auto"/>
          <w:szCs w:val="44"/>
          <w:lang w:val="en-US" w:eastAsia="zh-CN"/>
        </w:rPr>
        <w:t>2</w:t>
      </w: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auto"/>
          <w:szCs w:val="44"/>
        </w:rPr>
        <w:fldChar w:fldCharType="end"/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b/>
          <w:color w:val="FF0000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202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eastAsia="仿宋_GB2312"/>
          <w:bCs/>
          <w:sz w:val="32"/>
          <w:szCs w:val="32"/>
        </w:rPr>
        <w:t>年部门预算经区第十</w:t>
      </w:r>
      <w:r>
        <w:rPr>
          <w:rFonts w:hint="eastAsia" w:eastAsia="仿宋_GB2312"/>
          <w:bCs/>
          <w:sz w:val="32"/>
          <w:szCs w:val="32"/>
          <w:lang w:eastAsia="zh-CN"/>
        </w:rPr>
        <w:t>三</w:t>
      </w:r>
      <w:r>
        <w:rPr>
          <w:rFonts w:eastAsia="仿宋_GB2312"/>
          <w:bCs/>
          <w:sz w:val="32"/>
          <w:szCs w:val="32"/>
        </w:rPr>
        <w:t>届人民代表大会第</w:t>
      </w:r>
      <w:r>
        <w:rPr>
          <w:rFonts w:hint="eastAsia" w:eastAsia="仿宋_GB2312"/>
          <w:bCs/>
          <w:sz w:val="32"/>
          <w:szCs w:val="32"/>
          <w:lang w:eastAsia="zh-CN"/>
        </w:rPr>
        <w:t>四</w:t>
      </w:r>
      <w:r>
        <w:rPr>
          <w:rFonts w:eastAsia="仿宋_GB2312"/>
          <w:bCs/>
          <w:sz w:val="32"/>
          <w:szCs w:val="32"/>
        </w:rPr>
        <w:t>次会议审议通过，按照《预算法》</w:t>
      </w:r>
      <w:r>
        <w:rPr>
          <w:rFonts w:hint="eastAsia" w:eastAsia="仿宋_GB2312"/>
          <w:bCs/>
          <w:sz w:val="32"/>
          <w:szCs w:val="32"/>
        </w:rPr>
        <w:t>及《预算法实施条例》</w:t>
      </w:r>
      <w:r>
        <w:rPr>
          <w:rFonts w:eastAsia="仿宋_GB2312"/>
          <w:bCs/>
          <w:sz w:val="32"/>
          <w:szCs w:val="32"/>
        </w:rPr>
        <w:t>要求，现将我单位202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eastAsia="仿宋_GB2312"/>
          <w:bCs/>
          <w:sz w:val="32"/>
          <w:szCs w:val="32"/>
        </w:rPr>
        <w:t>年部门预算说明如下: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一、基本职能及主要工作</w:t>
      </w:r>
    </w:p>
    <w:p>
      <w:pPr>
        <w:widowControl/>
        <w:shd w:val="clear" w:color="auto" w:fill="FFFFFF"/>
        <w:spacing w:after="100" w:afterAutospacing="1" w:line="520" w:lineRule="atLeast"/>
        <w:ind w:firstLine="480" w:firstLineChars="15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（一）基本职能：为辖区内的居民提供基本医疗服务，做好疾病预防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传染病预防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计划免疫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慢性病的筛查和管理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精神病管理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妇女保健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儿童保健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老年保健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残疾康复训练指导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健康知识指导宣传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计划生育服务宣传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优生优育宣传。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提供基本医疗服务，开展农村常见病、多发病以及诊断明确的慢性非传染性疾病的诊疗、护理。全面建立覆盖全乡居民的基本医疗卫生服务制度，使全乡居民人人享有基本医疗保障，人人享有基本公共卫生服务，医疗卫生服务质量、服务效率和群众满意度显著提高，切实解决看病难问题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（2）基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本建立分工明确、信息互通、资源共享、协调互动的公共卫生服务体系，促进全乡居民享有均等化的基本公共卫生服务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基本建立规范有序、结构合理、覆盖全乡的医疗服务体系，为群众提供安全、有效、方便、价廉的基本医疗服务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tabs>
          <w:tab w:val="left" w:pos="892"/>
        </w:tabs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（4）贯彻落实国家基本药物制度，全面配备、使用基本药物；实行网上统一采购，实施基本药物零差价销售，统一配送的基本药物采购机制。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以国家基本药物制度为基础的药品器械供应保障体系进一步规范，确保基本药物安全有效、公平可及、合理使用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建立健全支撑卫生事业全面、协调、可持续发展的各项体制机制，有效保障医药卫生体系规范运行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我院将以热情、细致、扎实、认真的服务态度，努力探索仁和区阳光康养服务及老年人医养服务相结合的新模式，探索更好的服务方式，为辖区签约老年人服好务，进一步提高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医养工作服务质量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巩固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群众满意乡镇卫生院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，创建以人为本的卫生院文化，实现和谐的人文特色办院方向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培养一支留得住、用得上、满足群众健康需求、技术过硬的基础医疗卫生队伍。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配合医保中心做好医保报销工作。</w:t>
      </w:r>
    </w:p>
    <w:p>
      <w:pPr>
        <w:widowControl/>
        <w:shd w:val="clear" w:color="auto" w:fill="FFFFFF"/>
        <w:spacing w:before="93" w:after="100" w:afterAutospacing="1" w:line="560" w:lineRule="atLeast"/>
        <w:ind w:firstLine="320" w:firstLineChars="1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年重点工作任务介绍</w:t>
      </w:r>
    </w:p>
    <w:p>
      <w:pPr>
        <w:widowControl/>
        <w:shd w:val="clear" w:color="auto" w:fill="FFFFFF"/>
        <w:spacing w:after="100" w:afterAutospacing="1" w:line="520" w:lineRule="atLeast"/>
        <w:ind w:firstLine="672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1.基本医疗方面：加强医疗质量管理，保证医疗安全。争取门诊人次在202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上增加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住院人次在2023年基础上增加3%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after="100" w:afterAutospacing="1" w:line="520" w:lineRule="atLeast"/>
        <w:ind w:firstLine="672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2.基本公共卫生工作方面：着力做好基本公共卫生工作。严格执行疫情监测、报告制度，突发重点疾病防控及突发公共卫生事件处置和救灾防病工作。抓好重点人群管理工作。高血压管理率达90%、糖尿病管理率达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0%、老年人管理率达90%、孕产妇管理率达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0%、儿童管理率达9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二、基本情况</w:t>
      </w:r>
    </w:p>
    <w:p>
      <w:pPr>
        <w:widowControl/>
        <w:shd w:val="clear" w:color="auto" w:fill="FFFFFF"/>
        <w:spacing w:after="100" w:afterAutospacing="1" w:line="520" w:lineRule="atLeast"/>
        <w:ind w:firstLine="672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（一）、单位构成</w:t>
      </w:r>
    </w:p>
    <w:p>
      <w:pPr>
        <w:widowControl/>
        <w:shd w:val="clear" w:color="auto" w:fill="FFFFFF"/>
        <w:spacing w:after="100" w:afterAutospacing="1" w:line="520" w:lineRule="atLeast"/>
        <w:ind w:firstLine="672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年度部门预算编报的单位共1个。无下属二级单位。其中：行政单位0个，参照公务员法管理的事业单位0个，其他事业单位0个。属财政全额补助事业单位，主管部门攀枝花市仁和区卫生健康局。</w:t>
      </w:r>
    </w:p>
    <w:p>
      <w:pPr>
        <w:widowControl/>
        <w:shd w:val="clear" w:color="auto" w:fill="FFFFFF"/>
        <w:spacing w:after="100" w:afterAutospacing="1" w:line="520" w:lineRule="atLeast"/>
        <w:ind w:firstLine="672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（二）、单位人员编制、实有人数情况</w:t>
      </w:r>
    </w:p>
    <w:p>
      <w:pPr>
        <w:widowControl/>
        <w:shd w:val="clear" w:color="auto" w:fill="FFFFFF"/>
        <w:spacing w:after="100" w:afterAutospacing="1" w:line="520" w:lineRule="atLeast"/>
        <w:ind w:firstLine="672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我单位人员编制数1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人，实际在编1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人，实有人数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人（其中退休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人，聘用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人，正式在职1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人，借用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。内设机构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个（药房、检验、护理、全科医疗、公卫、母婴保健、预防接种、财务室、办公室）。 </w:t>
      </w:r>
    </w:p>
    <w:p>
      <w:pPr>
        <w:widowControl/>
        <w:shd w:val="clear" w:color="auto" w:fill="FFFFFF"/>
        <w:spacing w:after="100" w:afterAutospacing="1" w:line="520" w:lineRule="atLeast"/>
        <w:ind w:firstLine="672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固定资产情况</w:t>
      </w:r>
    </w:p>
    <w:p>
      <w:pPr>
        <w:widowControl/>
        <w:shd w:val="clear" w:color="auto" w:fill="FFFFFF"/>
        <w:spacing w:after="100" w:afterAutospacing="1" w:line="520" w:lineRule="atLeast"/>
        <w:ind w:firstLine="320" w:firstLineChars="1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卫生院房屋面积总面积约1540平米，其中现有业务用房面积 990平米，现设科室为：临床、护理、医技、公卫、城乡医保办等科室，固定资产总值达464.5万元，卫生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院现与四川大家医学检验公司合作共建化验室。</w:t>
      </w:r>
    </w:p>
    <w:p>
      <w:pPr>
        <w:widowControl/>
        <w:shd w:val="clear" w:color="auto" w:fill="FFFFFF"/>
        <w:spacing w:after="100" w:afterAutospacing="1" w:line="520" w:lineRule="atLeast"/>
        <w:ind w:firstLine="672"/>
        <w:jc w:val="left"/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我单位车辆编制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其中一般公务用车一辆，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车牌号：川D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60572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车辆类型为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轿车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基本公共卫生下队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入户、疫情防控等公卫工作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；救护车一辆，车牌号：川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DA5612，主要用于急重病人转运。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运行维护费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财政拨款预算安排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三、收支预算总体情况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按照综合预算的原则，攀枝花市仁和区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所有收入和支出均纳入部门预算管理。202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收入预算总额为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177.83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万元，其中：一般公共预算拨款收入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177.83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万元、政府性基金预算拨款收入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万元、国有资本经营预算拨款收入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万元、上年结转收入0万元、事业收入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万元、事业单位经营收入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0万元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；相应安排支出预算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177.83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万元，其中：</w:t>
      </w:r>
      <w:r>
        <w:rPr>
          <w:rFonts w:eastAsia="仿宋_GB2312"/>
          <w:color w:val="000000"/>
          <w:sz w:val="32"/>
          <w:szCs w:val="32"/>
        </w:rPr>
        <w:t>工资福利支出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171.33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万元，日常公用支出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eastAsia="仿宋_GB2312"/>
          <w:color w:val="000000"/>
          <w:sz w:val="32"/>
          <w:szCs w:val="32"/>
        </w:rPr>
        <w:t>对个人和家庭的补助支出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6.50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项目支出0万元。</w:t>
      </w:r>
    </w:p>
    <w:p>
      <w:pPr>
        <w:widowControl/>
        <w:shd w:val="clear" w:color="auto" w:fill="FFFFFF"/>
        <w:spacing w:before="255" w:after="255" w:line="560" w:lineRule="atLeast"/>
        <w:ind w:firstLine="643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（一）收入预算情况</w:t>
      </w:r>
    </w:p>
    <w:p>
      <w:pPr>
        <w:pStyle w:val="5"/>
        <w:shd w:val="clear" w:color="auto" w:fill="FFFFFF"/>
        <w:spacing w:before="255" w:beforeAutospacing="0" w:after="255" w:afterAutospacing="0"/>
        <w:ind w:firstLine="640" w:firstLineChars="200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年收入预算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177.83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中：本年一般公共预算拨款收入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177.83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；政府性基金预算拨款收入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；上年结转收入0万元,占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before="255" w:after="255" w:line="560" w:lineRule="atLeast"/>
        <w:ind w:firstLine="643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（二）支出预算情况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年支出预算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177.83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万元，其中：基本支出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177.83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；项目支出0万元，占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before="255" w:after="255" w:line="560" w:lineRule="atLeast"/>
        <w:ind w:firstLine="640" w:firstLineChars="200"/>
        <w:jc w:val="left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预算安排支出主要用于保障该部门机构正常运转、完成日常工作任务以及本单位承担的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基本公共卫生及基本医疗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widowControl/>
        <w:shd w:val="clear" w:color="auto" w:fill="FFFFFF"/>
        <w:spacing w:before="255" w:after="255" w:line="560" w:lineRule="atLeast"/>
        <w:ind w:firstLine="640" w:firstLineChars="200"/>
        <w:jc w:val="left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基本支出，是用于保障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正常运转的日常支出，包括基本工资、津贴补贴、离退休费、住房公积金和日常公用经费等。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项目支出，是用于保障攀枝花市仁和区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为完成特定的行政工作或事业发展目标，用于专项业务工作的经费支出。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按支出功能分类主要用于以下方面支出包括:</w:t>
      </w:r>
    </w:p>
    <w:p>
      <w:pPr>
        <w:widowControl/>
        <w:shd w:val="clear" w:color="auto" w:fill="FFFFFF"/>
        <w:spacing w:before="255" w:after="255" w:line="560" w:lineRule="atLeast"/>
        <w:ind w:left="1758" w:leftChars="304" w:hanging="1120" w:hangingChars="35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社会保障和就业支出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23.68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万元，主要用于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事业单位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离退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休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人员支出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和基本养老保险支出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before="255" w:after="255" w:line="520" w:lineRule="atLeast"/>
        <w:ind w:left="1598" w:leftChars="304" w:hanging="960" w:hangingChars="30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医疗卫生支出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134.51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万元，主要用于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卫生院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按照规定标准为职工缴纳的基本医疗保险及公务员医疗补助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、基本工资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等支出。</w:t>
      </w:r>
    </w:p>
    <w:p>
      <w:pPr>
        <w:widowControl/>
        <w:shd w:val="clear" w:color="auto" w:fill="FFFFFF"/>
        <w:spacing w:before="255" w:after="255" w:line="520" w:lineRule="atLeast"/>
        <w:ind w:left="1598" w:leftChars="304" w:hanging="960" w:hangingChars="300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住房保障支出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19.64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万元，用于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卫生院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按照规定标准为职工缴纳住房公积金等支出。</w:t>
      </w:r>
    </w:p>
    <w:p>
      <w:pPr>
        <w:widowControl/>
        <w:shd w:val="clear" w:color="auto" w:fill="FFFFFF"/>
        <w:spacing w:before="255" w:after="255" w:line="520" w:lineRule="atLeast"/>
        <w:ind w:left="1598" w:leftChars="380" w:hanging="800" w:hangingChars="25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四、一般公共预算当年拨款情况说明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（一）一般公共预算当年拨款规模变化情况</w:t>
      </w:r>
    </w:p>
    <w:p>
      <w:pPr>
        <w:pStyle w:val="5"/>
        <w:shd w:val="clear" w:color="auto" w:fill="FFFFFF"/>
        <w:spacing w:before="255" w:beforeAutospacing="0" w:after="255" w:afterAutospacing="0"/>
        <w:ind w:left="160" w:leftChars="76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年一般公共预算当年拨款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177.83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万元，比202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年预算数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增加16.53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万元，主要是202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我院调入在编职工1人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卫生健康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增加15.34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另外住房保障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社会保障和就业支出增加0.02万元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。  </w:t>
      </w:r>
    </w:p>
    <w:p>
      <w:pPr>
        <w:pStyle w:val="5"/>
        <w:shd w:val="clear" w:color="auto" w:fill="FFFFFF"/>
        <w:spacing w:before="255" w:beforeAutospacing="0" w:after="255" w:afterAutospacing="0"/>
        <w:ind w:firstLine="640" w:firstLineChars="200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（二）一般公共预算当年拨款结构情况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Arial" w:hAnsi="Arial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社会保障和就业支出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23.68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13.32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%,卫生健康支出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134.51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万元，占7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%,住房保障支出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19.64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万元，占1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1.04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五、一般公共预算基本支出情况说明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年一般公共预算基本支出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177.83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万元。其中：人员经费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171.33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万元，主要包括：基本工资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54.08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万元、津贴补贴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6.62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万元、绩效工资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52.26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万元、基本养老保险缴费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18.03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万元、基本医疗保险缴费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12.60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万元、公务员医疗补助缴费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2.16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万元、社会保险缴费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1.04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万元、住房公积金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19.64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医疗费4.90万元；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其他对个人和家庭的补助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6.50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widowControl/>
        <w:shd w:val="clear" w:color="auto" w:fill="FFFFFF"/>
        <w:spacing w:before="255" w:after="255"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公用经费0万元。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三公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经费财政拨款预算安排情况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年没有使用财政拨款安排“三公”经费预算。</w:t>
      </w:r>
    </w:p>
    <w:p>
      <w:pPr>
        <w:widowControl/>
        <w:shd w:val="clear" w:color="auto" w:fill="FFFFFF"/>
        <w:spacing w:before="255" w:after="255" w:line="560" w:lineRule="atLeast"/>
        <w:ind w:firstLine="63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（一）因公出国（境）经费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根据工作统一安排，202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年年初部门预算暂不编列因公出国（境）经费。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（二）公务接待费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务本卫生院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无公务接待费预算，与202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年预算持平。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（三）公务用车购置及运行维护费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务本卫生院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无公务用车购置及运行维护费预算，与202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年预算持平。</w:t>
      </w:r>
    </w:p>
    <w:p>
      <w:pPr>
        <w:suppressAutoHyphens/>
        <w:spacing w:line="580" w:lineRule="exact"/>
        <w:ind w:firstLine="640" w:firstLineChars="200"/>
        <w:outlineLvl w:val="1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七、非财政拨款预算安排“三公”经费情况说明</w:t>
      </w:r>
    </w:p>
    <w:p>
      <w:pPr>
        <w:suppressAutoHyphens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年非财政拨款“三公”经费预算数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万元，其中：公务接待费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万元，公务用车购置及运行维护费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万元。根据工作统一安排，202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年本级年初部门预算暂未编列非财政拨款安排的因公出国（境）经费。</w:t>
      </w:r>
    </w:p>
    <w:p>
      <w:pPr>
        <w:suppressAutoHyphens/>
        <w:spacing w:line="580" w:lineRule="exact"/>
        <w:ind w:firstLine="640"/>
        <w:rPr>
          <w:rFonts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（一）非财政拨款安排公务接待费情况说明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务本卫生院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无非财政拨款安排公务接待费预算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uppressAutoHyphens/>
        <w:spacing w:line="580" w:lineRule="exact"/>
        <w:ind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（二）非财政拨款安排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公务用车购置及运行维护费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情况说明</w:t>
      </w:r>
    </w:p>
    <w:p>
      <w:pPr>
        <w:suppressAutoHyphens/>
        <w:spacing w:line="580" w:lineRule="exact"/>
        <w:ind w:firstLine="640"/>
        <w:rPr>
          <w:rFonts w:ascii="Times New Roman" w:hAnsi="Times New Roman" w:eastAsia="黑体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非财政拨款安排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公务用车购置及运行维护费较202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年预算持平。主要原因是</w:t>
      </w:r>
      <w:r>
        <w:rPr>
          <w:rFonts w:hint="eastAsia"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务本卫生院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公务用车购置及运行维护费由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卫生院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收入自行承担，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主要用于车辆运行及维护，经费预算与2023年持平。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单位现有公务用车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辆，其中：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轿车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，救护车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。主要保障标本运送、艾滋病患者采血配送、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基本公共卫生下队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入户、疫情防控应急等公卫工作开展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，救护车主要用于急重病人转运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uppressAutoHyphens/>
        <w:spacing w:line="580" w:lineRule="exact"/>
        <w:ind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非财政拨款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公务用车购置费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非财政拨款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公务用车运行维护费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before="255" w:after="255" w:line="560" w:lineRule="atLeast"/>
        <w:ind w:firstLine="640" w:firstLineChars="20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八、政府性基金预算支出情况说明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无政府性基金预算拨款安排的支出。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九、国有资本经营预算支出情况说明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仿宋_GB2312" w:hAnsi="Times New Roman" w:eastAsia="仿宋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bCs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ascii="Times New Roman" w:hAnsi="Times New Roman" w:eastAsia="宋体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年无国有资本经营预算拨款安排的支出。</w:t>
      </w:r>
    </w:p>
    <w:p>
      <w:pPr>
        <w:widowControl/>
        <w:shd w:val="clear" w:color="auto" w:fill="FFFFFF"/>
        <w:spacing w:before="255" w:after="255" w:line="560" w:lineRule="atLeast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十、其他重要事项的情况说明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（一）业务运行经费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年，攀枝花市仁和区</w:t>
      </w:r>
      <w:r>
        <w:rPr>
          <w:rFonts w:hint="eastAsia" w:ascii="仿宋_GB2312" w:hAnsi="Arial" w:eastAsia="仿宋_GB2312" w:cs="Arial"/>
          <w:bCs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hint="eastAsia" w:ascii="仿宋_GB2312" w:hAnsi="Arial" w:eastAsia="仿宋_GB2312" w:cs="Arial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业务运行经费支出。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（二）国有资产占有使用情况</w:t>
      </w:r>
    </w:p>
    <w:p>
      <w:pPr>
        <w:widowControl/>
        <w:shd w:val="clear" w:color="auto" w:fill="FFFFFF"/>
        <w:spacing w:after="100" w:afterAutospacing="1" w:line="520" w:lineRule="atLeast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年底，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bCs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共有车辆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辆，其中，执法执勤用车0辆，单位价值200万元以上大型设备0台。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（三）政府采购情况</w:t>
      </w:r>
    </w:p>
    <w:p>
      <w:pPr>
        <w:pStyle w:val="5"/>
        <w:shd w:val="clear" w:color="auto" w:fill="FFFFFF"/>
        <w:spacing w:before="255" w:beforeAutospacing="0" w:after="255" w:afterAutospacing="0"/>
        <w:ind w:firstLine="800" w:firstLineChars="250"/>
        <w:rPr>
          <w:rFonts w:ascii="Arial" w:hAnsi="Arial" w:eastAsia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年，攀枝花市仁和区</w:t>
      </w:r>
      <w:r>
        <w:rPr>
          <w:rFonts w:hint="eastAsia" w:ascii="仿宋_GB2312" w:hAnsi="Arial" w:eastAsia="仿宋_GB2312" w:cs="Arial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hint="eastAsia" w:ascii="仿宋_GB2312" w:hAnsi="Times New Roman" w:eastAsia="仿宋_GB2312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安排政府采购预算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。主要用于办公设备采购、办公设备维修维护。采购设备为台式电脑、打印</w:t>
      </w:r>
      <w:r>
        <w:rPr>
          <w:rStyle w:val="8"/>
          <w:rFonts w:hint="eastAsia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机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（四）预算绩效情况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开展绩效目标管理的项目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个，涉及预算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177.83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万元。其中：人员类项目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个，涉及预算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177.83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；运转类项目0个，涉及预算0万元；特定目标类项目0个，涉及预算0万元。</w:t>
      </w:r>
    </w:p>
    <w:p>
      <w:pPr>
        <w:spacing w:line="560" w:lineRule="exact"/>
        <w:ind w:left="1918" w:leftChars="304" w:hanging="1280" w:hangingChars="400"/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附件：1.仁和区202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务本乡卫生院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预算公开表</w:t>
      </w:r>
    </w:p>
    <w:p>
      <w:pPr>
        <w:numPr>
          <w:ilvl w:val="0"/>
          <w:numId w:val="0"/>
        </w:numPr>
        <w:spacing w:line="560" w:lineRule="exact"/>
        <w:ind w:firstLine="1600" w:firstLineChars="500"/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2.部门预算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名词解释</w:t>
      </w:r>
    </w:p>
    <w:p>
      <w:pPr>
        <w:spacing w:line="560" w:lineRule="exact"/>
        <w:ind w:left="1916" w:leftChars="760" w:hanging="320" w:hangingChars="100"/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3.2024年仁和区务本乡卫生院预算绩效目标申报表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Y2E2ZjNkYzYyZjZjZmI5OGFlNzI1NTU5ZGFmNmYifQ=="/>
  </w:docVars>
  <w:rsids>
    <w:rsidRoot w:val="00945B70"/>
    <w:rsid w:val="00007B79"/>
    <w:rsid w:val="0001638E"/>
    <w:rsid w:val="00054133"/>
    <w:rsid w:val="00057B85"/>
    <w:rsid w:val="00064D94"/>
    <w:rsid w:val="000660FA"/>
    <w:rsid w:val="0007213D"/>
    <w:rsid w:val="00081EE5"/>
    <w:rsid w:val="00082831"/>
    <w:rsid w:val="0008473E"/>
    <w:rsid w:val="00093E6E"/>
    <w:rsid w:val="000A25EA"/>
    <w:rsid w:val="000A65D5"/>
    <w:rsid w:val="000B1119"/>
    <w:rsid w:val="000D7F86"/>
    <w:rsid w:val="000E2767"/>
    <w:rsid w:val="000E58D7"/>
    <w:rsid w:val="000F3B9D"/>
    <w:rsid w:val="00116954"/>
    <w:rsid w:val="00117E9D"/>
    <w:rsid w:val="00120422"/>
    <w:rsid w:val="00123C0D"/>
    <w:rsid w:val="00132BE0"/>
    <w:rsid w:val="001331C3"/>
    <w:rsid w:val="001370E8"/>
    <w:rsid w:val="00145933"/>
    <w:rsid w:val="00151445"/>
    <w:rsid w:val="00152182"/>
    <w:rsid w:val="001552BD"/>
    <w:rsid w:val="00163735"/>
    <w:rsid w:val="00166033"/>
    <w:rsid w:val="001847B0"/>
    <w:rsid w:val="00192390"/>
    <w:rsid w:val="001C030D"/>
    <w:rsid w:val="001E3B88"/>
    <w:rsid w:val="001F1B5A"/>
    <w:rsid w:val="001F6047"/>
    <w:rsid w:val="00235F75"/>
    <w:rsid w:val="0025140B"/>
    <w:rsid w:val="0026139E"/>
    <w:rsid w:val="0026211C"/>
    <w:rsid w:val="0028090F"/>
    <w:rsid w:val="002950AF"/>
    <w:rsid w:val="0029548B"/>
    <w:rsid w:val="002B2478"/>
    <w:rsid w:val="002C4760"/>
    <w:rsid w:val="002C5AC2"/>
    <w:rsid w:val="002D0BB1"/>
    <w:rsid w:val="002D5F66"/>
    <w:rsid w:val="002E18DF"/>
    <w:rsid w:val="002F3902"/>
    <w:rsid w:val="0031012F"/>
    <w:rsid w:val="003209CA"/>
    <w:rsid w:val="00325D6A"/>
    <w:rsid w:val="00326849"/>
    <w:rsid w:val="00331BA1"/>
    <w:rsid w:val="003475D7"/>
    <w:rsid w:val="0035086B"/>
    <w:rsid w:val="00357821"/>
    <w:rsid w:val="00361304"/>
    <w:rsid w:val="0036773C"/>
    <w:rsid w:val="00367F14"/>
    <w:rsid w:val="00375AB2"/>
    <w:rsid w:val="00387DFB"/>
    <w:rsid w:val="00394AA9"/>
    <w:rsid w:val="0039704A"/>
    <w:rsid w:val="003B0F1E"/>
    <w:rsid w:val="003C18B4"/>
    <w:rsid w:val="003C5BE3"/>
    <w:rsid w:val="003D4960"/>
    <w:rsid w:val="003F5745"/>
    <w:rsid w:val="003F5F87"/>
    <w:rsid w:val="003F6F1A"/>
    <w:rsid w:val="003F7E7B"/>
    <w:rsid w:val="0040064F"/>
    <w:rsid w:val="004071CC"/>
    <w:rsid w:val="00411E98"/>
    <w:rsid w:val="004268F2"/>
    <w:rsid w:val="00436209"/>
    <w:rsid w:val="00437C55"/>
    <w:rsid w:val="004603F3"/>
    <w:rsid w:val="00472F6A"/>
    <w:rsid w:val="00480D97"/>
    <w:rsid w:val="004845B1"/>
    <w:rsid w:val="004A5EF3"/>
    <w:rsid w:val="004B4648"/>
    <w:rsid w:val="004C7EA8"/>
    <w:rsid w:val="004D5BF3"/>
    <w:rsid w:val="004E22E6"/>
    <w:rsid w:val="004E6273"/>
    <w:rsid w:val="004F490B"/>
    <w:rsid w:val="00514F9C"/>
    <w:rsid w:val="00516CAC"/>
    <w:rsid w:val="00560698"/>
    <w:rsid w:val="005710E5"/>
    <w:rsid w:val="005748E0"/>
    <w:rsid w:val="005A77D7"/>
    <w:rsid w:val="005D1D67"/>
    <w:rsid w:val="005E71A7"/>
    <w:rsid w:val="005F54D7"/>
    <w:rsid w:val="005F554D"/>
    <w:rsid w:val="00604727"/>
    <w:rsid w:val="00605B0F"/>
    <w:rsid w:val="00622239"/>
    <w:rsid w:val="00634953"/>
    <w:rsid w:val="00654E88"/>
    <w:rsid w:val="00656E64"/>
    <w:rsid w:val="00671B95"/>
    <w:rsid w:val="00674A0B"/>
    <w:rsid w:val="00684108"/>
    <w:rsid w:val="00687670"/>
    <w:rsid w:val="006933A2"/>
    <w:rsid w:val="006B4BD0"/>
    <w:rsid w:val="006B4DC2"/>
    <w:rsid w:val="006C40F7"/>
    <w:rsid w:val="006D1B1C"/>
    <w:rsid w:val="006D3B52"/>
    <w:rsid w:val="006F27F3"/>
    <w:rsid w:val="0070320B"/>
    <w:rsid w:val="00705090"/>
    <w:rsid w:val="007066BD"/>
    <w:rsid w:val="00710394"/>
    <w:rsid w:val="007124BA"/>
    <w:rsid w:val="007152DB"/>
    <w:rsid w:val="0072462E"/>
    <w:rsid w:val="00725D8F"/>
    <w:rsid w:val="00733979"/>
    <w:rsid w:val="00746828"/>
    <w:rsid w:val="007476F1"/>
    <w:rsid w:val="00750461"/>
    <w:rsid w:val="00764AEA"/>
    <w:rsid w:val="00774810"/>
    <w:rsid w:val="007853EC"/>
    <w:rsid w:val="00791B42"/>
    <w:rsid w:val="007A05DD"/>
    <w:rsid w:val="007A09D6"/>
    <w:rsid w:val="007C471E"/>
    <w:rsid w:val="007C587E"/>
    <w:rsid w:val="007D2833"/>
    <w:rsid w:val="007D561C"/>
    <w:rsid w:val="007D616B"/>
    <w:rsid w:val="007D7646"/>
    <w:rsid w:val="007F199D"/>
    <w:rsid w:val="007F3103"/>
    <w:rsid w:val="007F4013"/>
    <w:rsid w:val="00801718"/>
    <w:rsid w:val="00802DB9"/>
    <w:rsid w:val="00804A6B"/>
    <w:rsid w:val="0082215A"/>
    <w:rsid w:val="00830EFF"/>
    <w:rsid w:val="008346B4"/>
    <w:rsid w:val="00835FA5"/>
    <w:rsid w:val="0084187F"/>
    <w:rsid w:val="00842A9E"/>
    <w:rsid w:val="00843175"/>
    <w:rsid w:val="00843A75"/>
    <w:rsid w:val="00847F0D"/>
    <w:rsid w:val="00864B9F"/>
    <w:rsid w:val="008753FD"/>
    <w:rsid w:val="00897370"/>
    <w:rsid w:val="008B00FC"/>
    <w:rsid w:val="008B39CF"/>
    <w:rsid w:val="008B3F81"/>
    <w:rsid w:val="008D5199"/>
    <w:rsid w:val="008D61BA"/>
    <w:rsid w:val="008D6BC3"/>
    <w:rsid w:val="008D7AE6"/>
    <w:rsid w:val="008F0D8F"/>
    <w:rsid w:val="008F63FA"/>
    <w:rsid w:val="009109FB"/>
    <w:rsid w:val="00916369"/>
    <w:rsid w:val="00923CFD"/>
    <w:rsid w:val="0093452D"/>
    <w:rsid w:val="00945B70"/>
    <w:rsid w:val="0094744A"/>
    <w:rsid w:val="00951B3E"/>
    <w:rsid w:val="00954F92"/>
    <w:rsid w:val="00961C37"/>
    <w:rsid w:val="00973248"/>
    <w:rsid w:val="009A489F"/>
    <w:rsid w:val="009B751F"/>
    <w:rsid w:val="009C5345"/>
    <w:rsid w:val="009D0D69"/>
    <w:rsid w:val="009D254B"/>
    <w:rsid w:val="009D2F12"/>
    <w:rsid w:val="009D36A1"/>
    <w:rsid w:val="00A11F19"/>
    <w:rsid w:val="00A272D4"/>
    <w:rsid w:val="00A3084A"/>
    <w:rsid w:val="00A34177"/>
    <w:rsid w:val="00A474BB"/>
    <w:rsid w:val="00A5351F"/>
    <w:rsid w:val="00A60AED"/>
    <w:rsid w:val="00A65DDE"/>
    <w:rsid w:val="00A75BA1"/>
    <w:rsid w:val="00A87EFB"/>
    <w:rsid w:val="00A97173"/>
    <w:rsid w:val="00AB25C1"/>
    <w:rsid w:val="00AC1EB9"/>
    <w:rsid w:val="00AF1543"/>
    <w:rsid w:val="00AF45A7"/>
    <w:rsid w:val="00AF71DE"/>
    <w:rsid w:val="00B024EF"/>
    <w:rsid w:val="00B22B21"/>
    <w:rsid w:val="00B3768D"/>
    <w:rsid w:val="00B500A7"/>
    <w:rsid w:val="00B54CFF"/>
    <w:rsid w:val="00B61CAD"/>
    <w:rsid w:val="00B63745"/>
    <w:rsid w:val="00B64151"/>
    <w:rsid w:val="00B65C1A"/>
    <w:rsid w:val="00B66776"/>
    <w:rsid w:val="00B72F30"/>
    <w:rsid w:val="00B80E2D"/>
    <w:rsid w:val="00B863EC"/>
    <w:rsid w:val="00B9518E"/>
    <w:rsid w:val="00BA25EE"/>
    <w:rsid w:val="00BB3607"/>
    <w:rsid w:val="00BB5D8B"/>
    <w:rsid w:val="00BB604F"/>
    <w:rsid w:val="00BB738E"/>
    <w:rsid w:val="00BC2994"/>
    <w:rsid w:val="00BE17BB"/>
    <w:rsid w:val="00BE5112"/>
    <w:rsid w:val="00BE7778"/>
    <w:rsid w:val="00BF0EEE"/>
    <w:rsid w:val="00C04818"/>
    <w:rsid w:val="00C07A70"/>
    <w:rsid w:val="00C10280"/>
    <w:rsid w:val="00C24F6F"/>
    <w:rsid w:val="00C32338"/>
    <w:rsid w:val="00C4508A"/>
    <w:rsid w:val="00C4710B"/>
    <w:rsid w:val="00C56313"/>
    <w:rsid w:val="00C76404"/>
    <w:rsid w:val="00C83464"/>
    <w:rsid w:val="00C8640F"/>
    <w:rsid w:val="00C9005A"/>
    <w:rsid w:val="00CE1A96"/>
    <w:rsid w:val="00D00ABA"/>
    <w:rsid w:val="00D22D51"/>
    <w:rsid w:val="00D23E2F"/>
    <w:rsid w:val="00D241E1"/>
    <w:rsid w:val="00D34AE6"/>
    <w:rsid w:val="00D52800"/>
    <w:rsid w:val="00D63FDB"/>
    <w:rsid w:val="00D66748"/>
    <w:rsid w:val="00D755F6"/>
    <w:rsid w:val="00D909B9"/>
    <w:rsid w:val="00DA5CA3"/>
    <w:rsid w:val="00DB3C21"/>
    <w:rsid w:val="00DC27F9"/>
    <w:rsid w:val="00DD01C6"/>
    <w:rsid w:val="00DD6FC5"/>
    <w:rsid w:val="00DE1482"/>
    <w:rsid w:val="00DF4C9F"/>
    <w:rsid w:val="00E0201C"/>
    <w:rsid w:val="00E07F3C"/>
    <w:rsid w:val="00E2050E"/>
    <w:rsid w:val="00E24A00"/>
    <w:rsid w:val="00E40D5D"/>
    <w:rsid w:val="00E425E3"/>
    <w:rsid w:val="00E54435"/>
    <w:rsid w:val="00E67E28"/>
    <w:rsid w:val="00E847A1"/>
    <w:rsid w:val="00E84B6F"/>
    <w:rsid w:val="00E94C33"/>
    <w:rsid w:val="00E964FF"/>
    <w:rsid w:val="00EA3D3B"/>
    <w:rsid w:val="00EC48F0"/>
    <w:rsid w:val="00EC4E18"/>
    <w:rsid w:val="00ED35B4"/>
    <w:rsid w:val="00ED664D"/>
    <w:rsid w:val="00EE0C17"/>
    <w:rsid w:val="00EE363D"/>
    <w:rsid w:val="00EE6310"/>
    <w:rsid w:val="00EF1964"/>
    <w:rsid w:val="00EF2375"/>
    <w:rsid w:val="00EF3308"/>
    <w:rsid w:val="00EF5BAF"/>
    <w:rsid w:val="00F047B4"/>
    <w:rsid w:val="00F16557"/>
    <w:rsid w:val="00F2407B"/>
    <w:rsid w:val="00F346E5"/>
    <w:rsid w:val="00F6680B"/>
    <w:rsid w:val="00F679A7"/>
    <w:rsid w:val="00F72326"/>
    <w:rsid w:val="00F75A76"/>
    <w:rsid w:val="00F85BE0"/>
    <w:rsid w:val="00F92012"/>
    <w:rsid w:val="00F93E0B"/>
    <w:rsid w:val="00FA618F"/>
    <w:rsid w:val="00FB6925"/>
    <w:rsid w:val="00FB6BE3"/>
    <w:rsid w:val="00FF33CE"/>
    <w:rsid w:val="07CD1026"/>
    <w:rsid w:val="0C864DB3"/>
    <w:rsid w:val="10EC1DDE"/>
    <w:rsid w:val="191A25BE"/>
    <w:rsid w:val="19266BF2"/>
    <w:rsid w:val="3EC0080E"/>
    <w:rsid w:val="47F32C35"/>
    <w:rsid w:val="4821398E"/>
    <w:rsid w:val="4A381178"/>
    <w:rsid w:val="576F0815"/>
    <w:rsid w:val="596A316E"/>
    <w:rsid w:val="6A691D33"/>
    <w:rsid w:val="77B81F01"/>
    <w:rsid w:val="7A45680F"/>
    <w:rsid w:val="7C0C6AF1"/>
    <w:rsid w:val="7CEA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explai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big"/>
    <w:basedOn w:val="7"/>
    <w:qFormat/>
    <w:uiPriority w:val="0"/>
  </w:style>
  <w:style w:type="character" w:customStyle="1" w:styleId="13">
    <w:name w:val="middle"/>
    <w:basedOn w:val="7"/>
    <w:qFormat/>
    <w:uiPriority w:val="0"/>
  </w:style>
  <w:style w:type="character" w:customStyle="1" w:styleId="14">
    <w:name w:val="small"/>
    <w:basedOn w:val="7"/>
    <w:qFormat/>
    <w:uiPriority w:val="0"/>
  </w:style>
  <w:style w:type="character" w:customStyle="1" w:styleId="15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12</Pages>
  <Words>3972</Words>
  <Characters>4292</Characters>
  <Lines>24</Lines>
  <Paragraphs>6</Paragraphs>
  <TotalTime>2</TotalTime>
  <ScaleCrop>false</ScaleCrop>
  <LinksUpToDate>false</LinksUpToDate>
  <CharactersWithSpaces>4361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2021-05-20T02:00:00Z</dcterms:created>
  <dc:creator>Windows 用户</dc:creator>
  <cp:lastModifiedBy>肖珊</cp:lastModifiedBy>
  <dcterms:modified xsi:type="dcterms:W3CDTF">2024-03-08T03:19:35Z</dcterms:modified>
  <cp:revision>281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DCB29066037E428AB17F929D16630A25</vt:lpwstr>
  </property>
</Properties>
</file>