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太平乡卫生院</w:t>
      </w: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14:textFill>
            <w14:solidFill>
              <w14:schemeClr w14:val="tx1"/>
            </w14:solidFill>
          </w14:textFill>
        </w:rPr>
        <w:t>年部门预算编制的说明</w:t>
      </w: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目录</w:t>
      </w:r>
    </w:p>
    <w:p>
      <w:pPr>
        <w:pStyle w:val="19"/>
        <w:tabs>
          <w:tab w:val="right" w:leader="dot" w:pos="8844"/>
        </w:tabs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公开时间：</w:t>
      </w:r>
      <w:r>
        <w:rPr>
          <w:rFonts w:hint="eastAsia" w:eastAsia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2024年3月8日</w:t>
      </w:r>
      <w:bookmarkEnd w:id="0"/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instrText xml:space="preserve">TOC \o "1-3" \h \u </w:instrTex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fldChar w:fldCharType="separate"/>
      </w:r>
    </w:p>
    <w:p>
      <w:pPr>
        <w:pStyle w:val="19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_Toc28650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一、基本职能及主要工作</w:t>
      </w:r>
      <w:r>
        <w:rPr>
          <w:rFonts w:hint="eastAsia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.....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_Toc26953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（一）职能简介。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_Toc12420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（二）202</w:t>
      </w:r>
      <w:r>
        <w:rPr>
          <w:rFonts w:hint="eastAsia" w:ascii="楷体" w:hAnsi="楷体" w:eastAsia="楷体" w:cs="楷体"/>
          <w:bCs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 w:cs="楷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年重点工作任务介绍。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9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_Toc2365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二、基本情况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_Toc23171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单位构成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rFonts w:ascii="Times New Roman" w:hAnsi="Times New Roman" w:eastAsia="方正小标宋简体" w:cs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方正小标宋简体" w:cs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_Toc24650 </w:instrText>
      </w:r>
      <w:r>
        <w:rPr>
          <w:rFonts w:ascii="Times New Roman" w:hAnsi="Times New Roman" w:eastAsia="方正小标宋简体" w:cs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楷体" w:hAnsi="楷体" w:eastAsia="楷体" w:cs="楷体"/>
          <w:color w:val="000000" w:themeColor="text1"/>
          <w:szCs w:val="44"/>
          <w:lang w:eastAsia="zh-CN"/>
          <w14:textFill>
            <w14:solidFill>
              <w14:schemeClr w14:val="tx1"/>
            </w14:solidFill>
          </w14:textFill>
        </w:rPr>
        <w:t>单位人员编制、实有人数情况</w:t>
      </w:r>
      <w:r>
        <w:rPr>
          <w:rFonts w:ascii="Times New Roman" w:hAnsi="Times New Roman" w:eastAsia="方正小标宋简体" w:cs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小标宋简体" w:cs="Times New Roman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方正小标宋简体" w:cs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ind w:left="0" w:leftChars="0" w:firstLine="40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_Toc32346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固定资产情况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9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_Toc368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三、收支预算总体情况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_Toc24083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收入预算情况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_Toc23914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楷体_GB2312" w:eastAsia="楷体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支出预算情况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9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_Toc2770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四、一般公共预算当年拨款情况说明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_Toc32451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黑体"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一般公共预算当年拨款规模变化情况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..8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_Toc29477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楷体_GB2312" w:hAnsi="黑体"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一般公共预算当年拨款结构情况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9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_Toc5972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五、一般公共预算基本支出情况说明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9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_Toc4344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三公</w:t>
      </w: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经费财政拨款预算安排情况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_Toc29415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因公出国（境）经费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_Toc7222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公务接待费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_Toc16350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公务用车购置及运行维护费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9"/>
        <w:tabs>
          <w:tab w:val="right" w:leader="dot" w:pos="8844"/>
        </w:tabs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_Toc3929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hAnsi="黑体" w:eastAsia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非财政拨款预算安排“三公”经费情况说明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9"/>
        <w:tabs>
          <w:tab w:val="right" w:leader="dot" w:pos="8844"/>
        </w:tabs>
        <w:rPr>
          <w:rFonts w:hint="eastAsia" w:ascii="Times New Roman" w:hAnsi="Times New Roman" w:eastAsia="方正小标宋简体" w:cs="Times New Roman"/>
          <w:color w:val="000000" w:themeColor="text1"/>
          <w:sz w:val="20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hAnsi="楷体_GB2312" w:eastAsia="楷体_GB2312" w:cs="楷体_GB2312"/>
          <w:color w:val="000000" w:themeColor="text1"/>
          <w:sz w:val="20"/>
          <w:szCs w:val="44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 w:val="20"/>
          <w:szCs w:val="44"/>
          <w:lang w:val="en-US" w:eastAsia="zh-CN"/>
          <w14:textFill>
            <w14:solidFill>
              <w14:schemeClr w14:val="tx1"/>
            </w14:solidFill>
          </w14:textFill>
        </w:rPr>
        <w:t>非财政拨款安排公务接待费情况说明</w:t>
      </w:r>
      <w:r>
        <w:rPr>
          <w:rFonts w:ascii="Times New Roman" w:hAnsi="Times New Roman" w:eastAsia="方正小标宋简体" w:cs="Times New Roman"/>
          <w:color w:val="000000" w:themeColor="text1"/>
          <w:sz w:val="20"/>
          <w:szCs w:val="4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小标宋简体" w:cs="Times New Roman"/>
          <w:color w:val="000000" w:themeColor="text1"/>
          <w:sz w:val="20"/>
          <w:szCs w:val="44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>
      <w:pPr>
        <w:pStyle w:val="20"/>
        <w:tabs>
          <w:tab w:val="right" w:leader="dot" w:pos="8844"/>
        </w:tabs>
        <w:rPr>
          <w:rFonts w:hint="eastAsia" w:eastAsia="方正小标宋简体"/>
          <w:color w:val="000000" w:themeColor="text1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44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szCs w:val="44"/>
          <w:lang w:eastAsia="zh-CN"/>
          <w14:textFill>
            <w14:solidFill>
              <w14:schemeClr w14:val="tx1"/>
            </w14:solidFill>
          </w14:textFill>
        </w:rPr>
        <w:t>非财政拨款安排公务用车购置及运行维护费情况说明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tab/>
      </w: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>
      <w:pPr>
        <w:pStyle w:val="19"/>
        <w:tabs>
          <w:tab w:val="right" w:leader="dot" w:pos="8844"/>
        </w:tabs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_Toc26114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hAnsi="黑体" w:eastAsia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政府性基金预算支出情况说明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0</w:t>
      </w:r>
    </w:p>
    <w:p>
      <w:pPr>
        <w:pStyle w:val="19"/>
        <w:tabs>
          <w:tab w:val="right" w:leader="dot" w:pos="8844"/>
        </w:tabs>
        <w:rPr>
          <w:rFonts w:hint="default" w:eastAsia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_Toc26114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hAnsi="黑体" w:eastAsia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、国有资本经营预算支出情况说明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>
      <w:pPr>
        <w:pStyle w:val="19"/>
        <w:tabs>
          <w:tab w:val="right" w:leader="dot" w:pos="8844"/>
        </w:tabs>
        <w:rPr>
          <w:rFonts w:hint="eastAsia" w:eastAsia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_Toc30061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hAnsi="黑体" w:eastAsia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、其他重要事项的情况说明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0</w:t>
      </w:r>
    </w:p>
    <w:p>
      <w:pPr>
        <w:pStyle w:val="20"/>
        <w:tabs>
          <w:tab w:val="right" w:leader="dot" w:pos="8844"/>
        </w:tabs>
        <w:rPr>
          <w:rFonts w:hint="default" w:eastAsia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_Toc9452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黑体"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业务运行经费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_Toc30045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楷体_GB2312" w:hAnsi="黑体"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国有资产占有使用情况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0</w:t>
      </w:r>
    </w:p>
    <w:p>
      <w:pPr>
        <w:pStyle w:val="20"/>
        <w:tabs>
          <w:tab w:val="right" w:leader="dot" w:pos="8844"/>
        </w:tabs>
        <w:rPr>
          <w:rFonts w:hint="eastAsia" w:eastAsia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_Toc16045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楷体_GB2312" w:hAnsi="黑体"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政府采购情况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0</w:t>
      </w:r>
    </w:p>
    <w:p>
      <w:pPr>
        <w:pStyle w:val="20"/>
        <w:tabs>
          <w:tab w:val="right" w:leader="dot" w:pos="8844"/>
        </w:tabs>
        <w:rPr>
          <w:rFonts w:hint="eastAsia" w:eastAsia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_Toc27782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楷体_GB2312" w:hAnsi="黑体"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绩效目标设置情况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0</w:t>
      </w: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left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b/>
          <w:color w:val="FF0000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eastAsia="仿宋_GB2312"/>
          <w:bCs/>
          <w:sz w:val="32"/>
          <w:szCs w:val="32"/>
        </w:rPr>
        <w:t>02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eastAsia="仿宋_GB2312"/>
          <w:bCs/>
          <w:sz w:val="32"/>
          <w:szCs w:val="32"/>
        </w:rPr>
        <w:t>年部门预算经区第十</w:t>
      </w:r>
      <w:r>
        <w:rPr>
          <w:rFonts w:hint="eastAsia" w:eastAsia="仿宋_GB2312"/>
          <w:bCs/>
          <w:sz w:val="32"/>
          <w:szCs w:val="32"/>
          <w:lang w:eastAsia="zh-CN"/>
        </w:rPr>
        <w:t>三</w:t>
      </w:r>
      <w:r>
        <w:rPr>
          <w:rFonts w:eastAsia="仿宋_GB2312"/>
          <w:bCs/>
          <w:sz w:val="32"/>
          <w:szCs w:val="32"/>
        </w:rPr>
        <w:t>届人民代表大会第</w:t>
      </w:r>
      <w:r>
        <w:rPr>
          <w:rFonts w:hint="eastAsia" w:eastAsia="仿宋_GB2312"/>
          <w:bCs/>
          <w:sz w:val="32"/>
          <w:szCs w:val="32"/>
          <w:lang w:eastAsia="zh-CN"/>
        </w:rPr>
        <w:t>四</w:t>
      </w:r>
      <w:r>
        <w:rPr>
          <w:rFonts w:eastAsia="仿宋_GB2312"/>
          <w:bCs/>
          <w:sz w:val="32"/>
          <w:szCs w:val="32"/>
        </w:rPr>
        <w:t>次会议审议通过，按照《预算法》</w:t>
      </w:r>
      <w:r>
        <w:rPr>
          <w:rFonts w:hint="eastAsia" w:eastAsia="仿宋_GB2312"/>
          <w:bCs/>
          <w:sz w:val="32"/>
          <w:szCs w:val="32"/>
        </w:rPr>
        <w:t>及《预算法实施条例》</w:t>
      </w:r>
      <w:r>
        <w:rPr>
          <w:rFonts w:eastAsia="仿宋_GB2312"/>
          <w:bCs/>
          <w:sz w:val="32"/>
          <w:szCs w:val="32"/>
        </w:rPr>
        <w:t>要求，现将我单位202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eastAsia="仿宋_GB2312"/>
          <w:bCs/>
          <w:sz w:val="32"/>
          <w:szCs w:val="32"/>
        </w:rPr>
        <w:t>年部门预算说明如下: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一、基本职能及主要工作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Autospacing="0" w:line="520" w:lineRule="exact"/>
        <w:ind w:firstLine="672" w:firstLineChars="210"/>
        <w:textAlignment w:val="auto"/>
        <w:rPr>
          <w:rFonts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（一）职能简介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Autospacing="0" w:line="520" w:lineRule="exact"/>
        <w:ind w:firstLine="672" w:firstLineChars="210"/>
        <w:textAlignment w:val="auto"/>
        <w:rPr>
          <w:rFonts w:hint="eastAsia" w:ascii="Times New Roman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攀枝花市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仁和区</w:t>
      </w:r>
      <w:r>
        <w:rPr>
          <w:rFonts w:hint="eastAsia" w:ascii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卫生院坐落于仁和区</w:t>
      </w:r>
      <w:r>
        <w:rPr>
          <w:rFonts w:hint="eastAsia" w:ascii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太平乡花山村</w:t>
      </w:r>
      <w:r>
        <w:rPr>
          <w:rFonts w:hint="eastAsia" w:ascii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1组108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号，我院属财政补助事业单位，设内科、外科、</w:t>
      </w:r>
      <w:r>
        <w:rPr>
          <w:rFonts w:hint="eastAsia" w:ascii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妇科、儿科、全科、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中医科等科室。我单位核定编制</w:t>
      </w:r>
      <w:r>
        <w:rPr>
          <w:rFonts w:hint="eastAsia" w:ascii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人，现有职工</w:t>
      </w:r>
      <w:r>
        <w:rPr>
          <w:rFonts w:hint="eastAsia" w:ascii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人，其中在编</w:t>
      </w:r>
      <w:r>
        <w:rPr>
          <w:rFonts w:hint="eastAsia" w:ascii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公共卫生特别服务岗</w:t>
      </w:r>
      <w:r>
        <w:rPr>
          <w:rFonts w:hint="eastAsia" w:ascii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临聘</w:t>
      </w:r>
      <w:r>
        <w:rPr>
          <w:rFonts w:hint="eastAsia" w:ascii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人；退休职工5人。编制床位数</w:t>
      </w:r>
      <w:r>
        <w:rPr>
          <w:rFonts w:hint="eastAsia" w:ascii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张，</w:t>
      </w:r>
      <w:r>
        <w:rPr>
          <w:rFonts w:hint="eastAsia" w:ascii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实有床位数</w:t>
      </w:r>
      <w:r>
        <w:rPr>
          <w:rFonts w:hint="eastAsia" w:ascii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10张，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主要承担辖区居民的基本医疗和公共卫生服务任务</w:t>
      </w:r>
      <w:r>
        <w:rPr>
          <w:rFonts w:hint="eastAsia" w:ascii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1、提供公共卫生服务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（1）承担本辖区农村居民健康档案规范建档指导、管理及服务。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（2）普及卫生保健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知识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，在重点人群和重点场所开展健康教育，帮助居民形成有利于维护和增进健康的行为方式;指导开展爱国卫生工作。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（3）提供并组织实施本辖区预防接种服务，落实国家免疫规划。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（4）及时发现、登记并报告本辖区内发现的传染病病例和疑似病例，参与现场疫情处理。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（5）开展新生儿访视及儿童保健系统管理，进行体格检查和生长发育监测及评价，开展健康指导。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（6）开展孕产妇保健系统管理和产后访视，进行一般体格检查及孕期营养、心理等健康指导。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（7）对本辖区65岁及以上老年人进行登记管理，免费进行每年一次健康体检，开展健康指导。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（8）对高血压、糖尿病等慢性病高危人群进行健康指导，对确诊高血压、糖尿病等慢性病病例进行登记管理、定期随访和健康指导。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（9）对本辖区重性精神疾病患者进行登记管理、治疗随访和康复指导。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（10）对本辖区结核病患者进行登记管理、治疗随访和康复指导。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（11）负责本辖区内突发公共卫生事件的报告并协助处理。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（12）做好卫生行政部门规定的其他公共卫生服务。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（13）做好本辖区内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法定传染病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防控。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2、提供基本医疗服务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（1）使用农村适宜医疗技术和中医药技术，正确处理常见病、多发病。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（2）健全消毒、隔离制度，遵守无菌操作规程，加强医疗质量管理。做好医疗废物处理和污水、污物无害化处理。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（3）执行国家基本药物制度药品集中采购、零差率销售等政策，实施一体化管理的村卫生室统一代购药品。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（4）提供政府卫生行政部门批准的其他适宜的医疗服务。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3、承担公共卫生管理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（1）对本辖区内传染病防治、学校卫生、食品卫生、饮水卫生、职业卫生，以及村级预防保健工作进行指导、培训、考核与监督。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（2）严格执行医保政策规定，履行定点医疗机构职责，做好有关的政策宣传、监督及服务工作。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（3）深入推进乡村卫生服务一体化管理，对村卫生室实行以行政、人员、业务、药品等规范管理;负责村卫生室的技术指导和乡村医生培训等工作。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4、卫生行政管理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（1）在当地政府和上级卫生行政部门领导下，依据当地社会经济发展规划，协助制定和实施社区的初级卫生规划。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（2）配合有关部门动员组织群众开展爱国卫生活动，逐步改善本本辖区卫生状况。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（3）贯彻执行国家各种卫生法规，对辖区内有关行业实行监督管理。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（4）负责本辖内村卫生室的管理和培训工作。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年重点工作任务介绍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1.基本医疗方面：加强医疗质量管理，保证医疗安全。争取门诊人次在202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上增加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住院人次在2023年基础上增加3%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2.基本公共卫生工作方面：着力做好基本公共卫生工作。严格执行疫情监测、报告制度，突发重点疾病防控及突发公共卫生事件处置和救灾防病工作。抓好重点人群管理工作。高血压管理率达90%、糖尿病管理率达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0%、老年人管理率达90%、孕产妇管理率达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%、儿童管理率达9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（一）单位构成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仁和区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卫生院202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年度部门预算编报的单位共1个。无下属二级单位。其中：行政单位0个，事业单位1个，其他单位0个。属财政全额补助事业单位，主管部门攀枝花市仁和区卫生健康局。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（二）单位人员编制、实有人数情况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我单位人员编制数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人，实际在编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卫生院在编借调去大河中路社区1人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，实有人数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（在编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11人、公卫特别服务岗1人、临聘9人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。内设机构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办公室、全科医疗科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公共卫生科、中医科、护理部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）。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固定资产情况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卫生院占地面积约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2902.7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m2，其中现有业务用房面积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1850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，现设科室为：临床、护理、公卫、城乡医保等科室，固定资产总值达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423.69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万元，卫生院现有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心电图机、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低频电子脉冲治疗仪等设备。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我单位车辆编制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其中一般公务用车一辆，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车牌号：川D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J7306（型号：猎豹CFA6470L3）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车辆类型为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越野车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救护车一辆，车牌号：川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DA5323（型号：金杯SY5033XJH-USBH），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主要用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于卫生院基本公共卫生服务下乡体检、健康宣传、入户随访、贫困人口健康体检、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疫情防控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及医疗用品运送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三、收支预算总体情况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按照综合预算的原则，攀枝花市仁和区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所有收入和支出均纳入部门预算管理。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收入预算总额为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150.53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万元，其中：一般公共预算拨款收入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150.53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万元、政府性基金预算拨款收入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万元、国有资本经营预算拨款收入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万元、上年结转收入0万元、事业收入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万元、事业单位经营收入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0万元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；相应安排支出预算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150.53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万元，其中：工资福利支出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145.90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万元，日常公用支出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万元，对个人和家庭的补助支出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4.63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万元，项目支出0万元。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3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（一）收入预算情况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ascii="Arial" w:hAnsi="Arial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年收入预算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150.53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中：本年一般公共预算拨款收入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150.53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较202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20.63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万元，主要变动原因为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人员增加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政府性基金预算拨款收入0万元，占0%；上年结转收入0万元,占0%。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3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（二）支出预算情况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年支出预算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150.53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万元，其中：基本支出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150.53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；项目支出0万元，占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预算安排支出主要用于保障该部门机构正常运转、完成日常工作任务以及本单位承担的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基本公共卫生及基本医疗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基本支出，是用于保障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正常运转的日常支出，包括基本工资、津贴补贴、离退休费、住房公积金和日常公用经费等。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项目支出，是用于保障攀枝花市仁和区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为完成特定的行政工作或事业发展目标，用于专项业务工作的经费支出。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按支出功能分类主要用于以下方面支出包括: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20.36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万元，主要用于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机关事业单位基本养老保险缴费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、事业单位离退休生活补助和医疗费补助支出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医疗卫生支出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114.80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万元，主要用于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卫生院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按照规定标准为职工缴纳的基本医疗保险及公务员医疗补助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、医疗费补助、其它社会保障缴费、遗属补助、基本工资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住房保障支出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15.37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万元，用于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卫生院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按照规定标准为职工缴纳住房公积金支出。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left="1598" w:leftChars="380" w:hanging="800" w:hangingChars="25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四、一般公共预算当年拨款情况说明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（一）一般公共预算当年拨款规模变化情况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160" w:leftChars="76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年一般公共预算当年拨款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150.53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万元，比202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年预算数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20.63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万元，主要是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人员增加。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（二）一般公共预算当年拨款结构情况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20.36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13.52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%,卫生健康支出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114.80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76.26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%,住房保障支出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15.37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10.21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五、一般公共预算基本支出情况说明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太平乡卫生院2024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年一般公共预算基本支出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150.53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人员经费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150.53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万元，主要包括：基本工资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43.24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万元、津贴补贴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6.13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万元、绩效工资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48.99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万元、基本养老保险缴费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15.74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万元、基本医疗保险缴费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9.77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万元、公务员医疗补助缴费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1.92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社会保险缴费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0.90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万元、住房公积金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15.37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医疗费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3.84万元；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事业单位离退休生活补助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3.52万元、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医疗费补助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1.11万元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公用经费0万元。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三公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经费财政拨款预算安排情况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年没有使用财政拨款安排“三公”经费预算。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（一）因公出国（境）经费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根据工作统一安排，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年年初部门预算暂不编列因公出国（境）经费。执行中，区级部门确需执行出国（境）任务和计划的，按照“一事一议”的方式按程序报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政府批后安排经费。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（二）公务接待费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无公务接待费预算，与202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年预算持平。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（三）公务用车购置及运行维护费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无公务用车购置及运行维护费预算，与202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年预算持平。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textAlignment w:val="auto"/>
        <w:outlineLvl w:val="1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七、非财政拨款预算安排“三公”经费情况说明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太平乡卫生院2024年非财政拨款“三公”经费预算数0万元，其中：公务接待费0万元，公务用车购置及运行维护费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2.50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万元。根据工作统一安排，2024年市本级年初部门预算暂未编列非财政拨款安排的因公出国（境）经费。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（一）非财政拨款安排公务接待费情况说明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2024年太平乡卫生院无非财政拨款安排公务接待费预算。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（二）非财政拨款安排公务用车购置及运行维护费情况说明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非财政拨款安排公务用车购置及运行维护费较2023年预算持平。主要原因是：太平乡卫生院公务用车购置及运行维护费由卫生院收入自行承担，主要用于车辆运行及维护，经费预算与2023年持平。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单位现有公务用车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辆，其中：越野车1辆，救护车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1辆，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主要用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于卫生院基本公共卫生服务下乡体检、健康宣传、入户随访、贫困人口健康体检、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疫情防控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及医疗用品运送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2024年安排非财政拨款公务用车购置费0万元。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2024年安排非财政拨款公务用车运行维护费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2.50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八、政府性基金预算支出情况说明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无政府性基金预算拨款安排的支出。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九、国有资本经营预算支出情况说明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仿宋_GB2312" w:hAnsi="Times New Roman" w:eastAsia="仿宋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bCs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Times New Roman" w:eastAsia="仿宋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年无国有资本经营预算拨款安排的支出。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十、其他重要事项的情况说明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（一）业务运行经费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年，攀枝花市仁和区</w:t>
      </w:r>
      <w:r>
        <w:rPr>
          <w:rFonts w:hint="eastAsia" w:ascii="仿宋_GB2312" w:hAnsi="Arial" w:eastAsia="仿宋_GB2312" w:cs="Arial"/>
          <w:bCs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Arial" w:eastAsia="仿宋_GB2312" w:cs="Arial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业务运行经费支出。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（二）国有资产占有使用情况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年底，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bCs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共有车辆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辆，其中，执法执勤用车0辆，单位价值200万元以上大型设备0台。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（三）政府采购情况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800" w:firstLineChars="250"/>
        <w:textAlignment w:val="auto"/>
        <w:rPr>
          <w:rFonts w:ascii="Arial" w:hAnsi="Arial" w:eastAsia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年，攀枝花市仁和区</w:t>
      </w:r>
      <w:r>
        <w:rPr>
          <w:rFonts w:hint="eastAsia" w:ascii="仿宋_GB2312" w:hAnsi="Arial" w:eastAsia="仿宋_GB2312" w:cs="Arial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Times New Roman" w:eastAsia="仿宋_GB2312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安排政府采购预算</w:t>
      </w:r>
      <w:r>
        <w:rPr>
          <w:rFonts w:hint="eastAsia" w:ascii="仿宋_GB2312" w:hAnsi="Times New Roman" w:eastAsia="仿宋_GB2312" w:cs="Times New Roman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10.00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9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。主要用于</w:t>
      </w:r>
      <w:r>
        <w:rPr>
          <w:rStyle w:val="9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办公设备采购、办公设备维修维护。采购台式电脑、打印机等。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（四）绩效目标设置情况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开展绩效目标管理的项目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个，涉及预算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150.53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万元。其中：人员类项目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个，涉及预算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150.53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；运转类项目0个，涉及预算0万元；特定目标类项目0个，涉及预算0万元。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left="1918" w:leftChars="304" w:hanging="1280" w:hangingChars="40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附件：1.仁和区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预算公开表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left="1600" w:leftChars="0"/>
        <w:jc w:val="left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2.部门预算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名词解释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left="1600" w:leftChars="0"/>
        <w:jc w:val="left"/>
        <w:textAlignment w:val="auto"/>
        <w:rPr>
          <w:rFonts w:hint="default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3.2024年太平乡卫生院预算绩效目标申报表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GI1ZjdiNjMyYTNlMGMzZWRkOGQ2ZDEzZDJlNDUifQ=="/>
  </w:docVars>
  <w:rsids>
    <w:rsidRoot w:val="00945B70"/>
    <w:rsid w:val="00007B79"/>
    <w:rsid w:val="0001638E"/>
    <w:rsid w:val="00054133"/>
    <w:rsid w:val="00057B85"/>
    <w:rsid w:val="00064D94"/>
    <w:rsid w:val="000660FA"/>
    <w:rsid w:val="0007213D"/>
    <w:rsid w:val="00081EE5"/>
    <w:rsid w:val="00082831"/>
    <w:rsid w:val="0008473E"/>
    <w:rsid w:val="00093E6E"/>
    <w:rsid w:val="000A25EA"/>
    <w:rsid w:val="000A65D5"/>
    <w:rsid w:val="000B1119"/>
    <w:rsid w:val="000D7F86"/>
    <w:rsid w:val="000E2767"/>
    <w:rsid w:val="000E58D7"/>
    <w:rsid w:val="000F3B9D"/>
    <w:rsid w:val="00116954"/>
    <w:rsid w:val="00117E9D"/>
    <w:rsid w:val="00120422"/>
    <w:rsid w:val="00123C0D"/>
    <w:rsid w:val="00132BE0"/>
    <w:rsid w:val="001331C3"/>
    <w:rsid w:val="001370E8"/>
    <w:rsid w:val="00145933"/>
    <w:rsid w:val="00151445"/>
    <w:rsid w:val="00152182"/>
    <w:rsid w:val="001552BD"/>
    <w:rsid w:val="00163735"/>
    <w:rsid w:val="00166033"/>
    <w:rsid w:val="001847B0"/>
    <w:rsid w:val="00192390"/>
    <w:rsid w:val="001C030D"/>
    <w:rsid w:val="001E3B88"/>
    <w:rsid w:val="001F1B5A"/>
    <w:rsid w:val="001F6047"/>
    <w:rsid w:val="00235F75"/>
    <w:rsid w:val="0025140B"/>
    <w:rsid w:val="0026139E"/>
    <w:rsid w:val="0026211C"/>
    <w:rsid w:val="0028090F"/>
    <w:rsid w:val="002950AF"/>
    <w:rsid w:val="0029548B"/>
    <w:rsid w:val="002B2478"/>
    <w:rsid w:val="002C4760"/>
    <w:rsid w:val="002C5AC2"/>
    <w:rsid w:val="002D0BB1"/>
    <w:rsid w:val="002D5F66"/>
    <w:rsid w:val="002E18DF"/>
    <w:rsid w:val="002F3902"/>
    <w:rsid w:val="0031012F"/>
    <w:rsid w:val="003209CA"/>
    <w:rsid w:val="00325D6A"/>
    <w:rsid w:val="00326849"/>
    <w:rsid w:val="00331BA1"/>
    <w:rsid w:val="003475D7"/>
    <w:rsid w:val="0035086B"/>
    <w:rsid w:val="00357821"/>
    <w:rsid w:val="00361304"/>
    <w:rsid w:val="0036773C"/>
    <w:rsid w:val="00367F14"/>
    <w:rsid w:val="00375AB2"/>
    <w:rsid w:val="00387DFB"/>
    <w:rsid w:val="00394AA9"/>
    <w:rsid w:val="0039704A"/>
    <w:rsid w:val="003B0F1E"/>
    <w:rsid w:val="003C5BE3"/>
    <w:rsid w:val="003D4960"/>
    <w:rsid w:val="003F5745"/>
    <w:rsid w:val="003F5F87"/>
    <w:rsid w:val="003F6F1A"/>
    <w:rsid w:val="003F7E7B"/>
    <w:rsid w:val="0040064F"/>
    <w:rsid w:val="004071CC"/>
    <w:rsid w:val="00411E98"/>
    <w:rsid w:val="004268F2"/>
    <w:rsid w:val="00436209"/>
    <w:rsid w:val="00437C55"/>
    <w:rsid w:val="004603F3"/>
    <w:rsid w:val="00472F6A"/>
    <w:rsid w:val="00480D97"/>
    <w:rsid w:val="004845B1"/>
    <w:rsid w:val="004A5EF3"/>
    <w:rsid w:val="004B4648"/>
    <w:rsid w:val="004C7EA8"/>
    <w:rsid w:val="004D5BF3"/>
    <w:rsid w:val="004E22E6"/>
    <w:rsid w:val="004E6273"/>
    <w:rsid w:val="004F490B"/>
    <w:rsid w:val="00514F9C"/>
    <w:rsid w:val="00516CAC"/>
    <w:rsid w:val="00560698"/>
    <w:rsid w:val="005710E5"/>
    <w:rsid w:val="005748E0"/>
    <w:rsid w:val="005A77D7"/>
    <w:rsid w:val="005D1D67"/>
    <w:rsid w:val="005E71A7"/>
    <w:rsid w:val="005F54D7"/>
    <w:rsid w:val="005F554D"/>
    <w:rsid w:val="00604727"/>
    <w:rsid w:val="00605B0F"/>
    <w:rsid w:val="00622239"/>
    <w:rsid w:val="00634953"/>
    <w:rsid w:val="00654E88"/>
    <w:rsid w:val="00656E64"/>
    <w:rsid w:val="00671B95"/>
    <w:rsid w:val="00674A0B"/>
    <w:rsid w:val="00684108"/>
    <w:rsid w:val="00687670"/>
    <w:rsid w:val="006933A2"/>
    <w:rsid w:val="006B4BD0"/>
    <w:rsid w:val="006B4DC2"/>
    <w:rsid w:val="006C40F7"/>
    <w:rsid w:val="006D1B1C"/>
    <w:rsid w:val="006D3B52"/>
    <w:rsid w:val="006F27F3"/>
    <w:rsid w:val="0070320B"/>
    <w:rsid w:val="00705090"/>
    <w:rsid w:val="007066BD"/>
    <w:rsid w:val="00710394"/>
    <w:rsid w:val="007124BA"/>
    <w:rsid w:val="007152DB"/>
    <w:rsid w:val="0072462E"/>
    <w:rsid w:val="00725D8F"/>
    <w:rsid w:val="00733979"/>
    <w:rsid w:val="00746828"/>
    <w:rsid w:val="007476F1"/>
    <w:rsid w:val="00750461"/>
    <w:rsid w:val="00764AEA"/>
    <w:rsid w:val="00774810"/>
    <w:rsid w:val="007853EC"/>
    <w:rsid w:val="00791B42"/>
    <w:rsid w:val="007A05DD"/>
    <w:rsid w:val="007A09D6"/>
    <w:rsid w:val="007C471E"/>
    <w:rsid w:val="007C587E"/>
    <w:rsid w:val="007D2833"/>
    <w:rsid w:val="007D561C"/>
    <w:rsid w:val="007D616B"/>
    <w:rsid w:val="007D7646"/>
    <w:rsid w:val="007F199D"/>
    <w:rsid w:val="007F3103"/>
    <w:rsid w:val="007F4013"/>
    <w:rsid w:val="00801718"/>
    <w:rsid w:val="00802DB9"/>
    <w:rsid w:val="00804A6B"/>
    <w:rsid w:val="0082215A"/>
    <w:rsid w:val="00830EFF"/>
    <w:rsid w:val="008346B4"/>
    <w:rsid w:val="00835FA5"/>
    <w:rsid w:val="0084187F"/>
    <w:rsid w:val="00842A9E"/>
    <w:rsid w:val="00843175"/>
    <w:rsid w:val="00843A75"/>
    <w:rsid w:val="00847F0D"/>
    <w:rsid w:val="00864B9F"/>
    <w:rsid w:val="008753FD"/>
    <w:rsid w:val="00897370"/>
    <w:rsid w:val="008B00FC"/>
    <w:rsid w:val="008B39CF"/>
    <w:rsid w:val="008B3F81"/>
    <w:rsid w:val="008D5199"/>
    <w:rsid w:val="008D61BA"/>
    <w:rsid w:val="008D6BC3"/>
    <w:rsid w:val="008D7AE6"/>
    <w:rsid w:val="008F0D8F"/>
    <w:rsid w:val="008F63FA"/>
    <w:rsid w:val="009109FB"/>
    <w:rsid w:val="00916369"/>
    <w:rsid w:val="00923CFD"/>
    <w:rsid w:val="0093452D"/>
    <w:rsid w:val="00945B70"/>
    <w:rsid w:val="0094744A"/>
    <w:rsid w:val="00951B3E"/>
    <w:rsid w:val="00954F92"/>
    <w:rsid w:val="00961C37"/>
    <w:rsid w:val="00973248"/>
    <w:rsid w:val="009A489F"/>
    <w:rsid w:val="009B751F"/>
    <w:rsid w:val="009C5345"/>
    <w:rsid w:val="009D0D69"/>
    <w:rsid w:val="009D254B"/>
    <w:rsid w:val="009D2F12"/>
    <w:rsid w:val="009D36A1"/>
    <w:rsid w:val="00A11F19"/>
    <w:rsid w:val="00A272D4"/>
    <w:rsid w:val="00A3084A"/>
    <w:rsid w:val="00A34177"/>
    <w:rsid w:val="00A474BB"/>
    <w:rsid w:val="00A5351F"/>
    <w:rsid w:val="00A60AED"/>
    <w:rsid w:val="00A65DDE"/>
    <w:rsid w:val="00A75BA1"/>
    <w:rsid w:val="00A87EFB"/>
    <w:rsid w:val="00A97173"/>
    <w:rsid w:val="00AB25C1"/>
    <w:rsid w:val="00AC1EB9"/>
    <w:rsid w:val="00AF1543"/>
    <w:rsid w:val="00AF45A7"/>
    <w:rsid w:val="00AF71DE"/>
    <w:rsid w:val="00B024EF"/>
    <w:rsid w:val="00B22B21"/>
    <w:rsid w:val="00B3768D"/>
    <w:rsid w:val="00B500A7"/>
    <w:rsid w:val="00B54CFF"/>
    <w:rsid w:val="00B61CAD"/>
    <w:rsid w:val="00B63745"/>
    <w:rsid w:val="00B64151"/>
    <w:rsid w:val="00B65C1A"/>
    <w:rsid w:val="00B66776"/>
    <w:rsid w:val="00B72F30"/>
    <w:rsid w:val="00B80E2D"/>
    <w:rsid w:val="00B863EC"/>
    <w:rsid w:val="00B9518E"/>
    <w:rsid w:val="00BA25EE"/>
    <w:rsid w:val="00BB3607"/>
    <w:rsid w:val="00BB5D8B"/>
    <w:rsid w:val="00BB604F"/>
    <w:rsid w:val="00BB738E"/>
    <w:rsid w:val="00BC2994"/>
    <w:rsid w:val="00BE17BB"/>
    <w:rsid w:val="00BE5112"/>
    <w:rsid w:val="00BE7778"/>
    <w:rsid w:val="00BF0EEE"/>
    <w:rsid w:val="00C04818"/>
    <w:rsid w:val="00C07A70"/>
    <w:rsid w:val="00C10280"/>
    <w:rsid w:val="00C24F6F"/>
    <w:rsid w:val="00C32338"/>
    <w:rsid w:val="00C4508A"/>
    <w:rsid w:val="00C4710B"/>
    <w:rsid w:val="00C56313"/>
    <w:rsid w:val="00C76404"/>
    <w:rsid w:val="00C83464"/>
    <w:rsid w:val="00C8640F"/>
    <w:rsid w:val="00C9005A"/>
    <w:rsid w:val="00CE1A96"/>
    <w:rsid w:val="00D00ABA"/>
    <w:rsid w:val="00D22D51"/>
    <w:rsid w:val="00D23E2F"/>
    <w:rsid w:val="00D241E1"/>
    <w:rsid w:val="00D34AE6"/>
    <w:rsid w:val="00D52800"/>
    <w:rsid w:val="00D63FDB"/>
    <w:rsid w:val="00D66748"/>
    <w:rsid w:val="00D755F6"/>
    <w:rsid w:val="00D909B9"/>
    <w:rsid w:val="00DA5CA3"/>
    <w:rsid w:val="00DB3C21"/>
    <w:rsid w:val="00DC27F9"/>
    <w:rsid w:val="00DD01C6"/>
    <w:rsid w:val="00DD6FC5"/>
    <w:rsid w:val="00DE1482"/>
    <w:rsid w:val="00DF4C9F"/>
    <w:rsid w:val="00E0201C"/>
    <w:rsid w:val="00E07F3C"/>
    <w:rsid w:val="00E2050E"/>
    <w:rsid w:val="00E24A00"/>
    <w:rsid w:val="00E40D5D"/>
    <w:rsid w:val="00E425E3"/>
    <w:rsid w:val="00E54435"/>
    <w:rsid w:val="00E67E28"/>
    <w:rsid w:val="00E847A1"/>
    <w:rsid w:val="00E84B6F"/>
    <w:rsid w:val="00E94C33"/>
    <w:rsid w:val="00E964FF"/>
    <w:rsid w:val="00EA3D3B"/>
    <w:rsid w:val="00EC48F0"/>
    <w:rsid w:val="00EC4E18"/>
    <w:rsid w:val="00ED35B4"/>
    <w:rsid w:val="00ED664D"/>
    <w:rsid w:val="00EE0C17"/>
    <w:rsid w:val="00EE363D"/>
    <w:rsid w:val="00EE6310"/>
    <w:rsid w:val="00EF1964"/>
    <w:rsid w:val="00EF2375"/>
    <w:rsid w:val="00EF3308"/>
    <w:rsid w:val="00EF5BAF"/>
    <w:rsid w:val="00F047B4"/>
    <w:rsid w:val="00F16557"/>
    <w:rsid w:val="00F2407B"/>
    <w:rsid w:val="00F346E5"/>
    <w:rsid w:val="00F6680B"/>
    <w:rsid w:val="00F679A7"/>
    <w:rsid w:val="00F72326"/>
    <w:rsid w:val="00F75A76"/>
    <w:rsid w:val="00F85BE0"/>
    <w:rsid w:val="00F92012"/>
    <w:rsid w:val="00F93E0B"/>
    <w:rsid w:val="00FA618F"/>
    <w:rsid w:val="00FB6925"/>
    <w:rsid w:val="00FB6BE3"/>
    <w:rsid w:val="00FF33CE"/>
    <w:rsid w:val="01157B74"/>
    <w:rsid w:val="03D90165"/>
    <w:rsid w:val="085D65AE"/>
    <w:rsid w:val="106E4CE2"/>
    <w:rsid w:val="10EC1DDE"/>
    <w:rsid w:val="12512B00"/>
    <w:rsid w:val="1B2B3BDD"/>
    <w:rsid w:val="1B994A8C"/>
    <w:rsid w:val="1FA34709"/>
    <w:rsid w:val="22003A44"/>
    <w:rsid w:val="23677AFD"/>
    <w:rsid w:val="24B06ECE"/>
    <w:rsid w:val="26A81B52"/>
    <w:rsid w:val="27796FE6"/>
    <w:rsid w:val="2B0B2A59"/>
    <w:rsid w:val="2EEA2A4B"/>
    <w:rsid w:val="2FC8659F"/>
    <w:rsid w:val="30096F9B"/>
    <w:rsid w:val="30EF115F"/>
    <w:rsid w:val="313D7765"/>
    <w:rsid w:val="36743E79"/>
    <w:rsid w:val="37805EE2"/>
    <w:rsid w:val="3D0263C7"/>
    <w:rsid w:val="47F32C35"/>
    <w:rsid w:val="49140130"/>
    <w:rsid w:val="540F3A7A"/>
    <w:rsid w:val="54B05C3B"/>
    <w:rsid w:val="596A316E"/>
    <w:rsid w:val="5EB364C7"/>
    <w:rsid w:val="614C1406"/>
    <w:rsid w:val="65CD5765"/>
    <w:rsid w:val="665C5E0E"/>
    <w:rsid w:val="68003E15"/>
    <w:rsid w:val="69440C6F"/>
    <w:rsid w:val="695F3134"/>
    <w:rsid w:val="6A350C4E"/>
    <w:rsid w:val="6A691D33"/>
    <w:rsid w:val="6E9F198F"/>
    <w:rsid w:val="70520136"/>
    <w:rsid w:val="73351AAB"/>
    <w:rsid w:val="739E71CC"/>
    <w:rsid w:val="7AD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93" w:beforeLines="30"/>
    </w:pPr>
    <w:rPr>
      <w:rFonts w:ascii="仿宋_GB2312" w:eastAsia="仿宋_GB2312"/>
      <w:sz w:val="30"/>
    </w:rPr>
  </w:style>
  <w:style w:type="paragraph" w:styleId="4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explai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big"/>
    <w:basedOn w:val="8"/>
    <w:qFormat/>
    <w:uiPriority w:val="0"/>
  </w:style>
  <w:style w:type="character" w:customStyle="1" w:styleId="14">
    <w:name w:val="middle"/>
    <w:basedOn w:val="8"/>
    <w:qFormat/>
    <w:uiPriority w:val="0"/>
  </w:style>
  <w:style w:type="character" w:customStyle="1" w:styleId="15">
    <w:name w:val="small"/>
    <w:basedOn w:val="8"/>
    <w:qFormat/>
    <w:uiPriority w:val="0"/>
  </w:style>
  <w:style w:type="character" w:customStyle="1" w:styleId="16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10</Pages>
  <Words>3610</Words>
  <Characters>3927</Characters>
  <Lines>24</Lines>
  <Paragraphs>6</Paragraphs>
  <TotalTime>1</TotalTime>
  <ScaleCrop>false</ScaleCrop>
  <LinksUpToDate>false</LinksUpToDate>
  <CharactersWithSpaces>3967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2021-05-20T02:00:00Z</dcterms:created>
  <dc:creator>Windows 用户</dc:creator>
  <cp:lastModifiedBy>肖珊</cp:lastModifiedBy>
  <cp:lastPrinted>2024-02-28T09:12:00Z</cp:lastPrinted>
  <dcterms:modified xsi:type="dcterms:W3CDTF">2024-03-08T02:15:15Z</dcterms:modified>
  <cp:revision>281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19AF963398054A7A9BD76A92A877E47A</vt:lpwstr>
  </property>
</Properties>
</file>