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前进镇卫生院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年部门预算编制的说明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目录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公开时间：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2024年3月8日</w:t>
      </w:r>
      <w:bookmarkStart w:id="0" w:name="_GoBack"/>
      <w:bookmarkEnd w:id="0"/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 w:val="44"/>
          <w:szCs w:val="44"/>
        </w:rPr>
        <w:fldChar w:fldCharType="begin"/>
      </w:r>
      <w:r>
        <w:rPr>
          <w:rFonts w:eastAsia="方正小标宋简体"/>
          <w:color w:val="auto"/>
          <w:sz w:val="44"/>
          <w:szCs w:val="44"/>
        </w:rPr>
        <w:instrText xml:space="preserve">TOC \o "1-3" \h \u </w:instrText>
      </w:r>
      <w:r>
        <w:rPr>
          <w:rFonts w:eastAsia="方正小标宋简体"/>
          <w:color w:val="auto"/>
          <w:sz w:val="44"/>
          <w:szCs w:val="44"/>
        </w:rPr>
        <w:fldChar w:fldCharType="separate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_Toc28650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黑体"/>
          <w:color w:val="auto"/>
          <w:szCs w:val="32"/>
        </w:rPr>
        <w:t>一、基本职能及主要工作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3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_Toc26953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Times New Roman"/>
          <w:bCs/>
          <w:color w:val="auto"/>
          <w:szCs w:val="32"/>
        </w:rPr>
        <w:t>（一）职能简介。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3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_Toc12420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szCs w:val="32"/>
        </w:rPr>
        <w:t>（二）202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Cs w:val="32"/>
        </w:rPr>
        <w:t>年重点工作任务介绍。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4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_Toc2365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黑体"/>
          <w:color w:val="auto"/>
          <w:szCs w:val="32"/>
        </w:rPr>
        <w:t>二、基本情况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4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_Toc23171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（一）单位构成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4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_Toc24650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Cs w:val="32"/>
          <w:lang w:val="en-US" w:eastAsia="zh-CN"/>
        </w:rPr>
        <w:t>(二）</w:t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单位人员编制、实有人数情况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_Toc32346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  <w:t>（三）</w:t>
      </w:r>
      <w:r>
        <w:rPr>
          <w:rFonts w:hint="eastAsia" w:eastAsia="仿宋_GB2312" w:cs="Times New Roman"/>
          <w:color w:val="auto"/>
          <w:szCs w:val="32"/>
          <w:lang w:eastAsia="zh-CN"/>
        </w:rPr>
        <w:t>固定资产情况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_Toc368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黑体"/>
          <w:color w:val="auto"/>
          <w:szCs w:val="32"/>
        </w:rPr>
        <w:t>三、收支预算总体情况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_Toc24083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楷体_GB2312" w:eastAsia="楷体_GB2312"/>
          <w:color w:val="auto"/>
          <w:kern w:val="0"/>
          <w:szCs w:val="32"/>
        </w:rPr>
        <w:t>（一）收入预算情况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_Toc23914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eastAsia="楷体_GB2312"/>
          <w:color w:val="auto"/>
          <w:kern w:val="0"/>
          <w:szCs w:val="32"/>
        </w:rPr>
        <w:t>（二）支出预算情况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_Toc2770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四、一般公共预算当年拨款情况说明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6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_Toc32451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楷体_GB2312" w:hAnsi="黑体" w:eastAsia="楷体_GB2312"/>
          <w:color w:val="auto"/>
          <w:szCs w:val="32"/>
        </w:rPr>
        <w:t>（一）一般公共预算当年拨款规模变化情况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6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_Toc29477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（二）一般公共预算当年拨款结构情况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_Toc5972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五、一般公共预算基本支出情况说明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_Toc4344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六、</w:t>
      </w:r>
      <w:r>
        <w:rPr>
          <w:rFonts w:eastAsia="黑体"/>
          <w:color w:val="auto"/>
          <w:szCs w:val="32"/>
        </w:rPr>
        <w:t>“</w:t>
      </w:r>
      <w:r>
        <w:rPr>
          <w:rFonts w:hAnsi="黑体" w:eastAsia="黑体"/>
          <w:color w:val="auto"/>
          <w:szCs w:val="32"/>
        </w:rPr>
        <w:t>三公</w:t>
      </w:r>
      <w:r>
        <w:rPr>
          <w:rFonts w:eastAsia="黑体"/>
          <w:color w:val="auto"/>
          <w:szCs w:val="32"/>
        </w:rPr>
        <w:t>”</w:t>
      </w:r>
      <w:r>
        <w:rPr>
          <w:rFonts w:hAnsi="黑体" w:eastAsia="黑体"/>
          <w:color w:val="auto"/>
          <w:szCs w:val="32"/>
        </w:rPr>
        <w:t>经费财政拨款预算安排情况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_Toc29415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楷体_GB2312"/>
          <w:color w:val="auto"/>
          <w:szCs w:val="32"/>
        </w:rPr>
        <w:t>（一）因公出国（境）经费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_Toc7222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楷体_GB2312"/>
          <w:color w:val="auto"/>
          <w:szCs w:val="32"/>
        </w:rPr>
        <w:t>（二）公务接待费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_Toc16350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eastAsia="楷体_GB2312"/>
          <w:color w:val="auto"/>
          <w:szCs w:val="32"/>
        </w:rPr>
        <w:t>（三）公务用车购置及运行维护费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rFonts w:eastAsia="方正小标宋简体"/>
          <w:color w:val="auto"/>
          <w:szCs w:val="44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_Toc3929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hAnsi="黑体" w:eastAsia="黑体"/>
          <w:color w:val="auto"/>
          <w:szCs w:val="32"/>
        </w:rPr>
        <w:t xml:space="preserve">七、 </w:t>
      </w:r>
      <w:r>
        <w:rPr>
          <w:rFonts w:hint="eastAsia" w:hAnsi="黑体" w:eastAsia="黑体"/>
          <w:color w:val="auto"/>
          <w:szCs w:val="32"/>
          <w:lang w:eastAsia="zh-CN"/>
        </w:rPr>
        <w:t>非财政拨款预算安排“三公”经费情况说明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7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rFonts w:hint="eastAsia" w:eastAsia="方正小标宋简体"/>
          <w:color w:val="auto"/>
          <w:szCs w:val="44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_Toc26114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Ansi="黑体" w:eastAsia="黑体"/>
          <w:color w:val="auto"/>
          <w:szCs w:val="32"/>
        </w:rPr>
        <w:t>八、</w:t>
      </w:r>
      <w:r>
        <w:rPr>
          <w:rFonts w:hint="eastAsia" w:hAnsi="黑体" w:eastAsia="黑体"/>
          <w:color w:val="auto"/>
          <w:szCs w:val="32"/>
          <w:lang w:eastAsia="zh-CN"/>
        </w:rPr>
        <w:t>政府性基金预算支出情况说明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8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_Toc26114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hAnsi="黑体" w:eastAsia="黑体"/>
          <w:color w:val="auto"/>
          <w:szCs w:val="32"/>
          <w:lang w:eastAsia="zh-CN"/>
        </w:rPr>
        <w:t>九</w:t>
      </w:r>
      <w:r>
        <w:rPr>
          <w:rFonts w:hAnsi="黑体" w:eastAsia="黑体"/>
          <w:color w:val="auto"/>
          <w:szCs w:val="32"/>
        </w:rPr>
        <w:t>、国有资本经营预算支出情况说明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8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8"/>
        <w:tabs>
          <w:tab w:val="right" w:leader="dot" w:pos="8844"/>
        </w:tabs>
        <w:rPr>
          <w:color w:val="auto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_Toc30061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hAnsi="黑体" w:eastAsia="黑体"/>
          <w:color w:val="auto"/>
          <w:szCs w:val="32"/>
          <w:lang w:eastAsia="zh-CN"/>
        </w:rPr>
        <w:t>十</w:t>
      </w:r>
      <w:r>
        <w:rPr>
          <w:rFonts w:hAnsi="黑体" w:eastAsia="黑体"/>
          <w:color w:val="auto"/>
          <w:szCs w:val="32"/>
        </w:rPr>
        <w:t>、其他重要事项的情况说明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8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_Toc9452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hint="eastAsia" w:ascii="楷体_GB2312" w:hAnsi="黑体" w:eastAsia="楷体_GB2312"/>
          <w:color w:val="auto"/>
          <w:szCs w:val="32"/>
        </w:rPr>
        <w:t>（一）业务运行经费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8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_Toc30045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（二）国有资产占有使用情况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8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_Toc16045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（三）政府采购情况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9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auto"/>
          <w:lang w:val="en-US" w:eastAsia="zh-CN"/>
        </w:rPr>
      </w:pPr>
      <w:r>
        <w:rPr>
          <w:rFonts w:eastAsia="方正小标宋简体"/>
          <w:color w:val="auto"/>
          <w:szCs w:val="44"/>
        </w:rPr>
        <w:fldChar w:fldCharType="begin"/>
      </w:r>
      <w:r>
        <w:rPr>
          <w:rFonts w:eastAsia="方正小标宋简体"/>
          <w:color w:val="auto"/>
          <w:szCs w:val="44"/>
        </w:rPr>
        <w:instrText xml:space="preserve"> HYPERLINK \l _Toc27782 </w:instrText>
      </w:r>
      <w:r>
        <w:rPr>
          <w:rFonts w:eastAsia="方正小标宋简体"/>
          <w:color w:val="auto"/>
          <w:szCs w:val="44"/>
        </w:rPr>
        <w:fldChar w:fldCharType="separate"/>
      </w:r>
      <w:r>
        <w:rPr>
          <w:rFonts w:ascii="楷体_GB2312" w:hAnsi="黑体" w:eastAsia="楷体_GB2312"/>
          <w:color w:val="auto"/>
          <w:szCs w:val="32"/>
        </w:rPr>
        <w:t>（四）绩效目标设置情况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>9</w:t>
      </w:r>
      <w:r>
        <w:rPr>
          <w:rFonts w:eastAsia="方正小标宋简体"/>
          <w:color w:val="auto"/>
          <w:szCs w:val="44"/>
        </w:rPr>
        <w:fldChar w:fldCharType="end"/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auto"/>
          <w:szCs w:val="44"/>
        </w:rPr>
        <w:fldChar w:fldCharType="end"/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年部门预算经区第十二届人民代表大会第八次会议审议通过，按照《预算法》及</w:t>
      </w:r>
      <w:r>
        <w:rPr>
          <w:rFonts w:hint="eastAsia" w:ascii="Calibri" w:hAnsi="Calibri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《预算法实施条例》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要求，现将我单位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年部门预算说明如下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一、基本职能及主要工作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基本职能：为辖区内的居民提供基本医疗服务，做好疾病预防.传染病预防.计划免疫.慢性病的筛查和管理.精神病管理.妇女保健.儿童保健.老年保健.残疾康复训练指导.健康知识指导宣传.计划生育服务宣传.优生优育宣传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提供基本医疗服务，开展农村常见病、多发病以及诊断明确的慢性非传染性疾病的诊疗、护理。全面建立覆盖全乡居民的基本医疗卫生服务制度，使全乡居民人人享有基本医疗保障，人人享有基本公共卫生服务，医疗卫生服务质量、服务效率和群众满意度显著提高，切实解决看病难问题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（2）基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本建立分工明确、信息互通、资源共享、协调互动的公共卫生服务体系，促进全乡居民享有均等化的基本公共卫生服务;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基本建立规范有序、结构合理、覆盖全乡的医疗服务体系，为群众提供安全、有效、方便、价廉的基本医疗服务;</w:t>
      </w:r>
    </w:p>
    <w:p>
      <w:pPr>
        <w:keepNext w:val="0"/>
        <w:keepLines w:val="0"/>
        <w:pageBreakBefore w:val="0"/>
        <w:tabs>
          <w:tab w:val="left" w:pos="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（4）贯彻落实国家基本药物制度，全面配备、使用基本药物；实行网上统一采购，实施基本药物零差价销售，统一配送的基本药物采购机制。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以国家基本药物制度为基础的药品器械供应保障体系进一步规范，确保基本药物安全有效、公平可及、合理使用;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建立健全支撑卫生事业全面、协调、可持续发展的各项体制机制，有效保障医药卫生体系规范运行;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我院将以热情、细致、扎实、认真的服务态度，努力探索仁和区阳光康养服务及老年人医养服务相结合的新模式，探索更好的服务方式，为辖区签约老年人服好务，进一步提高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医养工作服务质量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群众满意乡镇卫生院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，创建以人为本的卫生院文化，实现和谐的人文特色办院方向;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培养一支留得住、用得上、满足群众健康需求、技术过硬的基础医疗卫生队伍。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配合医保中心做好医保报销工作。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年重点工作任务介绍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1.基本医疗方面：加强医疗质量管理，保证医疗安全。争取门诊人次在202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上增加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住院人次在2023年基础上增加3%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基本公共卫生工作方面：着力做好基本公共卫生工作。严格执行疫情监测、报告制度，突发重点疾病防控及突发公共卫生事件处置和救灾防病工作。抓好重点人群管理工作。高血压管理率达90%、糖尿病管理率达90%、老年人管理率达90%、孕产妇管理率达90%、儿童管理率达90%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（一）、单位构成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年度部门预算编报的单位共1个。无下属二级单位。其中：行政单位0个，参照公务员法管理的事业单位0个，其他事业单位0个。属财政全额补助事业单位，主管部门攀枝花市仁和区卫生健康局。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（二）、单位人员编制、实有人数情况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我单位人员编制数1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人，实际在编1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人，实有人数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人（其中退休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人，聘用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人，正式在职1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。内设机构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个（药房、检验、护理、医疗全科、公卫、母婴保健、预防接种、财务室、办公室）。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固定资产情况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卫生院房屋占地面积约1100m2，其中现有业务用房面积1143余平米，现设科室为：临床、护理、医技、公卫、城乡医保办等科室，固定资产总值达304.26余万元，卫生院现有彩色多普勒超声诊断仪、全自动生化分析仪、尿液分析仪等设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72"/>
        <w:jc w:val="left"/>
        <w:textAlignment w:val="auto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我单位车辆编制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其中一般公务用车一辆，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车牌号：川D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GX616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车辆类型为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越野车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基本公共卫生下队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入户、疫情防控等公卫工作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；救护车一辆，车牌号：川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DA5621，主要用于急重病人转运。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财政拨款预算安排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三、收支预算总体情况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按照综合预算的原则，攀枝花市仁和区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所有收入和支出均纳入部门预算管理。202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收入预算总额为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万元、政府性基金预算拨款收入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万元、国有资本经营预算拨款收入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万元、上年结转收入0万元、事业收入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万元、事业单位经营收入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；相应安排支出预算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万元，其中：工资福利支出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162.22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万元，日常公用支出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万元，对个人和家庭的补助支出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2.47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万元，项目支出0万元。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3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（一）收入预算情况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中：本年一般公共预算拨款收入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；政府性基金预算拨款收入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；上年结转收入0万元,占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3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（二）支出预算情况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；项目支出0万元，占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预算安排支出主要用于保障该部门机构正常运转、完成日常工作任务以及本单位承担的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基本公共卫生及基本医疗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基本支出，是用于保障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正常运转的日常支出，包括基本工资、津贴补贴、离退休费、住房公积金和日常公用经费等。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项目支出，是用于保障攀枝花市仁和区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为完成特定的行政工作或事业发展目标，用于专项业务工作的经费支出。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按支出功能分类主要用于以下方面支出包括: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19.36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万元，主要用于中心离退人员支出。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医疗卫生支出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128.97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按照规定标准为职工缴纳的基本医疗保险及公务员医疗补助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、基本工资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16.36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按照规定标准为职工缴纳住房公积金等支出。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1598" w:leftChars="380" w:hanging="800" w:hangingChars="25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四、一般公共预算当年拨款情况说明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60" w:leftChars="76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年一般公共预算当年拨款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万元，主要是202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卫生健康支出增加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4.09万元，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另外住房保障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社会保障和就业支出减少1.95万元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。 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60" w:leftChars="76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工资福利支出增加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万元，个人和家庭的补助支出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。 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19.36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11.76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%,卫生健康支出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128.97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78.31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16.36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五、一般公共预算基本支出情况说明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万元。其中：人员经费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50.92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万元、津贴补贴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6.60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53.43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万元、基本养老保险缴费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17.73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万元、基本医疗保险缴费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万元、公务员医疗补助缴费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万元、社会保险缴费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万元、住房公积金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16.36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4.09万元、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其他对个人和家庭的补助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公用经费0万元。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经费财政拨款预算安排情况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年没有使用财政拨款安排“三公”经费预算。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（一）因公出国（境）经费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根据工作统一安排，202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年年初部门预算暂不编列因公出国（境）经费。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（二）公务接待费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无公务接待费预算，与202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（三）公务用车购置及运行维护费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无公务用车购置及运行维护费预算，与202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七、非财政拨款预算安排“三公”经费情况说明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年非财政拨款“三公”经费预算数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万元，其中：公务接待费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万元。根据工作统一安排，202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年市本级年初部门预算暂未编列非财政拨款安排的因公出国（境）经费。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textAlignment w:val="auto"/>
        <w:rPr>
          <w:rFonts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（一）非财政拨款安排公务接待费情况说明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无非财政拨款安排公务接待费预算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（二）非财政拨款安排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情况说明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textAlignment w:val="auto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非财政拨款安排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公务用车购置及运行维护费较202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年预算持平。主要原因是</w:t>
      </w:r>
      <w:r>
        <w:rPr>
          <w:rFonts w:hint="eastAsia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收入自行承担，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主要用于车辆运行及维护，经费预算与2023年持平。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单位现有公务用车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越野车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，救护车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。主要保障</w:t>
      </w:r>
      <w:r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标本运送、艾滋病患者采血配送、</w:t>
      </w:r>
      <w:r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基本公共卫生下队</w:t>
      </w:r>
      <w:r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入户、疫情防控应急等公卫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工作开展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，救护车主要用于急重病人转运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非财政拨款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非财政拨款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八、政府性基金预算支出情况说明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无政府性基金预算拨款安排的支出。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九、国有资本经营预算支出情况说明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年无国有资本经营预算拨款安排的支出。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十、其他重要事项的情况说明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（一）业务运行经费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业务运行经费支出。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（二）国有资产占有使用情况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辆，其中，执法执勤用车0辆，单位价值200万元以上大型设备0台。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（三）政府采购情况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00" w:firstLineChars="250"/>
        <w:textAlignment w:val="auto"/>
        <w:rPr>
          <w:rFonts w:ascii="Arial" w:hAnsi="Arial" w:eastAsia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安排政府采购预算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。主要用于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医疗设备、</w:t>
      </w: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办公设备采购。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（四）预算绩效情况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开展绩效目标管理的项目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万元。其中：人员类项目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164.69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；运转类项目0个，涉及预算0万元；特定目标类项目0个，涉及预算0万元。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1918" w:leftChars="304" w:hanging="1280" w:hangingChars="4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附件：1.仁和区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前进镇卫生院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预算公开表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1600" w:leftChars="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门预算名词解释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1600" w:leftChars="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3.2024年前进镇卫生院预算绩效目标申报表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after="255" w:line="48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GI1ZjdiNjMyYTNlMGMzZWRkOGQ2ZDEzZDJlNDUifQ=="/>
  </w:docVars>
  <w:rsids>
    <w:rsidRoot w:val="00945B70"/>
    <w:rsid w:val="00007B79"/>
    <w:rsid w:val="0001638E"/>
    <w:rsid w:val="00054133"/>
    <w:rsid w:val="00057B85"/>
    <w:rsid w:val="00064D94"/>
    <w:rsid w:val="000660FA"/>
    <w:rsid w:val="0007213D"/>
    <w:rsid w:val="00081EE5"/>
    <w:rsid w:val="00082831"/>
    <w:rsid w:val="0008473E"/>
    <w:rsid w:val="00093E6E"/>
    <w:rsid w:val="000A25EA"/>
    <w:rsid w:val="000A65D5"/>
    <w:rsid w:val="000B1119"/>
    <w:rsid w:val="000D7F86"/>
    <w:rsid w:val="000E2767"/>
    <w:rsid w:val="000E58D7"/>
    <w:rsid w:val="000F3B9D"/>
    <w:rsid w:val="00116954"/>
    <w:rsid w:val="00117E9D"/>
    <w:rsid w:val="00120422"/>
    <w:rsid w:val="00123C0D"/>
    <w:rsid w:val="00132BE0"/>
    <w:rsid w:val="001331C3"/>
    <w:rsid w:val="001370E8"/>
    <w:rsid w:val="00145933"/>
    <w:rsid w:val="00151445"/>
    <w:rsid w:val="00152182"/>
    <w:rsid w:val="001552BD"/>
    <w:rsid w:val="00163735"/>
    <w:rsid w:val="00166033"/>
    <w:rsid w:val="001847B0"/>
    <w:rsid w:val="00192390"/>
    <w:rsid w:val="001C030D"/>
    <w:rsid w:val="001E3B88"/>
    <w:rsid w:val="001F1B5A"/>
    <w:rsid w:val="001F6047"/>
    <w:rsid w:val="00235F75"/>
    <w:rsid w:val="0025140B"/>
    <w:rsid w:val="0026139E"/>
    <w:rsid w:val="0026211C"/>
    <w:rsid w:val="0028090F"/>
    <w:rsid w:val="002950AF"/>
    <w:rsid w:val="0029548B"/>
    <w:rsid w:val="002B2478"/>
    <w:rsid w:val="002C4760"/>
    <w:rsid w:val="002C5AC2"/>
    <w:rsid w:val="002D0BB1"/>
    <w:rsid w:val="002D5F66"/>
    <w:rsid w:val="002E18DF"/>
    <w:rsid w:val="002F3902"/>
    <w:rsid w:val="0031012F"/>
    <w:rsid w:val="003209CA"/>
    <w:rsid w:val="00325D6A"/>
    <w:rsid w:val="00326849"/>
    <w:rsid w:val="00331BA1"/>
    <w:rsid w:val="003475D7"/>
    <w:rsid w:val="0035086B"/>
    <w:rsid w:val="00357821"/>
    <w:rsid w:val="00361304"/>
    <w:rsid w:val="0036773C"/>
    <w:rsid w:val="00367F14"/>
    <w:rsid w:val="00375AB2"/>
    <w:rsid w:val="00387DFB"/>
    <w:rsid w:val="00394AA9"/>
    <w:rsid w:val="0039704A"/>
    <w:rsid w:val="003B0F1E"/>
    <w:rsid w:val="003C5BE3"/>
    <w:rsid w:val="003D4960"/>
    <w:rsid w:val="003F5745"/>
    <w:rsid w:val="003F5F87"/>
    <w:rsid w:val="003F6F1A"/>
    <w:rsid w:val="003F7E7B"/>
    <w:rsid w:val="0040064F"/>
    <w:rsid w:val="004071CC"/>
    <w:rsid w:val="00411E98"/>
    <w:rsid w:val="004268F2"/>
    <w:rsid w:val="00436209"/>
    <w:rsid w:val="00437C55"/>
    <w:rsid w:val="004603F3"/>
    <w:rsid w:val="00472F6A"/>
    <w:rsid w:val="00480D97"/>
    <w:rsid w:val="004845B1"/>
    <w:rsid w:val="004A5EF3"/>
    <w:rsid w:val="004B4648"/>
    <w:rsid w:val="004C7EA8"/>
    <w:rsid w:val="004D5BF3"/>
    <w:rsid w:val="004E22E6"/>
    <w:rsid w:val="004E6273"/>
    <w:rsid w:val="004F490B"/>
    <w:rsid w:val="00514F9C"/>
    <w:rsid w:val="00516CAC"/>
    <w:rsid w:val="00560698"/>
    <w:rsid w:val="005710E5"/>
    <w:rsid w:val="005748E0"/>
    <w:rsid w:val="005A77D7"/>
    <w:rsid w:val="005D1D67"/>
    <w:rsid w:val="005E71A7"/>
    <w:rsid w:val="005F54D7"/>
    <w:rsid w:val="005F554D"/>
    <w:rsid w:val="00604727"/>
    <w:rsid w:val="00605B0F"/>
    <w:rsid w:val="00622239"/>
    <w:rsid w:val="00634953"/>
    <w:rsid w:val="00654E88"/>
    <w:rsid w:val="00656E64"/>
    <w:rsid w:val="00671B95"/>
    <w:rsid w:val="00674A0B"/>
    <w:rsid w:val="00684108"/>
    <w:rsid w:val="00687670"/>
    <w:rsid w:val="006933A2"/>
    <w:rsid w:val="006B4BD0"/>
    <w:rsid w:val="006B4DC2"/>
    <w:rsid w:val="006C40F7"/>
    <w:rsid w:val="006D1B1C"/>
    <w:rsid w:val="006D3B52"/>
    <w:rsid w:val="006F27F3"/>
    <w:rsid w:val="0070320B"/>
    <w:rsid w:val="00705090"/>
    <w:rsid w:val="007066BD"/>
    <w:rsid w:val="00710394"/>
    <w:rsid w:val="007124BA"/>
    <w:rsid w:val="007152DB"/>
    <w:rsid w:val="0072462E"/>
    <w:rsid w:val="00725D8F"/>
    <w:rsid w:val="00733979"/>
    <w:rsid w:val="00746828"/>
    <w:rsid w:val="007476F1"/>
    <w:rsid w:val="00750461"/>
    <w:rsid w:val="00764AEA"/>
    <w:rsid w:val="00774810"/>
    <w:rsid w:val="007853EC"/>
    <w:rsid w:val="00791B42"/>
    <w:rsid w:val="007A05DD"/>
    <w:rsid w:val="007A09D6"/>
    <w:rsid w:val="007C471E"/>
    <w:rsid w:val="007C587E"/>
    <w:rsid w:val="007D2833"/>
    <w:rsid w:val="007D561C"/>
    <w:rsid w:val="007D616B"/>
    <w:rsid w:val="007D7646"/>
    <w:rsid w:val="007F199D"/>
    <w:rsid w:val="007F3103"/>
    <w:rsid w:val="007F4013"/>
    <w:rsid w:val="00801718"/>
    <w:rsid w:val="00802DB9"/>
    <w:rsid w:val="00804A6B"/>
    <w:rsid w:val="0082215A"/>
    <w:rsid w:val="00830EFF"/>
    <w:rsid w:val="008346B4"/>
    <w:rsid w:val="00835FA5"/>
    <w:rsid w:val="0084187F"/>
    <w:rsid w:val="00842A9E"/>
    <w:rsid w:val="00843175"/>
    <w:rsid w:val="00843A75"/>
    <w:rsid w:val="00847F0D"/>
    <w:rsid w:val="00864B9F"/>
    <w:rsid w:val="008753FD"/>
    <w:rsid w:val="00897370"/>
    <w:rsid w:val="008B00FC"/>
    <w:rsid w:val="008B39CF"/>
    <w:rsid w:val="008B3F81"/>
    <w:rsid w:val="008D5199"/>
    <w:rsid w:val="008D61BA"/>
    <w:rsid w:val="008D6BC3"/>
    <w:rsid w:val="008D7AE6"/>
    <w:rsid w:val="008F0D8F"/>
    <w:rsid w:val="008F63FA"/>
    <w:rsid w:val="009109FB"/>
    <w:rsid w:val="00916369"/>
    <w:rsid w:val="00923CFD"/>
    <w:rsid w:val="0093452D"/>
    <w:rsid w:val="00945B70"/>
    <w:rsid w:val="0094744A"/>
    <w:rsid w:val="00951B3E"/>
    <w:rsid w:val="00954F92"/>
    <w:rsid w:val="00961C37"/>
    <w:rsid w:val="00973248"/>
    <w:rsid w:val="009A489F"/>
    <w:rsid w:val="009B751F"/>
    <w:rsid w:val="009C5345"/>
    <w:rsid w:val="009D0D69"/>
    <w:rsid w:val="009D254B"/>
    <w:rsid w:val="009D2F12"/>
    <w:rsid w:val="009D36A1"/>
    <w:rsid w:val="00A11F19"/>
    <w:rsid w:val="00A272D4"/>
    <w:rsid w:val="00A3084A"/>
    <w:rsid w:val="00A34177"/>
    <w:rsid w:val="00A474BB"/>
    <w:rsid w:val="00A5351F"/>
    <w:rsid w:val="00A60AED"/>
    <w:rsid w:val="00A65DDE"/>
    <w:rsid w:val="00A75BA1"/>
    <w:rsid w:val="00A87EFB"/>
    <w:rsid w:val="00A97173"/>
    <w:rsid w:val="00AB25C1"/>
    <w:rsid w:val="00AC1EB9"/>
    <w:rsid w:val="00AF1543"/>
    <w:rsid w:val="00AF45A7"/>
    <w:rsid w:val="00AF71DE"/>
    <w:rsid w:val="00B024EF"/>
    <w:rsid w:val="00B22B21"/>
    <w:rsid w:val="00B3768D"/>
    <w:rsid w:val="00B500A7"/>
    <w:rsid w:val="00B54CFF"/>
    <w:rsid w:val="00B61CAD"/>
    <w:rsid w:val="00B63745"/>
    <w:rsid w:val="00B64151"/>
    <w:rsid w:val="00B65C1A"/>
    <w:rsid w:val="00B66776"/>
    <w:rsid w:val="00B72F30"/>
    <w:rsid w:val="00B80E2D"/>
    <w:rsid w:val="00B863EC"/>
    <w:rsid w:val="00B9518E"/>
    <w:rsid w:val="00BA25EE"/>
    <w:rsid w:val="00BB3607"/>
    <w:rsid w:val="00BB5D8B"/>
    <w:rsid w:val="00BB604F"/>
    <w:rsid w:val="00BB738E"/>
    <w:rsid w:val="00BC2994"/>
    <w:rsid w:val="00BE17BB"/>
    <w:rsid w:val="00BE5112"/>
    <w:rsid w:val="00BE7778"/>
    <w:rsid w:val="00BF0EEE"/>
    <w:rsid w:val="00C04818"/>
    <w:rsid w:val="00C07A70"/>
    <w:rsid w:val="00C10280"/>
    <w:rsid w:val="00C24F6F"/>
    <w:rsid w:val="00C32338"/>
    <w:rsid w:val="00C4508A"/>
    <w:rsid w:val="00C4710B"/>
    <w:rsid w:val="00C56313"/>
    <w:rsid w:val="00C76404"/>
    <w:rsid w:val="00C83464"/>
    <w:rsid w:val="00C8640F"/>
    <w:rsid w:val="00C9005A"/>
    <w:rsid w:val="00CE1A96"/>
    <w:rsid w:val="00D00ABA"/>
    <w:rsid w:val="00D22D51"/>
    <w:rsid w:val="00D23E2F"/>
    <w:rsid w:val="00D241E1"/>
    <w:rsid w:val="00D34AE6"/>
    <w:rsid w:val="00D52800"/>
    <w:rsid w:val="00D63FDB"/>
    <w:rsid w:val="00D66748"/>
    <w:rsid w:val="00D755F6"/>
    <w:rsid w:val="00D909B9"/>
    <w:rsid w:val="00DA5CA3"/>
    <w:rsid w:val="00DB3C21"/>
    <w:rsid w:val="00DC27F9"/>
    <w:rsid w:val="00DD01C6"/>
    <w:rsid w:val="00DD6FC5"/>
    <w:rsid w:val="00DE1482"/>
    <w:rsid w:val="00DF4C9F"/>
    <w:rsid w:val="00E0201C"/>
    <w:rsid w:val="00E07F3C"/>
    <w:rsid w:val="00E2050E"/>
    <w:rsid w:val="00E24A00"/>
    <w:rsid w:val="00E40D5D"/>
    <w:rsid w:val="00E425E3"/>
    <w:rsid w:val="00E54435"/>
    <w:rsid w:val="00E67E28"/>
    <w:rsid w:val="00E847A1"/>
    <w:rsid w:val="00E84B6F"/>
    <w:rsid w:val="00E94C33"/>
    <w:rsid w:val="00E964FF"/>
    <w:rsid w:val="00EA3D3B"/>
    <w:rsid w:val="00EC48F0"/>
    <w:rsid w:val="00EC4E18"/>
    <w:rsid w:val="00ED35B4"/>
    <w:rsid w:val="00ED664D"/>
    <w:rsid w:val="00EE0C17"/>
    <w:rsid w:val="00EE363D"/>
    <w:rsid w:val="00EE6310"/>
    <w:rsid w:val="00EF1964"/>
    <w:rsid w:val="00EF2375"/>
    <w:rsid w:val="00EF3308"/>
    <w:rsid w:val="00EF5BAF"/>
    <w:rsid w:val="00F047B4"/>
    <w:rsid w:val="00F16557"/>
    <w:rsid w:val="00F2407B"/>
    <w:rsid w:val="00F346E5"/>
    <w:rsid w:val="00F6680B"/>
    <w:rsid w:val="00F679A7"/>
    <w:rsid w:val="00F72326"/>
    <w:rsid w:val="00F75A76"/>
    <w:rsid w:val="00F85BE0"/>
    <w:rsid w:val="00F92012"/>
    <w:rsid w:val="00F93E0B"/>
    <w:rsid w:val="00FA618F"/>
    <w:rsid w:val="00FB6925"/>
    <w:rsid w:val="00FB6BE3"/>
    <w:rsid w:val="00FF33CE"/>
    <w:rsid w:val="041712F3"/>
    <w:rsid w:val="05686FDA"/>
    <w:rsid w:val="0C3F1F35"/>
    <w:rsid w:val="10807363"/>
    <w:rsid w:val="10EC1DDE"/>
    <w:rsid w:val="14C82D7C"/>
    <w:rsid w:val="188C18CF"/>
    <w:rsid w:val="1B0E7410"/>
    <w:rsid w:val="26A10829"/>
    <w:rsid w:val="2B0B2A59"/>
    <w:rsid w:val="2CD07700"/>
    <w:rsid w:val="2F6122FD"/>
    <w:rsid w:val="30096F9B"/>
    <w:rsid w:val="36743E79"/>
    <w:rsid w:val="36AF4614"/>
    <w:rsid w:val="3C626722"/>
    <w:rsid w:val="45CF5E19"/>
    <w:rsid w:val="47F32C35"/>
    <w:rsid w:val="49426433"/>
    <w:rsid w:val="4A6D7174"/>
    <w:rsid w:val="4D7144EB"/>
    <w:rsid w:val="503D615C"/>
    <w:rsid w:val="51B67A69"/>
    <w:rsid w:val="522E0B95"/>
    <w:rsid w:val="53C943BD"/>
    <w:rsid w:val="57094811"/>
    <w:rsid w:val="596A316E"/>
    <w:rsid w:val="5BD83544"/>
    <w:rsid w:val="618B3719"/>
    <w:rsid w:val="63141274"/>
    <w:rsid w:val="69440C6F"/>
    <w:rsid w:val="6A350C4E"/>
    <w:rsid w:val="6A691D33"/>
    <w:rsid w:val="73351AAB"/>
    <w:rsid w:val="7C227E7A"/>
    <w:rsid w:val="7D5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big"/>
    <w:basedOn w:val="7"/>
    <w:qFormat/>
    <w:uiPriority w:val="0"/>
  </w:style>
  <w:style w:type="character" w:customStyle="1" w:styleId="13">
    <w:name w:val="middle"/>
    <w:basedOn w:val="7"/>
    <w:qFormat/>
    <w:uiPriority w:val="0"/>
  </w:style>
  <w:style w:type="character" w:customStyle="1" w:styleId="14">
    <w:name w:val="small"/>
    <w:basedOn w:val="7"/>
    <w:qFormat/>
    <w:uiPriority w:val="0"/>
  </w:style>
  <w:style w:type="character" w:customStyle="1" w:styleId="15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10</Pages>
  <Words>3610</Words>
  <Characters>3927</Characters>
  <Lines>24</Lines>
  <Paragraphs>6</Paragraphs>
  <TotalTime>1</TotalTime>
  <ScaleCrop>false</ScaleCrop>
  <LinksUpToDate>false</LinksUpToDate>
  <CharactersWithSpaces>3967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2021-05-20T02:00:00Z</dcterms:created>
  <dc:creator>Windows 用户</dc:creator>
  <cp:lastModifiedBy>肖珊</cp:lastModifiedBy>
  <cp:lastPrinted>2024-02-28T09:31:00Z</cp:lastPrinted>
  <dcterms:modified xsi:type="dcterms:W3CDTF">2024-03-08T02:58:58Z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19AF963398054A7A9BD76A92A877E47A</vt:lpwstr>
  </property>
  <property fmtid="{D5CDD505-2E9C-101B-9397-08002B2CF9AE}" pid="4" name="KSOSaveFontToCloudKey">
    <vt:lpwstr>9824790_btnclosed</vt:lpwstr>
  </property>
</Properties>
</file>