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526"/>
        <w:gridCol w:w="1072"/>
        <w:gridCol w:w="3195"/>
        <w:gridCol w:w="3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3" w:hRule="atLeast"/>
        </w:trPr>
        <w:tc>
          <w:tcPr>
            <w:tcW w:w="865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865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4"/>
                <w:rFonts w:eastAsia="宋体"/>
                <w:lang w:val="en-US" w:eastAsia="zh-CN" w:bidi="ar"/>
              </w:rPr>
              <w:t>2024</w:t>
            </w:r>
            <w:r>
              <w:rPr>
                <w:rStyle w:val="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2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学前教育生均公用经费项目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2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攀枝花市仁和区同德镇中心学校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13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加快发展学校学前教育事业，实现学前教育全覆盖；保障2024年中心幼儿园教学工作正常运转，保证保育员及临聘教师工资按时发放。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辖区内学前教育阶段学生人数  </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学校专任教师数</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生均公用经费标准</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 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适龄儿童、少年入学率</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学前教育收费</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适龄儿童、少年入学率</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受群众满意度</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r>
        <w:br w:type="page"/>
      </w:r>
    </w:p>
    <w:tbl>
      <w:tblPr>
        <w:tblStyle w:val="3"/>
        <w:tblW w:w="8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524"/>
        <w:gridCol w:w="1067"/>
        <w:gridCol w:w="3180"/>
        <w:gridCol w:w="3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7" w:hRule="atLeast"/>
        </w:trPr>
        <w:tc>
          <w:tcPr>
            <w:tcW w:w="861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861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11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少年宫运转经费项目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11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攀枝花市仁和区同德镇中心学校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1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践行素质教育理念，充分利用和挖掘潜在教育资源，增长学生艺术特长，促进学生德智体美劳全面发展，促进校外教育、学校教育、家庭教育的紧密联系、融合。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5"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聘请有资质的外聘老师数量</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开展校园体育和艺术活动项目数</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学生参与度</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体育 、艺术活动 </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按年度计划开展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劳务及活动费</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9"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践行素质教育理念 </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9"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推动基础教育改革</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7"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受群众满意度</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r>
        <w:br w:type="page"/>
      </w:r>
    </w:p>
    <w:tbl>
      <w:tblPr>
        <w:tblStyle w:val="3"/>
        <w:tblW w:w="8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478"/>
        <w:gridCol w:w="1023"/>
        <w:gridCol w:w="3389"/>
        <w:gridCol w:w="3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3" w:hRule="atLeast"/>
        </w:trPr>
        <w:tc>
          <w:tcPr>
            <w:tcW w:w="865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865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eastAsia="宋体"/>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97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义务教育生均公用经费项目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97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攀枝花市仁和区同德镇中心学校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9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9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9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1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普及义务教育、维持学校正常运转，保障适龄儿童、少年接受义务教育的权利，提高全民科学文化族素质。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2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389"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辖区内义务教育阶段学生人数</w:t>
            </w:r>
            <w:r>
              <w:rPr>
                <w:rFonts w:ascii="Calibri" w:hAnsi="Calibri" w:eastAsia="宋体" w:cs="Calibri"/>
                <w:i w:val="0"/>
                <w:iCs w:val="0"/>
                <w:color w:val="000000"/>
                <w:kern w:val="0"/>
                <w:sz w:val="24"/>
                <w:szCs w:val="24"/>
                <w:u w:val="none"/>
                <w:lang w:val="en-US" w:eastAsia="zh-CN" w:bidi="ar"/>
              </w:rPr>
              <w:t xml:space="preserve">  </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学校专任教师数</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生均公用经费标准</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 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适龄儿童、少年入学率</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生均公用经费总额</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适龄儿童、少年入学率</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受益群众满意度</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r>
        <w:br w:type="page"/>
      </w:r>
    </w:p>
    <w:tbl>
      <w:tblPr>
        <w:tblStyle w:val="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522"/>
        <w:gridCol w:w="1071"/>
        <w:gridCol w:w="3185"/>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3" w:hRule="atLeast"/>
        </w:trPr>
        <w:tc>
          <w:tcPr>
            <w:tcW w:w="86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6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11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教育教学管理经费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11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攀枝花市仁和区同德镇中心学校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1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4"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1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保障2024年度学校教育教学工作正常运转，不断改善办学条件，促进学校整体教育教学质量提高。真正做到服务于社会、服务于家长、服务于学生；促进学校健康发展，圆满完成学校教育教学活动。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8"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7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85"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学校临聘人员</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在校学生数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办学综合督导评估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教学质量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劳务费</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8"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保安人员满意度</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3"/>
        <w:tblW w:w="8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528"/>
        <w:gridCol w:w="1074"/>
        <w:gridCol w:w="3203"/>
        <w:gridCol w:w="3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2" w:hRule="atLeast"/>
        </w:trPr>
        <w:tc>
          <w:tcPr>
            <w:tcW w:w="867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867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12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学校保安工资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12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攀枝花市仁和区同德镇中心学校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1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2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1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为了保障学校安全，维护学校教育教学秩序，保护学生、教师以及其他职工和学校的合法权益，为培养德智体美劳全面发展的社会主义建设者和接班人创造安全环境。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203"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保安数</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保安工资标准</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工资保障率</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2024年1月1日至12月31日障经费及时足额下拨</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劳务费</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学校及周边治安管控</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校园秩序持续稳定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保安人员满意度</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3"/>
        <w:tblW w:w="8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523"/>
        <w:gridCol w:w="1063"/>
        <w:gridCol w:w="3171"/>
        <w:gridCol w:w="3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0" w:hRule="atLeast"/>
        </w:trPr>
        <w:tc>
          <w:tcPr>
            <w:tcW w:w="859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9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210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仁和区公共卫生特别服务岗（校医辅助岗）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210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6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攀枝花市仁和区同德镇中心学校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1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2"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0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川卫发〔2022]7号文，以习近平新时代中国特色社会主义思想为指导，全面贯彻习近平总书记来川视察重要指示精神，认真落实中央“两稳一保”决策部署和省第十二次党代会、省委经济工作会议精神，以改革创新的思路，破解体制障碍，扎实做好2024年稳定和扩大就业工作，按照“省级统筹、市级主体，公开公平、竞争择优，强化保障、加强管理”原则，2024年在全省设立30000个公共卫生特别服务岗（以下简称公卫特别岗)，面向社会公开招募，进一步稳住就业形势，切实提升应对突发重大公共卫生事件的能力。仁和区招募完成辅助岗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校医辅助岗 </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开展健康教育课时</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不低于2课时/每学期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在校生开展“三检”率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时限</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2024年1月1日至2024年12月31日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区级资金</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做好学校卫生工作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提升学校应对突发重大公共卫生事件的能力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8"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学生、家长、社会群众满意率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tbl>
      <w:tblPr>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1"/>
        <w:gridCol w:w="670"/>
        <w:gridCol w:w="629"/>
        <w:gridCol w:w="532"/>
        <w:gridCol w:w="573"/>
        <w:gridCol w:w="309"/>
        <w:gridCol w:w="706"/>
        <w:gridCol w:w="3706"/>
        <w:gridCol w:w="993"/>
        <w:gridCol w:w="90"/>
        <w:gridCol w:w="595"/>
        <w:gridCol w:w="1"/>
        <w:gridCol w:w="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90" w:type="dxa"/>
          <w:trHeight w:val="885" w:hRule="atLeast"/>
        </w:trPr>
        <w:tc>
          <w:tcPr>
            <w:tcW w:w="8949" w:type="dxa"/>
            <w:gridSpan w:val="9"/>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部门（单位）整体支出绩效目标申报表</w:t>
            </w:r>
          </w:p>
        </w:tc>
        <w:tc>
          <w:tcPr>
            <w:tcW w:w="685" w:type="dxa"/>
            <w:gridSpan w:val="2"/>
            <w:shd w:val="cle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563" w:hRule="atLeast"/>
        </w:trPr>
        <w:tc>
          <w:tcPr>
            <w:tcW w:w="8949" w:type="dxa"/>
            <w:gridSpan w:val="9"/>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w:t>
            </w:r>
          </w:p>
        </w:tc>
        <w:tc>
          <w:tcPr>
            <w:tcW w:w="685" w:type="dxa"/>
            <w:gridSpan w:val="2"/>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9" w:type="dxa"/>
          <w:trHeight w:val="450" w:hRule="atLeast"/>
        </w:trPr>
        <w:tc>
          <w:tcPr>
            <w:tcW w:w="2130" w:type="dxa"/>
            <w:gridSpan w:val="3"/>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填报单位（盖章）：攀枝花市仁和区同德镇中心学校</w:t>
            </w:r>
          </w:p>
        </w:tc>
        <w:tc>
          <w:tcPr>
            <w:tcW w:w="1105" w:type="dxa"/>
            <w:gridSpan w:val="2"/>
            <w:shd w:val="clear"/>
            <w:vAlign w:val="center"/>
          </w:tcPr>
          <w:p>
            <w:pPr>
              <w:rPr>
                <w:rFonts w:hint="eastAsia" w:ascii="宋体" w:hAnsi="宋体" w:eastAsia="宋体" w:cs="宋体"/>
                <w:i w:val="0"/>
                <w:color w:val="000000"/>
                <w:sz w:val="18"/>
                <w:szCs w:val="18"/>
                <w:u w:val="none"/>
              </w:rPr>
            </w:pPr>
          </w:p>
        </w:tc>
        <w:tc>
          <w:tcPr>
            <w:tcW w:w="1015" w:type="dxa"/>
            <w:gridSpan w:val="2"/>
            <w:shd w:val="clear"/>
            <w:vAlign w:val="center"/>
          </w:tcPr>
          <w:p>
            <w:pPr>
              <w:rPr>
                <w:rFonts w:hint="eastAsia" w:ascii="宋体" w:hAnsi="宋体" w:eastAsia="宋体" w:cs="宋体"/>
                <w:i w:val="0"/>
                <w:color w:val="000000"/>
                <w:sz w:val="18"/>
                <w:szCs w:val="18"/>
                <w:u w:val="none"/>
              </w:rPr>
            </w:pPr>
          </w:p>
        </w:tc>
        <w:tc>
          <w:tcPr>
            <w:tcW w:w="3706" w:type="dxa"/>
            <w:shd w:val="clear"/>
            <w:vAlign w:val="center"/>
          </w:tcPr>
          <w:p>
            <w:pPr>
              <w:rPr>
                <w:rFonts w:hint="eastAsia" w:ascii="宋体" w:hAnsi="宋体" w:eastAsia="宋体" w:cs="宋体"/>
                <w:i w:val="0"/>
                <w:color w:val="000000"/>
                <w:sz w:val="18"/>
                <w:szCs w:val="18"/>
                <w:u w:val="none"/>
              </w:rPr>
            </w:pPr>
          </w:p>
        </w:tc>
        <w:tc>
          <w:tcPr>
            <w:tcW w:w="993" w:type="dxa"/>
            <w:shd w:val="clear"/>
            <w:vAlign w:val="center"/>
          </w:tcPr>
          <w:p>
            <w:pPr>
              <w:rPr>
                <w:rFonts w:hint="eastAsia" w:ascii="宋体" w:hAnsi="宋体" w:eastAsia="宋体" w:cs="宋体"/>
                <w:i w:val="0"/>
                <w:color w:val="000000"/>
                <w:sz w:val="18"/>
                <w:szCs w:val="18"/>
                <w:u w:val="none"/>
              </w:rPr>
            </w:pPr>
          </w:p>
        </w:tc>
        <w:tc>
          <w:tcPr>
            <w:tcW w:w="686" w:type="dxa"/>
            <w:gridSpan w:val="3"/>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720" w:hRule="atLeast"/>
        </w:trPr>
        <w:tc>
          <w:tcPr>
            <w:tcW w:w="83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预算名称：</w:t>
            </w:r>
          </w:p>
        </w:tc>
        <w:tc>
          <w:tcPr>
            <w:tcW w:w="811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攀枝花市仁和区同德镇中心学校</w:t>
            </w:r>
          </w:p>
        </w:tc>
        <w:tc>
          <w:tcPr>
            <w:tcW w:w="6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9" w:type="dxa"/>
          <w:trHeight w:val="585"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预算资金（万元)</w:t>
            </w:r>
          </w:p>
        </w:tc>
        <w:tc>
          <w:tcPr>
            <w:tcW w:w="2404"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年度财政拨款资金总额:</w:t>
            </w:r>
          </w:p>
        </w:tc>
        <w:tc>
          <w:tcPr>
            <w:tcW w:w="1015" w:type="dxa"/>
            <w:gridSpan w:val="2"/>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70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财政资金</w:t>
            </w:r>
          </w:p>
        </w:tc>
        <w:tc>
          <w:tcPr>
            <w:tcW w:w="993"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686"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9" w:type="dxa"/>
          <w:trHeight w:val="51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404"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1,014.38</w:t>
            </w:r>
          </w:p>
        </w:tc>
        <w:tc>
          <w:tcPr>
            <w:tcW w:w="3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1,014.38</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7030A0"/>
                <w:sz w:val="24"/>
                <w:szCs w:val="24"/>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7030A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9" w:type="dxa"/>
          <w:trHeight w:val="4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40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其中：人员类项目支出:</w:t>
            </w:r>
          </w:p>
        </w:tc>
        <w:tc>
          <w:tcPr>
            <w:tcW w:w="10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981.18</w:t>
            </w:r>
          </w:p>
        </w:tc>
        <w:tc>
          <w:tcPr>
            <w:tcW w:w="3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981.18</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FF0000"/>
                <w:sz w:val="24"/>
                <w:szCs w:val="24"/>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9" w:type="dxa"/>
          <w:trHeight w:val="43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40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运转类项目支出:   </w:t>
            </w:r>
          </w:p>
        </w:tc>
        <w:tc>
          <w:tcPr>
            <w:tcW w:w="10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33.20</w:t>
            </w:r>
          </w:p>
        </w:tc>
        <w:tc>
          <w:tcPr>
            <w:tcW w:w="3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33.20</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FF0000"/>
                <w:sz w:val="24"/>
                <w:szCs w:val="24"/>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9" w:type="dxa"/>
          <w:trHeight w:val="43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40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特定目标类项目经费:   </w:t>
            </w:r>
          </w:p>
        </w:tc>
        <w:tc>
          <w:tcPr>
            <w:tcW w:w="101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7030A0"/>
                <w:sz w:val="24"/>
                <w:szCs w:val="24"/>
                <w:u w:val="none"/>
              </w:rPr>
            </w:pPr>
          </w:p>
        </w:tc>
        <w:tc>
          <w:tcPr>
            <w:tcW w:w="37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7030A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7030A0"/>
                <w:sz w:val="24"/>
                <w:szCs w:val="24"/>
                <w:u w:val="none"/>
              </w:rPr>
            </w:pPr>
          </w:p>
        </w:tc>
        <w:tc>
          <w:tcPr>
            <w:tcW w:w="68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7030A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435" w:hRule="atLeast"/>
        </w:trPr>
        <w:tc>
          <w:tcPr>
            <w:tcW w:w="831"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年度主要任务及拟达到的目标</w:t>
            </w:r>
          </w:p>
        </w:tc>
        <w:tc>
          <w:tcPr>
            <w:tcW w:w="8118" w:type="dxa"/>
            <w:gridSpan w:val="8"/>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年度主要任务内容及拟达到的目标</w:t>
            </w:r>
          </w:p>
        </w:tc>
        <w:tc>
          <w:tcPr>
            <w:tcW w:w="685" w:type="dxa"/>
            <w:gridSpan w:val="2"/>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435" w:hRule="atLeast"/>
        </w:trPr>
        <w:tc>
          <w:tcPr>
            <w:tcW w:w="831"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118" w:type="dxa"/>
            <w:gridSpan w:val="8"/>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5" w:type="dxa"/>
            <w:gridSpan w:val="2"/>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975" w:hRule="atLeast"/>
        </w:trPr>
        <w:tc>
          <w:tcPr>
            <w:tcW w:w="831"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118" w:type="dxa"/>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主要任务：完成承担实施九年义务教育一贯制公办寄宿制学校, 认真贯彻落实党和国家的方针、政策，正确执行上级主管部门的决议和指示，全面实施素质教育，培养德、智、体、美等方面全面发展的社会主义事业的建设者和接班人的职责职能。                                                                                                     任务目标：                                                                                            1、保障在职人员54人，离退休人员50人正常办公、生活秩序。                                                      2、根据教育规律、社会要求和学校实际，制定学校发展目标，制定和健全各项规章制度。规范办学行为，加强教师队伍建设，不断提高教师的政治素质、文化业务水平和科研水平。                                                    3、保证教学计划的贯彻执行，实施素质教育，围绕培养学生创新精神和实践能力，努力提高教育教学质量。 4、制定和实施校舍建设和校园基础设施建设规划，不断改善办学条件，美化校园环境；认真抓好食品卫生安全及防疫等工作，改善育人环境</w:t>
            </w:r>
          </w:p>
        </w:tc>
        <w:tc>
          <w:tcPr>
            <w:tcW w:w="6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2235" w:hRule="atLeast"/>
        </w:trPr>
        <w:tc>
          <w:tcPr>
            <w:tcW w:w="831"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118" w:type="dxa"/>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66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831" w:type="dxa"/>
            <w:gridSpan w:val="3"/>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882" w:type="dxa"/>
            <w:gridSpan w:val="2"/>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5405" w:type="dxa"/>
            <w:gridSpan w:val="3"/>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指标值（包含数字及文字描述）</w:t>
            </w:r>
          </w:p>
        </w:tc>
        <w:tc>
          <w:tcPr>
            <w:tcW w:w="685" w:type="dxa"/>
            <w:gridSpan w:val="2"/>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90" w:type="dxa"/>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基本经费</w:t>
            </w: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6287" w:type="dxa"/>
            <w:gridSpan w:val="5"/>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工资、津补贴、公积金、社会保障缴费、对家庭或个人的补助支出、福利费、工会经费、党建经费和退休公用经费保障在职人员54人，离退休人员50人工资福利、社会保障缴费等</w:t>
            </w:r>
          </w:p>
        </w:tc>
        <w:tc>
          <w:tcPr>
            <w:tcW w:w="685" w:type="dxa"/>
            <w:gridSpan w:val="2"/>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按月足额发放薪金、补贴，缴纳社会保障缴费保障在职人员54人，离退休人员50人工资福利及社会保障缴费，教育教学工作、生活的正常秩序</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在2024年度完成各项资金支出进度要求，保障同德镇中心学校各项工作顺利开展、工资薪金按时足额发放</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基本经费合计981.18元，其中在职、退休人员经费956.69万元，日常公用经费24.49万元。</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bookmarkStart w:id="0" w:name="_GoBack"/>
            <w:bookmarkEnd w:id="0"/>
            <w:r>
              <w:rPr>
                <w:rFonts w:hint="eastAsia" w:ascii="宋体" w:hAnsi="宋体" w:eastAsia="宋体" w:cs="宋体"/>
                <w:i w:val="0"/>
                <w:color w:val="000000"/>
                <w:kern w:val="0"/>
                <w:sz w:val="22"/>
                <w:szCs w:val="22"/>
                <w:u w:val="none"/>
                <w:lang w:val="en-US" w:eastAsia="zh-CN" w:bidi="ar"/>
              </w:rPr>
              <w:t>经费</w:t>
            </w: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保障各项目的基本运转经费需要，确保54名教职工和464名小学学生及112名幼儿在校的正常工作及学习</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组织实施的项目符合国家相关政策、成熟度高、带动性强、有利于促进工作有序发展</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按照同德镇中心学校2024年工作计划，完成年内项目组织管理任务，做好各类项目执行的全过程监督管理工作，确保各类项目按计划在2024年内有效实施</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生均公用经费6.72万元（委托业务费支出6.72万元）；教育教学管理经费8.54万元（委托业务费支出8.54万元）；义务教育生均公用经费0.74万元（办公费支出0.74万元）；少年宫运转经费2万元（委托业务费用2万元）</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效果指标</w:t>
            </w: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实施素质教育、特色教育提升教职工对工作的热爱，培养学生德智体全面发展，增强社会、家庭和学生对学校的满意</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6377" w:type="dxa"/>
            <w:gridSpan w:val="6"/>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改善办学环境，增强师资力量，提高教育教学水平为培养更多人才奠定基础，逐步提高学校知名度</w:t>
            </w:r>
          </w:p>
        </w:tc>
        <w:tc>
          <w:tcPr>
            <w:tcW w:w="685" w:type="dxa"/>
            <w:gridSpan w:val="3"/>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161" w:type="dxa"/>
            <w:gridSpan w:val="2"/>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637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通过项目的实施，力争使服务对象及上级部门对同德镇中心学校项目实施的满意度达到较高水平学生、家长、社会满意度≥90%；项目主管部门满意度≥90%。</w:t>
            </w:r>
          </w:p>
        </w:tc>
        <w:tc>
          <w:tcPr>
            <w:tcW w:w="68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A0AD1"/>
    <w:rsid w:val="0ABA0AD1"/>
    <w:rsid w:val="111159F8"/>
    <w:rsid w:val="182B2E08"/>
    <w:rsid w:val="1BE455AA"/>
    <w:rsid w:val="1D4D761D"/>
    <w:rsid w:val="2894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2"/>
    <w:qFormat/>
    <w:uiPriority w:val="0"/>
    <w:rPr>
      <w:rFonts w:hint="default" w:ascii="Times New Roman" w:hAnsi="Times New Roman" w:cs="Times New Roman"/>
      <w:color w:val="000000"/>
      <w:sz w:val="24"/>
      <w:szCs w:val="24"/>
      <w:u w:val="none"/>
    </w:rPr>
  </w:style>
  <w:style w:type="character" w:customStyle="1" w:styleId="5">
    <w:name w:val="font31"/>
    <w:basedOn w:val="2"/>
    <w:qFormat/>
    <w:uiPriority w:val="0"/>
    <w:rPr>
      <w:rFonts w:hint="eastAsia" w:ascii="宋体" w:hAnsi="宋体" w:eastAsia="宋体" w:cs="宋体"/>
      <w:color w:val="000000"/>
      <w:sz w:val="24"/>
      <w:szCs w:val="24"/>
      <w:u w:val="none"/>
    </w:rPr>
  </w:style>
  <w:style w:type="character" w:customStyle="1" w:styleId="6">
    <w:name w:val="font61"/>
    <w:basedOn w:val="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2024-01-31T06:43:00Z</dcterms:created>
  <dc:creator>何英</dc:creator>
  <cp:lastModifiedBy>Administrator</cp:lastModifiedBy>
  <dcterms:modified xsi:type="dcterms:W3CDTF">2024-03-06T01:44:37Z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115C6D937E184F8A9D6D5FF4C78EE4D1</vt:lpwstr>
  </property>
</Properties>
</file>