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228" w:lineRule="auto"/>
        <w:ind w:left="2845"/>
        <w:outlineLvl w:val="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4"/>
          <w:sz w:val="22"/>
          <w:szCs w:val="22"/>
          <w14:textOutline w14:w="4215" w14:cap="sq" w14:cmpd="sng">
            <w14:solidFill>
              <w14:srgbClr w14:val="000000"/>
            </w14:solidFill>
            <w14:prstDash w14:val="solid"/>
            <w14:bevel/>
          </w14:textOutline>
        </w:rPr>
        <w:t>部门（单位）</w:t>
      </w:r>
      <w:r>
        <w:rPr>
          <w:rFonts w:ascii="宋体" w:hAnsi="宋体" w:eastAsia="宋体" w:cs="宋体"/>
          <w:spacing w:val="-52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4"/>
          <w:sz w:val="22"/>
          <w:szCs w:val="22"/>
          <w14:textOutline w14:w="4215" w14:cap="sq" w14:cmpd="sng">
            <w14:solidFill>
              <w14:srgbClr w14:val="000000"/>
            </w14:solidFill>
            <w14:prstDash w14:val="solid"/>
            <w14:bevel/>
          </w14:textOutline>
        </w:rPr>
        <w:t>整体支出绩效目标申报表</w:t>
      </w:r>
    </w:p>
    <w:p>
      <w:pPr>
        <w:spacing w:before="194" w:line="223" w:lineRule="auto"/>
        <w:ind w:left="436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（2024年度）</w:t>
      </w:r>
    </w:p>
    <w:p>
      <w:pPr>
        <w:spacing w:before="49" w:line="220" w:lineRule="auto"/>
        <w:ind w:left="44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pacing w:val="2"/>
          <w:sz w:val="18"/>
          <w:szCs w:val="18"/>
        </w:rPr>
        <w:t>填报单位（盖章</w:t>
      </w:r>
      <w:r>
        <w:rPr>
          <w:rFonts w:hint="eastAsia" w:asciiTheme="minorEastAsia" w:hAnsiTheme="minorEastAsia" w:eastAsiaTheme="minorEastAsia" w:cstheme="minorEastAsia"/>
          <w:spacing w:val="16"/>
          <w:sz w:val="18"/>
          <w:szCs w:val="18"/>
        </w:rPr>
        <w:t>）：</w:t>
      </w:r>
      <w:r>
        <w:rPr>
          <w:rFonts w:hint="eastAsia" w:asciiTheme="minorEastAsia" w:hAnsiTheme="minorEastAsia" w:eastAsiaTheme="minorEastAsia" w:cstheme="minorEastAsia"/>
          <w:spacing w:val="2"/>
          <w:sz w:val="18"/>
          <w:szCs w:val="18"/>
        </w:rPr>
        <w:t>攀枝花市仁和区布德中小学</w:t>
      </w:r>
    </w:p>
    <w:p>
      <w:pPr>
        <w:spacing w:line="31" w:lineRule="auto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4"/>
        <w:tblW w:w="9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0"/>
        <w:gridCol w:w="1274"/>
        <w:gridCol w:w="1543"/>
        <w:gridCol w:w="390"/>
        <w:gridCol w:w="1378"/>
        <w:gridCol w:w="1438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10" w:type="dxa"/>
            <w:vAlign w:val="top"/>
          </w:tcPr>
          <w:p>
            <w:pPr>
              <w:pStyle w:val="5"/>
              <w:spacing w:before="189" w:line="223" w:lineRule="auto"/>
              <w:ind w:left="76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预算单位</w:t>
            </w:r>
          </w:p>
        </w:tc>
        <w:tc>
          <w:tcPr>
            <w:tcW w:w="7529" w:type="dxa"/>
            <w:gridSpan w:val="6"/>
            <w:vAlign w:val="top"/>
          </w:tcPr>
          <w:p>
            <w:pPr>
              <w:pStyle w:val="5"/>
              <w:spacing w:before="189" w:line="222" w:lineRule="auto"/>
              <w:ind w:left="271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攀枝花市仁和区布德中小学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21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4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55" w:line="222" w:lineRule="auto"/>
              <w:ind w:left="45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预算资金（万元)</w:t>
            </w:r>
          </w:p>
        </w:tc>
        <w:tc>
          <w:tcPr>
            <w:tcW w:w="320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56" w:line="222" w:lineRule="auto"/>
              <w:ind w:left="11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年度资金总额</w:t>
            </w:r>
            <w:r>
              <w:rPr>
                <w:rFonts w:hint="eastAsia" w:asciiTheme="minorEastAsia" w:hAnsiTheme="minorEastAsia" w:eastAsiaTheme="minorEastAsia" w:cstheme="minorEastAsia"/>
                <w:spacing w:val="-3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:</w:t>
            </w:r>
          </w:p>
        </w:tc>
        <w:tc>
          <w:tcPr>
            <w:tcW w:w="1378" w:type="dxa"/>
            <w:vAlign w:val="top"/>
          </w:tcPr>
          <w:p>
            <w:pPr>
              <w:pStyle w:val="5"/>
              <w:spacing w:before="129" w:line="225" w:lineRule="auto"/>
              <w:ind w:left="52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spacing w:before="130" w:line="222" w:lineRule="auto"/>
              <w:ind w:left="38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财政资金</w:t>
            </w:r>
          </w:p>
        </w:tc>
        <w:tc>
          <w:tcPr>
            <w:tcW w:w="1506" w:type="dxa"/>
            <w:vAlign w:val="top"/>
          </w:tcPr>
          <w:p>
            <w:pPr>
              <w:pStyle w:val="5"/>
              <w:spacing w:before="130" w:line="221" w:lineRule="auto"/>
              <w:ind w:left="41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其他资金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78" w:type="dxa"/>
            <w:vAlign w:val="top"/>
          </w:tcPr>
          <w:p>
            <w:pPr>
              <w:pStyle w:val="5"/>
              <w:spacing w:before="133" w:line="186" w:lineRule="auto"/>
              <w:ind w:left="4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1,588.92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spacing w:before="133" w:line="186" w:lineRule="auto"/>
              <w:ind w:left="4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1,588.92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vAlign w:val="top"/>
          </w:tcPr>
          <w:p>
            <w:pPr>
              <w:pStyle w:val="5"/>
              <w:spacing w:before="84" w:line="221" w:lineRule="auto"/>
              <w:ind w:left="46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其中：人员类项目支出</w:t>
            </w:r>
            <w:r>
              <w:rPr>
                <w:rFonts w:hint="eastAsia" w:asciiTheme="minorEastAsia" w:hAnsiTheme="minorEastAsia" w:eastAsiaTheme="minorEastAsia" w:cstheme="minorEastAsia"/>
                <w:spacing w:val="-31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:</w:t>
            </w:r>
          </w:p>
        </w:tc>
        <w:tc>
          <w:tcPr>
            <w:tcW w:w="1378" w:type="dxa"/>
            <w:vAlign w:val="top"/>
          </w:tcPr>
          <w:p>
            <w:pPr>
              <w:pStyle w:val="5"/>
              <w:spacing w:before="111" w:line="186" w:lineRule="auto"/>
              <w:ind w:left="4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1,567.32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spacing w:before="111" w:line="186" w:lineRule="auto"/>
              <w:ind w:left="4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18"/>
                <w:szCs w:val="18"/>
              </w:rPr>
              <w:t>1,567.32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vAlign w:val="top"/>
          </w:tcPr>
          <w:p>
            <w:pPr>
              <w:pStyle w:val="5"/>
              <w:spacing w:before="75" w:line="222" w:lineRule="auto"/>
              <w:ind w:left="99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运转类项目支出</w:t>
            </w:r>
            <w:r>
              <w:rPr>
                <w:rFonts w:hint="eastAsia" w:asciiTheme="minorEastAsia" w:hAnsiTheme="minorEastAsia" w:eastAsiaTheme="minorEastAsia" w:cstheme="minorEastAsia"/>
                <w:spacing w:val="-3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:</w:t>
            </w:r>
          </w:p>
        </w:tc>
        <w:tc>
          <w:tcPr>
            <w:tcW w:w="1378" w:type="dxa"/>
            <w:vAlign w:val="top"/>
          </w:tcPr>
          <w:p>
            <w:pPr>
              <w:pStyle w:val="5"/>
              <w:spacing w:before="102" w:line="186" w:lineRule="auto"/>
              <w:ind w:left="3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21.60</w:t>
            </w:r>
          </w:p>
        </w:tc>
        <w:tc>
          <w:tcPr>
            <w:tcW w:w="1438" w:type="dxa"/>
            <w:vAlign w:val="top"/>
          </w:tcPr>
          <w:p>
            <w:pPr>
              <w:pStyle w:val="5"/>
              <w:spacing w:before="102" w:line="186" w:lineRule="auto"/>
              <w:ind w:left="34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8"/>
                <w:szCs w:val="18"/>
              </w:rPr>
              <w:t>21.60</w:t>
            </w:r>
          </w:p>
        </w:tc>
        <w:tc>
          <w:tcPr>
            <w:tcW w:w="150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22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vAlign w:val="top"/>
          </w:tcPr>
          <w:p>
            <w:pPr>
              <w:pStyle w:val="5"/>
              <w:spacing w:before="77" w:line="222" w:lineRule="auto"/>
              <w:ind w:left="99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特定目标类项目经费</w:t>
            </w:r>
            <w:r>
              <w:rPr>
                <w:rFonts w:hint="eastAsia" w:asciiTheme="minorEastAsia" w:hAnsiTheme="minorEastAsia" w:eastAsiaTheme="minorEastAsia" w:cstheme="minorEastAsia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:</w:t>
            </w:r>
          </w:p>
        </w:tc>
        <w:tc>
          <w:tcPr>
            <w:tcW w:w="137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0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2210" w:type="dxa"/>
            <w:vAlign w:val="top"/>
          </w:tcPr>
          <w:p>
            <w:pPr>
              <w:spacing w:line="265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6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55" w:line="225" w:lineRule="auto"/>
              <w:ind w:left="1024" w:right="71" w:hanging="96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年度主要任务及拟达到的目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标</w:t>
            </w:r>
          </w:p>
        </w:tc>
        <w:tc>
          <w:tcPr>
            <w:tcW w:w="7529" w:type="dxa"/>
            <w:gridSpan w:val="6"/>
            <w:vAlign w:val="top"/>
          </w:tcPr>
          <w:p>
            <w:pPr>
              <w:pStyle w:val="5"/>
              <w:spacing w:before="234" w:line="225" w:lineRule="auto"/>
              <w:ind w:left="27" w:right="55" w:firstLine="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完成承担实施九年义务教育一贯制公办寄宿制学校</w:t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, 认真贯彻落实党和国家的方针</w:t>
            </w:r>
            <w:r>
              <w:rPr>
                <w:rFonts w:hint="eastAsia" w:asciiTheme="minorEastAsia" w:hAnsiTheme="minorEastAsia" w:eastAsiaTheme="minorEastAsia" w:cstheme="minor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、政策，正确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执行上级主管部门的决议和指示</w:t>
            </w:r>
            <w:r>
              <w:rPr>
                <w:rFonts w:hint="eastAsia" w:asciiTheme="minorEastAsia" w:hAnsiTheme="minorEastAsia" w:eastAsiaTheme="minorEastAsia" w:cstheme="minor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，全面实施素质教育</w:t>
            </w:r>
            <w:r>
              <w:rPr>
                <w:rFonts w:hint="eastAsia" w:asciiTheme="minorEastAsia" w:hAnsiTheme="minorEastAsia" w:eastAsiaTheme="minorEastAsia" w:cstheme="minor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，培养德、智、体、美等方面全面发展的社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会主义事业的建设者和接班人的职责职能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。根据教育规律、社会要求和学校实际</w:t>
            </w:r>
            <w:r>
              <w:rPr>
                <w:rFonts w:hint="eastAsia" w:asciiTheme="minorEastAsia" w:hAnsiTheme="minorEastAsia" w:eastAsiaTheme="minorEastAsia" w:cstheme="minor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，制定学校发展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目标，制定和健全各项规章制度</w:t>
            </w:r>
            <w:r>
              <w:rPr>
                <w:rFonts w:hint="eastAsia" w:asciiTheme="minorEastAsia" w:hAnsiTheme="minorEastAsia" w:eastAsiaTheme="minorEastAsia" w:cstheme="minor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，规范办学行为</w:t>
            </w:r>
            <w:r>
              <w:rPr>
                <w:rFonts w:hint="eastAsia" w:asciiTheme="minorEastAsia" w:hAnsiTheme="minorEastAsia" w:eastAsiaTheme="minorEastAsia" w:cstheme="minor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。 加强教师队伍建设</w:t>
            </w:r>
            <w:r>
              <w:rPr>
                <w:rFonts w:hint="eastAsia" w:asciiTheme="minorEastAsia" w:hAnsiTheme="minorEastAsia" w:eastAsiaTheme="minorEastAsia" w:cstheme="minor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，进行不同形式的培训</w:t>
            </w:r>
            <w:r>
              <w:rPr>
                <w:rFonts w:hint="eastAsia" w:asciiTheme="minorEastAsia" w:hAnsiTheme="minorEastAsia" w:eastAsiaTheme="minorEastAsia" w:cstheme="minorEastAsia"/>
                <w:spacing w:val="-4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，不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断提高教师的政治素质</w:t>
            </w:r>
            <w:r>
              <w:rPr>
                <w:rFonts w:hint="eastAsia" w:asciiTheme="minorEastAsia" w:hAnsiTheme="minorEastAsia" w:eastAsiaTheme="minorEastAsia" w:cstheme="minorEastAsia"/>
                <w:spacing w:val="-3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、文化业务水平和科研水平</w:t>
            </w:r>
            <w:r>
              <w:rPr>
                <w:rFonts w:hint="eastAsia" w:asciiTheme="minorEastAsia" w:hAnsiTheme="minorEastAsia" w:eastAsiaTheme="minorEastAsia" w:cstheme="minor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 xml:space="preserve">。制定和实施校舍建设和校园基础设施建设规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划，不断改善办学条件</w:t>
            </w:r>
            <w:r>
              <w:rPr>
                <w:rFonts w:hint="eastAsia" w:asciiTheme="minorEastAsia" w:hAnsiTheme="minorEastAsia" w:eastAsiaTheme="minorEastAsia" w:cstheme="minor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，美化校园环境；认真抓好食品卫生安全及防疫等工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， 改善育人环境</w:t>
            </w:r>
            <w:r>
              <w:rPr>
                <w:rFonts w:hint="eastAsia" w:asciiTheme="minorEastAsia" w:hAnsiTheme="minorEastAsia" w:eastAsiaTheme="minorEastAsia" w:cstheme="minorEastAsia"/>
                <w:spacing w:val="-4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坚持以教学为中心</w:t>
            </w:r>
            <w:r>
              <w:rPr>
                <w:rFonts w:hint="eastAsia" w:asciiTheme="minorEastAsia" w:hAnsiTheme="minorEastAsia" w:eastAsiaTheme="minorEastAsia" w:cstheme="minorEastAsia"/>
                <w:spacing w:val="-3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，保证教学计划的贯彻执行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，实施素质教育，围绕培养学生创新精神和实践能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力，努力提高教育教学质量提高教育教学质量</w:t>
            </w:r>
            <w:r>
              <w:rPr>
                <w:rFonts w:hint="eastAsia" w:asciiTheme="minorEastAsia" w:hAnsiTheme="minorEastAsia" w:eastAsiaTheme="minorEastAsia" w:cstheme="minorEastAsia"/>
                <w:spacing w:val="-1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，增强社会对学校的满意度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0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30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30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57" w:line="207" w:lineRule="auto"/>
              <w:ind w:left="408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9"/>
                <w:sz w:val="18"/>
                <w:szCs w:val="18"/>
              </w:rPr>
              <w:t>绩效指标</w:t>
            </w:r>
          </w:p>
        </w:tc>
        <w:tc>
          <w:tcPr>
            <w:tcW w:w="1274" w:type="dxa"/>
            <w:vAlign w:val="top"/>
          </w:tcPr>
          <w:p>
            <w:pPr>
              <w:pStyle w:val="5"/>
              <w:spacing w:before="70" w:line="242" w:lineRule="auto"/>
              <w:ind w:left="47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一级</w:t>
            </w:r>
          </w:p>
          <w:p>
            <w:pPr>
              <w:pStyle w:val="5"/>
              <w:spacing w:line="231" w:lineRule="auto"/>
              <w:ind w:left="478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  <w:t>指标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168" w:line="231" w:lineRule="auto"/>
              <w:ind w:left="45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二级指标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61" w:line="223" w:lineRule="auto"/>
              <w:ind w:left="113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8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0" w:lineRule="auto"/>
              <w:ind w:left="31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基本经费</w:t>
            </w:r>
          </w:p>
        </w:tc>
        <w:tc>
          <w:tcPr>
            <w:tcW w:w="1543" w:type="dxa"/>
            <w:vAlign w:val="top"/>
          </w:tcPr>
          <w:p>
            <w:pPr>
              <w:spacing w:line="25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0" w:lineRule="auto"/>
              <w:ind w:left="45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数量指标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88" w:line="224" w:lineRule="auto"/>
              <w:ind w:left="30" w:right="139" w:firstLine="2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工资、津补贴、公积金、社会保障缴费、对家庭或个人的补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助支出、福利费、工会经费、党建经费和退休公用经费保障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在职人员84人，离退休人员69人工资福利、社会保障缴费等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spacing w:line="283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1" w:lineRule="auto"/>
              <w:ind w:left="45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质量指标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20" w:line="225" w:lineRule="auto"/>
              <w:ind w:left="31" w:right="131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按月足额发放薪金</w:t>
            </w:r>
            <w:r>
              <w:rPr>
                <w:rFonts w:hint="eastAsia" w:asciiTheme="minorEastAsia" w:hAnsiTheme="minorEastAsia" w:eastAsiaTheme="minorEastAsia" w:cstheme="minor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、补贴，缴纳社会保障缴费保障在职人员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84人，离退休人员69人工资福利及社会保障缴费</w:t>
            </w:r>
            <w:r>
              <w:rPr>
                <w:rFonts w:hint="eastAsia" w:asciiTheme="minorEastAsia" w:hAnsiTheme="minorEastAsia" w:eastAsiaTheme="minorEastAsia" w:cstheme="minorEastAsia"/>
                <w:spacing w:val="-2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，教育教学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工作、生活的正常秩序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pStyle w:val="5"/>
              <w:spacing w:before="266" w:line="231" w:lineRule="auto"/>
              <w:ind w:left="45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时效指标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56" w:line="224" w:lineRule="auto"/>
              <w:ind w:left="33" w:right="141" w:hanging="3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在2024年度完成各项资金支出进度要求</w:t>
            </w:r>
            <w:r>
              <w:rPr>
                <w:rFonts w:hint="eastAsia" w:asciiTheme="minorEastAsia" w:hAnsiTheme="minorEastAsia" w:eastAsiaTheme="minorEastAsia" w:cstheme="minor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，保障布德中小学各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项工作顺利开展</w:t>
            </w:r>
            <w:r>
              <w:rPr>
                <w:rFonts w:hint="eastAsia" w:asciiTheme="minorEastAsia" w:hAnsiTheme="minorEastAsia" w:eastAsiaTheme="minorEastAsia" w:cstheme="minorEastAsia"/>
                <w:spacing w:val="-4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、工资薪金按时足额发放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pStyle w:val="5"/>
              <w:spacing w:before="283" w:line="230" w:lineRule="auto"/>
              <w:ind w:left="45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成本指标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72" w:line="225" w:lineRule="auto"/>
              <w:ind w:left="43" w:right="573" w:hanging="1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18"/>
                <w:szCs w:val="18"/>
              </w:rPr>
              <w:t>基本经费合计1567.32万元，其中在职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、退休人员经费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1529.62万元，</w:t>
            </w:r>
            <w:r>
              <w:rPr>
                <w:rFonts w:hint="eastAsia" w:asciiTheme="minorEastAsia" w:hAnsiTheme="minorEastAsia" w:eastAsiaTheme="minorEastAsia" w:cstheme="minorEastAsia"/>
                <w:spacing w:val="-4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日常公用经费37.70万元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0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1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8" w:line="230" w:lineRule="auto"/>
              <w:ind w:left="31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项目经费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262" w:line="230" w:lineRule="auto"/>
              <w:ind w:left="45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数量指标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50" w:line="225" w:lineRule="auto"/>
              <w:ind w:left="31" w:right="42" w:firstLine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21.60万元保障各项目的基本运转经费需要</w:t>
            </w:r>
            <w:r>
              <w:rPr>
                <w:rFonts w:hint="eastAsia" w:asciiTheme="minorEastAsia" w:hAnsiTheme="minorEastAsia" w:eastAsiaTheme="minorEastAsia" w:cstheme="minorEastAsia"/>
                <w:spacing w:val="-26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，确保84名教职工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和609名中小学学生及65名幼儿在校的正常工作及学习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pStyle w:val="5"/>
              <w:spacing w:before="262" w:line="231" w:lineRule="auto"/>
              <w:ind w:left="45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质量指标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50" w:line="225" w:lineRule="auto"/>
              <w:ind w:left="31" w:right="151" w:firstLine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组织实施的项目符合国家相关政策</w:t>
            </w:r>
            <w:r>
              <w:rPr>
                <w:rFonts w:hint="eastAsia" w:asciiTheme="minorEastAsia" w:hAnsiTheme="minorEastAsia" w:eastAsiaTheme="minorEastAsia" w:cstheme="minor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、成熟度高、带动性强、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有利于促进工作有序发展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pStyle w:val="5"/>
              <w:spacing w:before="263" w:line="231" w:lineRule="auto"/>
              <w:ind w:left="457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时效指标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48" w:line="214" w:lineRule="auto"/>
              <w:ind w:left="32" w:right="134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按照布德中小学2024年工作计划，完成年内项目组织管理任</w:t>
            </w:r>
            <w:r>
              <w:rPr>
                <w:rFonts w:hint="eastAsia" w:asciiTheme="minorEastAsia" w:hAnsiTheme="minorEastAsia" w:eastAsiaTheme="minorEastAsia" w:cstheme="minor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务，做好各类项目执行的全过程监督管理工作</w:t>
            </w:r>
            <w:r>
              <w:rPr>
                <w:rFonts w:hint="eastAsia" w:asciiTheme="minorEastAsia" w:hAnsiTheme="minorEastAsia" w:eastAsiaTheme="minorEastAsia" w:cstheme="minorEastAsia"/>
                <w:spacing w:val="-2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，确保各类项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目按计划在2024年内有效实施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spacing w:line="259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59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0" w:lineRule="auto"/>
              <w:ind w:left="45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"/>
                <w:sz w:val="18"/>
                <w:szCs w:val="18"/>
              </w:rPr>
              <w:t>成本指标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78"/>
              <w:ind w:left="30" w:right="58" w:firstLine="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教育教学管理经费</w:t>
            </w:r>
            <w:r>
              <w:rPr>
                <w:rFonts w:hint="eastAsia" w:asciiTheme="minorEastAsia" w:hAnsiTheme="minorEastAsia" w:eastAsiaTheme="minorEastAsia" w:cstheme="minorEastAsia"/>
                <w:spacing w:val="-42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2.1万元（劳务费支出2.1万元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学前教育生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均公用经费3.9万元（其他商品服务支出</w:t>
            </w:r>
            <w:r>
              <w:rPr>
                <w:rFonts w:hint="eastAsia" w:asciiTheme="minorEastAsia" w:hAnsiTheme="minorEastAsia" w:eastAsiaTheme="minorEastAsia" w:cstheme="minorEastAsia"/>
                <w:spacing w:val="-41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3.9万元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pacing w:val="-4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）；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乡村少年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宫运转经费2万元（其他商品服务支出</w:t>
            </w:r>
            <w:r>
              <w:rPr>
                <w:rFonts w:hint="eastAsia" w:asciiTheme="minorEastAsia" w:hAnsiTheme="minorEastAsia" w:eastAsiaTheme="minorEastAsia" w:cstheme="minor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2"/>
                <w:sz w:val="18"/>
                <w:szCs w:val="18"/>
              </w:rPr>
              <w:t>1.2万元，劳务费支出0.8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33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义务教育生均公用经费小学</w:t>
            </w:r>
            <w:r>
              <w:rPr>
                <w:rFonts w:hint="eastAsia" w:asciiTheme="minorEastAsia" w:hAnsiTheme="minorEastAsia" w:eastAsiaTheme="minorEastAsia" w:cstheme="minorEastAsia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0.59万元（办公费支出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； 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初中0.76万元（电费支出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pacing w:val="-29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保安劳务费支出</w:t>
            </w:r>
            <w:r>
              <w:rPr>
                <w:rFonts w:hint="eastAsia" w:asciiTheme="minorEastAsia" w:hAnsiTheme="minorEastAsia" w:eastAsiaTheme="minorEastAsia" w:cstheme="minorEastAsia"/>
                <w:spacing w:val="-37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1"/>
                <w:sz w:val="18"/>
                <w:szCs w:val="18"/>
              </w:rPr>
              <w:t>12.24万元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305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305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1" w:lineRule="auto"/>
              <w:ind w:left="31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效益指标</w:t>
            </w:r>
          </w:p>
        </w:tc>
        <w:tc>
          <w:tcPr>
            <w:tcW w:w="1543" w:type="dxa"/>
            <w:vAlign w:val="top"/>
          </w:tcPr>
          <w:p>
            <w:pPr>
              <w:pStyle w:val="5"/>
              <w:spacing w:before="263" w:line="227" w:lineRule="auto"/>
              <w:ind w:left="28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社会效益指标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53" w:line="223" w:lineRule="auto"/>
              <w:ind w:left="85" w:right="76" w:firstLine="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实施素质教育、特色教育提升教职工对工作的热爱</w:t>
            </w:r>
            <w:r>
              <w:rPr>
                <w:rFonts w:hint="eastAsia" w:asciiTheme="minorEastAsia" w:hAnsiTheme="minorEastAsia" w:eastAsiaTheme="minorEastAsia" w:cstheme="minorEastAsia"/>
                <w:spacing w:val="-21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，培养学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生德智体全面发展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18"/>
                <w:szCs w:val="18"/>
              </w:rPr>
              <w:t>，增强社会、家庭和学生对学校的满意度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21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43" w:type="dxa"/>
            <w:vAlign w:val="top"/>
          </w:tcPr>
          <w:p>
            <w:pPr>
              <w:spacing w:line="282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1" w:lineRule="auto"/>
              <w:ind w:left="28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生态效益指标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223" w:line="223" w:lineRule="auto"/>
              <w:ind w:left="39" w:right="151" w:hanging="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改善办学环境，增强师资力量，提高教育教学水平为培养更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多人才奠定基础</w:t>
            </w:r>
            <w:r>
              <w:rPr>
                <w:rFonts w:hint="eastAsia" w:asciiTheme="minorEastAsia" w:hAnsiTheme="minorEastAsia" w:eastAsiaTheme="minorEastAsia" w:cstheme="minorEastAsia"/>
                <w:spacing w:val="-35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，逐步提高学校知名度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2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4" w:type="dxa"/>
            <w:vAlign w:val="top"/>
          </w:tcPr>
          <w:p>
            <w:pPr>
              <w:spacing w:line="297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0" w:lineRule="auto"/>
              <w:ind w:left="23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满意度指标</w:t>
            </w:r>
          </w:p>
        </w:tc>
        <w:tc>
          <w:tcPr>
            <w:tcW w:w="1543" w:type="dxa"/>
            <w:vAlign w:val="top"/>
          </w:tcPr>
          <w:p>
            <w:pPr>
              <w:spacing w:line="297" w:lineRule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pStyle w:val="5"/>
              <w:spacing w:before="49" w:line="230" w:lineRule="auto"/>
              <w:ind w:left="366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0"/>
                <w:sz w:val="18"/>
                <w:szCs w:val="18"/>
              </w:rPr>
              <w:t>满意度指标</w:t>
            </w:r>
          </w:p>
        </w:tc>
        <w:tc>
          <w:tcPr>
            <w:tcW w:w="4712" w:type="dxa"/>
            <w:gridSpan w:val="4"/>
            <w:vAlign w:val="top"/>
          </w:tcPr>
          <w:p>
            <w:pPr>
              <w:pStyle w:val="5"/>
              <w:spacing w:before="133" w:line="225" w:lineRule="auto"/>
              <w:ind w:left="31" w:right="35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通过项目的实施</w:t>
            </w:r>
            <w:r>
              <w:rPr>
                <w:rFonts w:hint="eastAsia" w:asciiTheme="minorEastAsia" w:hAnsiTheme="minorEastAsia" w:eastAsiaTheme="minorEastAsia" w:cstheme="minorEastAsia"/>
                <w:spacing w:val="-49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 xml:space="preserve">，力争使服务对象及上级部门对布德中小学 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项目实施的满意度达到较高水平</w:t>
            </w:r>
            <w:r>
              <w:rPr>
                <w:rFonts w:hint="eastAsia" w:asciiTheme="minorEastAsia" w:hAnsiTheme="minorEastAsia" w:eastAsiaTheme="minorEastAsia" w:cstheme="minorEastAsia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,学生、家长、社会满意度≥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90%；项目主管部门满意度</w:t>
            </w:r>
            <w:r>
              <w:rPr>
                <w:rFonts w:hint="eastAsia" w:asciiTheme="minorEastAsia" w:hAnsiTheme="minorEastAsia" w:eastAsiaTheme="minorEastAsia" w:cstheme="minorEastAsia"/>
                <w:spacing w:val="-4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18"/>
                <w:szCs w:val="18"/>
              </w:rPr>
              <w:t>≥90%</w:t>
            </w:r>
          </w:p>
        </w:tc>
      </w:tr>
    </w:tbl>
    <w:p>
      <w:pPr>
        <w:spacing w:before="214" w:line="220" w:lineRule="auto"/>
        <w:ind w:left="248"/>
        <w:rPr>
          <w:rFonts w:ascii="宋体" w:hAnsi="宋体" w:eastAsia="宋体" w:cs="宋体"/>
          <w:sz w:val="17"/>
          <w:szCs w:val="17"/>
        </w:rPr>
      </w:pPr>
    </w:p>
    <w:sectPr>
      <w:pgSz w:w="11909" w:h="16834"/>
      <w:pgMar w:top="686" w:right="1089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MxZmQ3ZTZiYTIwZTVkODk5OWZiODRmN2IyZjY3YmMifQ=="/>
  </w:docVars>
  <w:rsids>
    <w:rsidRoot w:val="00000000"/>
    <w:rsid w:val="1D3A0539"/>
    <w:rsid w:val="5FB11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2024-02-28T09:18:00Z</dcterms:created>
  <dc:creator>Administrator</dc:creator>
  <cp:lastModifiedBy>WPS_1611456357</cp:lastModifiedBy>
  <dcterms:modified xsi:type="dcterms:W3CDTF">2024-02-28T01:21:55Z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2024-02-28T09:19:00Z</vt:filetime>
  </property>
  <property fmtid="{D5CDD505-2E9C-101B-9397-08002B2CF9AE}" pid="4" name="KSOProductBuildVer">
    <vt:lpwstr>2052-12.1.0.16388</vt:lpwstr>
  </property>
  <property fmtid="{D5CDD505-2E9C-101B-9397-08002B2CF9AE}" pid="5" name="ICV">
    <vt:lpwstr>7DC8F30CDE2C4662963F802BE51D2E6C_12</vt:lpwstr>
  </property>
</Properties>
</file>