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10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912"/>
        <w:gridCol w:w="1343"/>
        <w:gridCol w:w="2943"/>
        <w:gridCol w:w="3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义务教育生均公用经费（小学）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攀枝花市仁和区五十一公里小学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66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66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66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72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及义务教育、维持学校正常运转，保障适龄儿童、少年接受义务教育的权利，提高全民科学文化族素质。保障全校师生2024年度教育教学工作顺利开展；坚持以教学为中心，提升教师整体专业素养；真正做到服务于社会、服务于家长、服务于学生；促进学校健康发展，圆满完成义务教育教学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77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辖区内义务教育阶段学生人数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学校专任教师数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生均公用经费标准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16元/人.年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生均公用经费总额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14240元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适龄儿童、少年入学率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人民群众对义务教育的满意度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学生、家长、社会满意度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>
      <w:r>
        <w:br w:type="page"/>
      </w:r>
    </w:p>
    <w:tbl>
      <w:tblPr>
        <w:tblStyle w:val="2"/>
        <w:tblW w:w="496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86"/>
        <w:gridCol w:w="1304"/>
        <w:gridCol w:w="2841"/>
        <w:gridCol w:w="2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12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仁和区公共卫生特别服务岗（教育校医辅助岗）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4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攀枝花市仁和区五十一公里小学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6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6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6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7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为进一步稳住就业形势，切实提升应对突发重大公共卫生事件的能力。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学校聘用校医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确保全校师生卫生安全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校医五险一金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50000元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提升应对突发重大公共卫生事件的能力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学生、家长、社会满意度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</w:tbl>
    <w:p>
      <w:r>
        <w:br w:type="page"/>
      </w:r>
    </w:p>
    <w:tbl>
      <w:tblPr>
        <w:tblStyle w:val="2"/>
        <w:tblW w:w="507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899"/>
        <w:gridCol w:w="1330"/>
        <w:gridCol w:w="3025"/>
        <w:gridCol w:w="29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少年宫运转经费项目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4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攀枝花市仁和区五十一公里小学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53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5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5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7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践行素质教育理念，充分利用和挖掘潜在教育资源，增长学生艺术特长，促进学生德智体美劳全面发展，促进校外教育、学校教育、家庭教育的紧密联系、融合；确保2024年度乡村少年宫活动的开展，让学生参与面达到100%，体育艺术两大板块共开设五个项目，丰富的活动项目拓宽学生的知识面，力求让每个学生都掌握一门特长，积极组织学生参加各级篮球、足球、合唱、舞蹈、书法竞赛；坚持以学生为中心，提升学生素养；真正做到服务于社会、服务于家长、服务于学生；促进少年宫健康发展，圆满完成少年宫教育教学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开设活动项目数</w:t>
            </w:r>
          </w:p>
        </w:tc>
        <w:tc>
          <w:tcPr>
            <w:tcW w:w="1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学生活动参与度</w:t>
            </w:r>
          </w:p>
        </w:tc>
        <w:tc>
          <w:tcPr>
            <w:tcW w:w="1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力求890名学生全部参加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1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践行素质教育理念</w:t>
            </w:r>
          </w:p>
        </w:tc>
        <w:tc>
          <w:tcPr>
            <w:tcW w:w="1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推动基础教育改革</w:t>
            </w:r>
          </w:p>
        </w:tc>
        <w:tc>
          <w:tcPr>
            <w:tcW w:w="1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1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学生、家长、社会满意度</w:t>
            </w:r>
          </w:p>
        </w:tc>
        <w:tc>
          <w:tcPr>
            <w:tcW w:w="1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>
      <w:r>
        <w:br w:type="page"/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897"/>
        <w:gridCol w:w="1314"/>
        <w:gridCol w:w="2996"/>
        <w:gridCol w:w="28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中小学（幼儿园）保安工资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攀枝花市仁和区五十一公里小学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8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8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8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72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财政预算拨付学校保安人员经费，确保保安人员稳定，强化学校及周边治安管控，预防高危人员对师生实施人身侵害，师生的生命财产安全有保障，校园程序持续稳定；全年不发生暴力恐怖事件，不发生危害师生生命财产安全的校园恶性刑事案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77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保安工资配置标准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1700元/月.人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学校保安配置人数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保安工资保障率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保安工资保障时限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保安工资经费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学校及周边治安管控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校园秩序持续稳定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人民群众对义务教育的满意度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保安人员满意度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OGRiZTU3YmI0ODZkZjY5NWJmYzhlZGEwMzFjMTIifQ=="/>
  </w:docVars>
  <w:rsids>
    <w:rsidRoot w:val="7D424A60"/>
    <w:rsid w:val="13B31678"/>
    <w:rsid w:val="1B574AA5"/>
    <w:rsid w:val="2264488C"/>
    <w:rsid w:val="3CE21B3C"/>
    <w:rsid w:val="44AC5239"/>
    <w:rsid w:val="467B7C7F"/>
    <w:rsid w:val="584326E5"/>
    <w:rsid w:val="67B47208"/>
    <w:rsid w:val="7A4A50E2"/>
    <w:rsid w:val="7B24133B"/>
    <w:rsid w:val="7D42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01"/>
    <w:basedOn w:val="3"/>
    <w:autoRedefine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2024-01-31T07:47:00Z</dcterms:created>
  <dc:creator>何英</dc:creator>
  <cp:lastModifiedBy>有种放学小树林</cp:lastModifiedBy>
  <dcterms:modified xsi:type="dcterms:W3CDTF">2024-03-07T00:47:11Z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0FF51A0DEB814C5B963A18260975BB93</vt:lpwstr>
  </property>
</Properties>
</file>