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p>
    <w:p>
      <w:pPr>
        <w:pStyle w:val="10"/>
        <w:spacing w:line="760" w:lineRule="exact"/>
        <w:jc w:val="center"/>
        <w:rPr>
          <w:rFonts w:hint="eastAsia" w:ascii="方正小标宋_GBK" w:hAnsi="宋体" w:eastAsia="方正小标宋_GBK"/>
          <w:sz w:val="44"/>
          <w:szCs w:val="44"/>
          <w:lang w:val="en-US"/>
        </w:rPr>
      </w:pPr>
      <w:r>
        <w:rPr>
          <w:rFonts w:hint="eastAsia" w:ascii="方正小标宋_GBK" w:hAnsi="宋体" w:eastAsia="方正小标宋_GBK"/>
          <w:sz w:val="44"/>
          <w:szCs w:val="44"/>
          <w:lang w:val="en-US"/>
        </w:rPr>
        <w:t>2022年中央财政农业生产发展资金(家庭</w:t>
      </w:r>
    </w:p>
    <w:p>
      <w:pPr>
        <w:pStyle w:val="10"/>
        <w:spacing w:line="76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rPr>
        <w:t>农场培育)项目支出绩效</w:t>
      </w:r>
      <w:r>
        <w:rPr>
          <w:rFonts w:hint="eastAsia" w:ascii="方正小标宋_GBK" w:hAnsi="宋体" w:eastAsia="方正小标宋_GBK"/>
          <w:sz w:val="44"/>
          <w:szCs w:val="44"/>
        </w:rPr>
        <w:t>自评报告</w:t>
      </w:r>
    </w:p>
    <w:p>
      <w:pPr>
        <w:pStyle w:val="10"/>
        <w:spacing w:line="560" w:lineRule="exact"/>
        <w:ind w:firstLine="640"/>
        <w:jc w:val="center"/>
        <w:rPr>
          <w:rFonts w:ascii="宋体" w:hAnsi="宋体"/>
          <w:color w:val="auto"/>
          <w:kern w:val="2"/>
          <w:sz w:val="32"/>
          <w:szCs w:val="32"/>
        </w:rPr>
      </w:pPr>
    </w:p>
    <w:p>
      <w:pPr>
        <w:numPr>
          <w:ilvl w:val="0"/>
          <w:numId w:val="1"/>
        </w:numPr>
        <w:adjustRightInd w:val="0"/>
        <w:snapToGrid w:val="0"/>
        <w:spacing w:line="560" w:lineRule="exact"/>
        <w:ind w:firstLine="720"/>
        <w:rPr>
          <w:rFonts w:ascii="黑体" w:hAnsi="宋体" w:eastAsia="黑体"/>
          <w:lang w:val="zh-CN"/>
        </w:rPr>
      </w:pPr>
      <w:r>
        <w:rPr>
          <w:rFonts w:hint="eastAsia" w:ascii="黑体" w:hAnsi="宋体" w:eastAsia="黑体"/>
          <w:lang w:val="zh-CN"/>
        </w:rPr>
        <w:t>项目概况</w:t>
      </w:r>
    </w:p>
    <w:p>
      <w:pPr>
        <w:adjustRightInd w:val="0"/>
        <w:snapToGrid w:val="0"/>
        <w:spacing w:line="560" w:lineRule="exact"/>
        <w:ind w:firstLine="720"/>
      </w:pPr>
      <w:r>
        <w:rPr>
          <w:rFonts w:hint="eastAsia"/>
          <w:lang w:val="zh-CN"/>
        </w:rPr>
        <w:t>根据四川省财政厅四川省农业农村厅《关于下达2022年中央财政农业生产发展资金的通知》(川财农〔2022〕68号)文件要求，</w:t>
      </w:r>
      <w:r>
        <w:rPr>
          <w:rFonts w:hint="eastAsia"/>
        </w:rPr>
        <w:t>省级下达我区2</w:t>
      </w:r>
      <w:r>
        <w:rPr>
          <w:rFonts w:hint="eastAsia"/>
          <w:lang w:val="zh-CN"/>
        </w:rPr>
        <w:t>022年中央财政农业生产发展资金家庭农场</w:t>
      </w:r>
      <w:r>
        <w:rPr>
          <w:rFonts w:hint="eastAsia"/>
        </w:rPr>
        <w:t>培育</w:t>
      </w:r>
      <w:r>
        <w:rPr>
          <w:rFonts w:hint="eastAsia"/>
          <w:lang w:val="zh-CN"/>
        </w:rPr>
        <w:t>项目中央财政补助资金8</w:t>
      </w:r>
      <w:r>
        <w:rPr>
          <w:rFonts w:hint="eastAsia"/>
        </w:rPr>
        <w:t>0万元。</w:t>
      </w:r>
      <w:r>
        <w:rPr>
          <w:rFonts w:hint="eastAsia"/>
          <w:lang w:val="zh-CN"/>
        </w:rPr>
        <w:t>仁和区编制了</w:t>
      </w:r>
      <w:r>
        <w:rPr>
          <w:rFonts w:hint="eastAsia"/>
        </w:rPr>
        <w:t>《仁和区2022年度家庭农场项目管理实施方案》</w:t>
      </w:r>
      <w:r>
        <w:rPr>
          <w:rFonts w:hint="eastAsia"/>
          <w:lang w:val="zh-CN"/>
        </w:rPr>
        <w:t>,通过</w:t>
      </w:r>
      <w:r>
        <w:rPr>
          <w:rFonts w:hint="eastAsia"/>
        </w:rPr>
        <w:t>家庭农场</w:t>
      </w:r>
      <w:r>
        <w:rPr>
          <w:rFonts w:hint="eastAsia"/>
          <w:lang w:val="zh-CN"/>
        </w:rPr>
        <w:t>自愿、乡镇推荐的原则，在全区13个乡镇选定符合项目要求的</w:t>
      </w:r>
      <w:r>
        <w:rPr>
          <w:rFonts w:hint="eastAsia"/>
        </w:rPr>
        <w:t>7个家庭农场</w:t>
      </w:r>
      <w:r>
        <w:rPr>
          <w:rFonts w:hint="eastAsia"/>
          <w:lang w:val="zh-CN"/>
        </w:rPr>
        <w:t>实施该项目，</w:t>
      </w:r>
      <w:r>
        <w:rPr>
          <w:rFonts w:hint="eastAsia"/>
        </w:rPr>
        <w:t>项目于2022年9月7日报区政府批复实施（批复文件：攀枝花市仁和区人民政府《关于2022年中央财政农业生产发展资金项目的批复》攀仁府〔2022〕89号），同时报市农业农村局备案。</w:t>
      </w:r>
    </w:p>
    <w:p>
      <w:pPr>
        <w:numPr>
          <w:ilvl w:val="0"/>
          <w:numId w:val="2"/>
        </w:numPr>
        <w:adjustRightInd w:val="0"/>
        <w:snapToGrid w:val="0"/>
        <w:spacing w:line="560" w:lineRule="exact"/>
        <w:ind w:firstLine="720"/>
        <w:rPr>
          <w:lang w:val="zh-CN"/>
        </w:rPr>
      </w:pPr>
      <w:r>
        <w:rPr>
          <w:rFonts w:hint="eastAsia" w:ascii="楷体_GB2312" w:hAnsi="宋体" w:eastAsia="楷体_GB2312"/>
          <w:lang w:val="zh-CN"/>
        </w:rPr>
        <w:t>项目资金申报及批复情况。</w:t>
      </w:r>
      <w:r>
        <w:rPr>
          <w:rFonts w:hint="eastAsia"/>
          <w:lang w:val="zh-CN"/>
        </w:rPr>
        <w:t>按照文件要求，区农业农村局采取主体自愿乡(镇)推荐的方式进行申报，最终确定</w:t>
      </w:r>
      <w:r>
        <w:rPr>
          <w:rFonts w:hint="eastAsia"/>
        </w:rPr>
        <w:t>7</w:t>
      </w:r>
      <w:r>
        <w:rPr>
          <w:rFonts w:hint="eastAsia"/>
          <w:lang w:val="zh-CN"/>
        </w:rPr>
        <w:t>个项目实施主体并编制了项目实施方案，申报主体都对项目建设内容、投资及真实性做出承诺，并签订承诺书。2022年9月18日— 9月19</w:t>
      </w:r>
      <w:r>
        <w:rPr>
          <w:rFonts w:hint="eastAsia"/>
        </w:rPr>
        <w:t>日</w:t>
      </w:r>
      <w:r>
        <w:rPr>
          <w:rFonts w:hint="eastAsia"/>
          <w:lang w:val="zh-CN"/>
        </w:rPr>
        <w:t>,《实施方案(送审稿)》已经区委财经委员会2022年第10次会议、区政府常务会2022年十三届第24次会议审议并通过，目前已将《2022年度攀枝花市仁和区中央财政农业生产发展资金家庭农场培育项目管理实施方案》呈报市局审批，并报省厅备案。</w:t>
      </w:r>
      <w:r>
        <w:rPr>
          <w:rFonts w:hint="eastAsia"/>
        </w:rPr>
        <w:t>项目</w:t>
      </w:r>
      <w:r>
        <w:rPr>
          <w:rFonts w:hint="eastAsia"/>
          <w:lang w:val="zh-CN"/>
        </w:rPr>
        <w:t>符合资金管理办法等相关规定。</w:t>
      </w:r>
    </w:p>
    <w:p>
      <w:pPr>
        <w:spacing w:line="600" w:lineRule="exact"/>
        <w:ind w:firstLine="695"/>
      </w:pPr>
      <w:r>
        <w:rPr>
          <w:rFonts w:hint="eastAsia" w:ascii="楷体_GB2312" w:hAnsi="宋体" w:eastAsia="楷体_GB2312"/>
          <w:lang w:val="zh-CN"/>
        </w:rPr>
        <w:t>（二）项目绩效目标。</w:t>
      </w:r>
      <w:r>
        <w:rPr>
          <w:rFonts w:hint="eastAsia"/>
        </w:rPr>
        <w:t>按照实施方案目标要求，2022年中央财政农业生产发展资金家庭农场培育项目支持家庭农场7家</w:t>
      </w:r>
      <w:r>
        <w:rPr>
          <w:rFonts w:hint="eastAsia"/>
          <w:lang w:val="zh-CN"/>
        </w:rPr>
        <w:t>其中示范工程一类1个，实施培育工程6个（培育一类4个，培育二类2个）。</w:t>
      </w:r>
      <w:r>
        <w:rPr>
          <w:rFonts w:hint="eastAsia"/>
        </w:rPr>
        <w:t>目前已全部完成建设任务</w:t>
      </w:r>
      <w:r>
        <w:rPr>
          <w:rFonts w:hint="eastAsia"/>
          <w:lang w:val="zh-CN"/>
        </w:rPr>
        <w:t>。通过该项目的实施，全区家庭农场规范管理得到进一步加强，实现区域内经市场监管部门登记的家庭农场全部纳入名录库管理；通过培训指导提升家庭农场管理水平，生产质量得到提升，实现农业增产增效，农民增收。</w:t>
      </w:r>
      <w:r>
        <w:rPr>
          <w:rFonts w:hint="eastAsia"/>
        </w:rPr>
        <w:t>项目建设期限2022年6月-2023年6月，从申报到实施再到验收严格按照实施方案计划进度进行建设。</w:t>
      </w:r>
    </w:p>
    <w:p>
      <w:pPr>
        <w:adjustRightInd w:val="0"/>
        <w:snapToGrid w:val="0"/>
        <w:spacing w:line="560" w:lineRule="exact"/>
        <w:ind w:firstLine="640" w:firstLineChars="200"/>
        <w:rPr>
          <w:lang w:val="zh-CN"/>
        </w:rPr>
      </w:pPr>
      <w:r>
        <w:rPr>
          <w:rFonts w:hint="eastAsia" w:ascii="楷体_GB2312" w:hAnsi="宋体" w:eastAsia="楷体_GB2312"/>
          <w:lang w:val="zh-CN"/>
        </w:rPr>
        <w:t>（三）项目资金申报相符性。</w:t>
      </w:r>
      <w:r>
        <w:rPr>
          <w:rFonts w:hint="eastAsia"/>
        </w:rPr>
        <w:t>项目建设内容与批复一致，围绕家庭农场的基础设施、水利设施、产业发展等方面进行建设，申报方案目标严格按照项目管理办法及家庭农场实际需求进行建设内容编制，</w:t>
      </w:r>
      <w:r>
        <w:rPr>
          <w:rFonts w:hint="eastAsia"/>
          <w:lang w:val="zh-CN"/>
        </w:rPr>
        <w:t>项目申报内容、申报目标合理可行。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lang w:val="zh-CN"/>
        </w:rPr>
      </w:pPr>
      <w:r>
        <w:rPr>
          <w:rFonts w:hint="eastAsia" w:ascii="楷体_GB2312" w:hAnsi="宋体" w:eastAsia="楷体_GB2312"/>
          <w:lang w:val="zh-CN"/>
        </w:rPr>
        <w:t>（一）资金计划、到位及使用情况。</w:t>
      </w:r>
    </w:p>
    <w:p>
      <w:pPr>
        <w:adjustRightInd w:val="0"/>
        <w:snapToGrid w:val="0"/>
        <w:spacing w:line="560" w:lineRule="exact"/>
        <w:ind w:firstLine="720"/>
        <w:rPr>
          <w:lang w:val="zh-CN"/>
        </w:rPr>
      </w:pPr>
      <w:r>
        <w:rPr>
          <w:rFonts w:eastAsia="楷体_GB2312"/>
          <w:lang w:val="zh-CN"/>
        </w:rPr>
        <w:t>1.</w:t>
      </w:r>
      <w:r>
        <w:rPr>
          <w:lang w:val="zh-CN"/>
        </w:rPr>
        <w:t>资金计划及到位。</w:t>
      </w:r>
      <w:r>
        <w:t>项目于2022年6月由省级下达中央财政资金80万元，下达资金及时，自筹资金141.7万元，在建设过程中自筹资金通过农户筹资筹劳方式进行，资金筹集到位及时，资金到位率100%。</w:t>
      </w:r>
    </w:p>
    <w:p>
      <w:pPr>
        <w:adjustRightInd w:val="0"/>
        <w:snapToGrid w:val="0"/>
        <w:spacing w:line="560" w:lineRule="exact"/>
        <w:ind w:firstLine="720"/>
        <w:rPr>
          <w:lang w:val="zh-CN"/>
        </w:rPr>
      </w:pPr>
      <w:r>
        <w:rPr>
          <w:rFonts w:eastAsia="楷体_GB2312"/>
          <w:lang w:val="zh-CN"/>
        </w:rPr>
        <w:t>2.资</w:t>
      </w:r>
      <w:r>
        <w:rPr>
          <w:lang w:val="zh-CN"/>
        </w:rPr>
        <w:t>金使用。</w:t>
      </w:r>
      <w:r>
        <w:rPr>
          <w:rFonts w:hint="eastAsia"/>
        </w:rPr>
        <w:t>项目于2022年10月由仁和区政府批复实施，于2023年6月30日前完成建设，并通过区乡两级验收后完成报账。单体扶持7个，完成财政资金补助80万元；项目下达财政资金80万元，实际使用财政资金0万元，项目将按照实施方案在6月30日前完成实施、验收和报账</w:t>
      </w:r>
      <w:r>
        <w:rPr>
          <w:rFonts w:hint="eastAsia"/>
          <w:lang w:val="zh-CN"/>
        </w:rPr>
        <w:t>。</w:t>
      </w:r>
    </w:p>
    <w:p>
      <w:pPr>
        <w:adjustRightInd w:val="0"/>
        <w:snapToGrid w:val="0"/>
        <w:spacing w:line="560" w:lineRule="exact"/>
        <w:ind w:left="640"/>
        <w:rPr>
          <w:rFonts w:ascii="楷体_GB2312" w:hAnsi="宋体" w:eastAsia="楷体_GB2312"/>
          <w:lang w:val="zh-CN"/>
        </w:rPr>
      </w:pPr>
      <w:r>
        <w:rPr>
          <w:rFonts w:hint="eastAsia" w:ascii="楷体_GB2312" w:hAnsi="宋体" w:eastAsia="楷体_GB2312"/>
          <w:lang w:val="zh-CN"/>
        </w:rPr>
        <w:t>（二）项目财务管理情况。</w:t>
      </w:r>
    </w:p>
    <w:p>
      <w:pPr>
        <w:adjustRightInd w:val="0"/>
        <w:snapToGrid w:val="0"/>
        <w:spacing w:line="560" w:lineRule="exact"/>
        <w:ind w:firstLine="720"/>
        <w:rPr>
          <w:lang w:val="zh-CN"/>
        </w:rPr>
      </w:pPr>
      <w:r>
        <w:rPr>
          <w:rFonts w:hint="eastAsia"/>
        </w:rPr>
        <w:t>项目资金采取</w:t>
      </w:r>
      <w:r>
        <w:t>专项资金管理，</w:t>
      </w:r>
      <w:r>
        <w:rPr>
          <w:rFonts w:hint="eastAsia"/>
        </w:rPr>
        <w:t>为</w:t>
      </w:r>
      <w:r>
        <w:t>保障资金安全、高效运行，发挥资金使用效益，特制定</w:t>
      </w:r>
      <w:r>
        <w:rPr>
          <w:rFonts w:hint="eastAsia"/>
        </w:rPr>
        <w:t>了</w:t>
      </w:r>
      <w:r>
        <w:t>管理制度</w:t>
      </w:r>
      <w:r>
        <w:rPr>
          <w:rFonts w:hint="eastAsia"/>
        </w:rPr>
        <w:t>，保证了项目资金管理规范、报账程序到位。</w:t>
      </w:r>
      <w:r>
        <w:t>专项资金实行“专人管理、专账核算、专项使用”</w:t>
      </w:r>
      <w:r>
        <w:rPr>
          <w:rFonts w:hint="eastAsia"/>
        </w:rPr>
        <w:t>；</w:t>
      </w:r>
      <w:r>
        <w:t>专项资金实行报账制，资金拨付一律转账结算，杜绝现金支付</w:t>
      </w:r>
      <w:r>
        <w:rPr>
          <w:rFonts w:hint="eastAsia"/>
        </w:rPr>
        <w:t>；</w:t>
      </w:r>
      <w:r>
        <w:t>资金的拨付本着专款专用的原则，严格执行项目资金批准的使用计划和项目批复内容，不准擅自调项、扩项、缩项，更不准拆借、挪用、挤占和随意扣压；资金拨付动向，按不同专项资金的要求执行，不准任意改变；特殊情况，必须请示。</w:t>
      </w:r>
    </w:p>
    <w:p>
      <w:pPr>
        <w:adjustRightInd w:val="0"/>
        <w:snapToGrid w:val="0"/>
        <w:spacing w:line="560" w:lineRule="exact"/>
        <w:ind w:left="640"/>
        <w:rPr>
          <w:rFonts w:ascii="楷体_GB2312" w:hAnsi="宋体" w:eastAsia="楷体_GB2312"/>
          <w:lang w:val="zh-CN"/>
        </w:rPr>
      </w:pPr>
      <w:r>
        <w:rPr>
          <w:rFonts w:hint="eastAsia" w:ascii="楷体_GB2312" w:hAnsi="宋体" w:eastAsia="楷体_GB2312"/>
          <w:lang w:val="zh-CN"/>
        </w:rPr>
        <w:t>（三）项目组织实施情况。</w:t>
      </w:r>
    </w:p>
    <w:p>
      <w:pPr>
        <w:widowControl/>
        <w:kinsoku w:val="0"/>
        <w:autoSpaceDE w:val="0"/>
        <w:autoSpaceDN w:val="0"/>
        <w:adjustRightInd w:val="0"/>
        <w:snapToGrid w:val="0"/>
        <w:spacing w:before="1" w:line="560" w:lineRule="exact"/>
        <w:ind w:left="41" w:right="11" w:firstLine="703"/>
        <w:textAlignment w:val="baseline"/>
        <w:rPr>
          <w:lang w:val="zh-CN"/>
        </w:rPr>
      </w:pPr>
      <w:r>
        <w:rPr>
          <w:rFonts w:hint="eastAsia"/>
        </w:rPr>
        <w:t>项目从申报到批复实施再到区乡两级验收，严格实施流程进行，并成立项目领导小组对项目进行监管。家庭农场组织专人对项目方案、设计等申报材料进行编制，将申报资料交所在乡镇初步审核，并推荐报项目主管部门，项目主管部门报区财经委员会、政府常务会讨论通过后报市级批复、省级备案再组织实施。在实施过程中项目主管部门将定期或不定期进行现场监督检查，对涉及道路、水利、场地等基础设施建设项目，项目主管部门协同专业部门进行质量把关，确保项目按质、按量、按时完成。财政补助资金达到财评要求的项目，将按照要求进行财评。</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spacing w:line="600" w:lineRule="exact"/>
        <w:ind w:firstLine="640" w:firstLineChars="200"/>
        <w:outlineLvl w:val="0"/>
      </w:pPr>
      <w:r>
        <w:rPr>
          <w:rFonts w:hint="eastAsia" w:ascii="楷体_GB2312" w:hAnsi="宋体" w:eastAsia="楷体_GB2312"/>
          <w:lang w:val="zh-CN"/>
        </w:rPr>
        <w:t>（一）项目完成情况。</w:t>
      </w:r>
      <w:r>
        <w:rPr>
          <w:rFonts w:hint="eastAsia"/>
        </w:rPr>
        <w:t>项目计划扶持家庭农场7家、财政资金补助80万元，实际扶持家庭农场7家，补助财政资金80万元</w:t>
      </w:r>
      <w:r>
        <w:rPr>
          <w:rFonts w:hint="eastAsia"/>
          <w:lang w:val="zh-CN"/>
        </w:rPr>
        <w:t>。按照项目实施方案要求，7个家庭农场项目</w:t>
      </w:r>
      <w:r>
        <w:rPr>
          <w:rFonts w:hint="eastAsia"/>
        </w:rPr>
        <w:t>于2023年6月30日全部完成</w:t>
      </w:r>
      <w:r>
        <w:rPr>
          <w:rFonts w:hint="eastAsia"/>
          <w:lang w:val="zh-CN"/>
        </w:rPr>
        <w:t>验收，合格率</w:t>
      </w:r>
      <w:r>
        <w:rPr>
          <w:rFonts w:hint="eastAsia"/>
        </w:rPr>
        <w:t>达到</w:t>
      </w:r>
      <w:r>
        <w:rPr>
          <w:rFonts w:hint="eastAsia"/>
          <w:lang w:val="zh-CN"/>
        </w:rPr>
        <w:t>100%，区级统一安排资金使用率</w:t>
      </w:r>
      <w:r>
        <w:rPr>
          <w:rFonts w:hint="eastAsia"/>
        </w:rPr>
        <w:t>达到100</w:t>
      </w:r>
      <w:r>
        <w:rPr>
          <w:rFonts w:hint="eastAsia"/>
          <w:lang w:val="zh-CN"/>
        </w:rPr>
        <w:t>%；</w:t>
      </w:r>
      <w:r>
        <w:rPr>
          <w:rFonts w:hint="eastAsia"/>
        </w:rPr>
        <w:t>截至2022年12月31日</w:t>
      </w:r>
      <w:r>
        <w:rPr>
          <w:rFonts w:hint="eastAsia"/>
          <w:lang w:val="zh-CN"/>
        </w:rPr>
        <w:t>完成项目财政资金投资</w:t>
      </w:r>
      <w:r>
        <w:rPr>
          <w:rFonts w:hint="eastAsia"/>
        </w:rPr>
        <w:t>0</w:t>
      </w:r>
      <w:r>
        <w:rPr>
          <w:rFonts w:hint="eastAsia"/>
          <w:lang w:val="zh-CN"/>
        </w:rPr>
        <w:t>万元，自评</w:t>
      </w:r>
      <w:r>
        <w:rPr>
          <w:rFonts w:hint="eastAsia"/>
        </w:rPr>
        <w:t>得分96分</w:t>
      </w:r>
      <w:r>
        <w:rPr>
          <w:rFonts w:hint="eastAsia"/>
          <w:lang w:val="zh-CN"/>
        </w:rPr>
        <w:t>。</w:t>
      </w:r>
    </w:p>
    <w:p>
      <w:pPr>
        <w:spacing w:line="600" w:lineRule="exact"/>
        <w:ind w:firstLine="695"/>
        <w:rPr>
          <w:lang w:val="zh-CN"/>
        </w:rPr>
      </w:pPr>
      <w:r>
        <w:rPr>
          <w:rFonts w:hint="eastAsia" w:ascii="楷体_GB2312" w:hAnsi="宋体" w:eastAsia="楷体_GB2312"/>
          <w:lang w:val="zh-CN"/>
        </w:rPr>
        <w:t>（二）项目效益情况。</w:t>
      </w:r>
      <w:r>
        <w:rPr>
          <w:rFonts w:hint="eastAsia"/>
        </w:rPr>
        <w:t>通过项目建设，全区家庭农场规范管理得到进一步加强，实现区域内经市场监管部门登记的家庭农场全部纳入名录库管理；</w:t>
      </w:r>
      <w:bookmarkStart w:id="0" w:name="_GoBack"/>
      <w:bookmarkEnd w:id="0"/>
      <w:r>
        <w:rPr>
          <w:rFonts w:hint="eastAsia"/>
        </w:rPr>
        <w:t>通过培训指导提升家庭农场管理水平，生产质量得到提升，实现农业增产增效，农民增收。</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ind w:firstLine="640" w:firstLineChars="200"/>
        <w:rPr>
          <w:rFonts w:ascii="楷体_GB2312" w:hAnsi="宋体" w:eastAsia="楷体_GB2312"/>
          <w:lang w:val="zh-CN"/>
        </w:rPr>
      </w:pPr>
      <w:r>
        <w:rPr>
          <w:rFonts w:hint="eastAsia" w:ascii="楷体_GB2312" w:hAnsi="宋体" w:eastAsia="楷体_GB2312"/>
          <w:lang w:val="zh-CN"/>
        </w:rPr>
        <w:t>（一）存在的问题。</w:t>
      </w:r>
    </w:p>
    <w:p>
      <w:pPr>
        <w:pStyle w:val="2"/>
        <w:ind w:firstLine="640" w:firstLineChars="200"/>
        <w:rPr>
          <w:lang w:val="zh-CN"/>
        </w:rPr>
      </w:pPr>
      <w:r>
        <w:rPr>
          <w:rFonts w:hint="eastAsia"/>
        </w:rPr>
        <w:t>项目从申报、资金下达、批复、实施、验收严格按照项目管理办法、项目实施方案进行监督、检查、审核，未发现问题。</w:t>
      </w:r>
    </w:p>
    <w:p>
      <w:pPr>
        <w:adjustRightInd w:val="0"/>
        <w:snapToGrid w:val="0"/>
        <w:spacing w:line="560" w:lineRule="exact"/>
        <w:ind w:left="640"/>
        <w:rPr>
          <w:rFonts w:ascii="楷体_GB2312" w:hAnsi="宋体" w:eastAsia="楷体_GB2312"/>
          <w:lang w:val="zh-CN"/>
        </w:rPr>
      </w:pPr>
      <w:r>
        <w:rPr>
          <w:rFonts w:hint="eastAsia" w:ascii="楷体_GB2312" w:hAnsi="宋体" w:eastAsia="楷体_GB2312"/>
          <w:lang w:val="zh-CN"/>
        </w:rPr>
        <w:t>（二）相关建议。</w:t>
      </w:r>
    </w:p>
    <w:p>
      <w:pPr>
        <w:pStyle w:val="2"/>
        <w:ind w:firstLine="640" w:firstLineChars="200"/>
      </w:pPr>
      <w:r>
        <w:rPr>
          <w:rFonts w:hint="eastAsia"/>
        </w:rPr>
        <w:t>项目实施方案建设期限为一年，建议项目下达资金尽量提前，给项目建设留足时间，争取当年完成建设任务。</w:t>
      </w:r>
    </w:p>
    <w:sectPr>
      <w:footerReference r:id="rId3" w:type="default"/>
      <w:footerReference r:id="rId4" w:type="even"/>
      <w:pgSz w:w="11906" w:h="16838"/>
      <w:pgMar w:top="1440" w:right="1800" w:bottom="1440" w:left="1800" w:header="851" w:footer="992" w:gutter="0"/>
      <w:pgNumType w:fmt="numberInDash" w:start="1"/>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8146053"/>
      <w:docPartObj>
        <w:docPartGallery w:val="AutoText"/>
      </w:docPartObj>
    </w:sdtPr>
    <w:sdtEndPr>
      <w:rPr>
        <w:rFonts w:asciiTheme="minorEastAsia" w:hAnsiTheme="minorEastAsia" w:eastAsiaTheme="minorEastAsia"/>
        <w:sz w:val="28"/>
        <w:szCs w:val="28"/>
      </w:rPr>
    </w:sdtEndPr>
    <w:sdtContent>
      <w:p>
        <w:pPr>
          <w:pStyle w:val="6"/>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3 -</w:t>
        </w:r>
        <w:r>
          <w:rPr>
            <w:rFonts w:asciiTheme="minorEastAsia" w:hAnsiTheme="minorEastAsia" w:eastAsiaTheme="minorEastAsia"/>
            <w:sz w:val="28"/>
            <w:szCs w:val="28"/>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3434426"/>
      <w:docPartObj>
        <w:docPartGallery w:val="AutoText"/>
      </w:docPartObj>
    </w:sdtPr>
    <w:sdtEndPr>
      <w:rPr>
        <w:rFonts w:asciiTheme="minorEastAsia" w:hAnsiTheme="minorEastAsia" w:eastAsiaTheme="minorEastAsia"/>
        <w:sz w:val="28"/>
        <w:szCs w:val="28"/>
      </w:rPr>
    </w:sdtEndPr>
    <w:sdtContent>
      <w:p>
        <w:pPr>
          <w:pStyle w:val="6"/>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4 -</w:t>
        </w:r>
        <w:r>
          <w:rPr>
            <w:rFonts w:asciiTheme="minorEastAsia" w:hAnsiTheme="minorEastAsia" w:eastAsiaTheme="minorEastAsia"/>
            <w:sz w:val="28"/>
            <w:szCs w:val="28"/>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376F97"/>
    <w:multiLevelType w:val="singleLevel"/>
    <w:tmpl w:val="BD376F97"/>
    <w:lvl w:ilvl="0" w:tentative="0">
      <w:start w:val="1"/>
      <w:numFmt w:val="chineseCounting"/>
      <w:suff w:val="nothing"/>
      <w:lvlText w:val="（%1）"/>
      <w:lvlJc w:val="left"/>
      <w:pPr>
        <w:ind w:left="-80"/>
      </w:pPr>
      <w:rPr>
        <w:rFonts w:hint="eastAsia"/>
      </w:rPr>
    </w:lvl>
  </w:abstractNum>
  <w:abstractNum w:abstractNumId="1">
    <w:nsid w:val="55ED9B9E"/>
    <w:multiLevelType w:val="singleLevel"/>
    <w:tmpl w:val="55ED9B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1YjgxMzVlMTRkZjExYWI2MGI1Mjk0YjMyNjIxMDYifQ=="/>
  </w:docVars>
  <w:rsids>
    <w:rsidRoot w:val="291C455A"/>
    <w:rsid w:val="000A35F6"/>
    <w:rsid w:val="001A70E6"/>
    <w:rsid w:val="002307FC"/>
    <w:rsid w:val="00237B94"/>
    <w:rsid w:val="003414A3"/>
    <w:rsid w:val="00515A0C"/>
    <w:rsid w:val="00866E99"/>
    <w:rsid w:val="009555C5"/>
    <w:rsid w:val="00B36B72"/>
    <w:rsid w:val="00B80370"/>
    <w:rsid w:val="00BB6791"/>
    <w:rsid w:val="00C33F0F"/>
    <w:rsid w:val="00D116B3"/>
    <w:rsid w:val="00F27D19"/>
    <w:rsid w:val="0CCE1990"/>
    <w:rsid w:val="0EDB478C"/>
    <w:rsid w:val="1443024D"/>
    <w:rsid w:val="14747658"/>
    <w:rsid w:val="15FA7D7D"/>
    <w:rsid w:val="16C67F6C"/>
    <w:rsid w:val="17006E4C"/>
    <w:rsid w:val="17191F74"/>
    <w:rsid w:val="175E3962"/>
    <w:rsid w:val="1A142236"/>
    <w:rsid w:val="1C9B387A"/>
    <w:rsid w:val="20502EA3"/>
    <w:rsid w:val="22B8599C"/>
    <w:rsid w:val="2589318E"/>
    <w:rsid w:val="259809DB"/>
    <w:rsid w:val="274A35F1"/>
    <w:rsid w:val="283010CF"/>
    <w:rsid w:val="291C455A"/>
    <w:rsid w:val="2BBB0ECF"/>
    <w:rsid w:val="2CF30405"/>
    <w:rsid w:val="2D19172E"/>
    <w:rsid w:val="30B6607A"/>
    <w:rsid w:val="31DC73F7"/>
    <w:rsid w:val="3224724F"/>
    <w:rsid w:val="330733BD"/>
    <w:rsid w:val="33D93810"/>
    <w:rsid w:val="34184207"/>
    <w:rsid w:val="36926D0C"/>
    <w:rsid w:val="373B04F2"/>
    <w:rsid w:val="37DB407B"/>
    <w:rsid w:val="37DB40EC"/>
    <w:rsid w:val="38A96204"/>
    <w:rsid w:val="39A706A6"/>
    <w:rsid w:val="3AF060BE"/>
    <w:rsid w:val="3C0B5911"/>
    <w:rsid w:val="3D434194"/>
    <w:rsid w:val="3E104D62"/>
    <w:rsid w:val="3E573E64"/>
    <w:rsid w:val="40404335"/>
    <w:rsid w:val="40E67721"/>
    <w:rsid w:val="42377C1C"/>
    <w:rsid w:val="45810DEC"/>
    <w:rsid w:val="47B57E4D"/>
    <w:rsid w:val="4CD561B4"/>
    <w:rsid w:val="4DAF2BCF"/>
    <w:rsid w:val="4DDB6F66"/>
    <w:rsid w:val="505A5003"/>
    <w:rsid w:val="50946CF5"/>
    <w:rsid w:val="53A87869"/>
    <w:rsid w:val="5A902EA3"/>
    <w:rsid w:val="5AC063F8"/>
    <w:rsid w:val="5B2568B5"/>
    <w:rsid w:val="5BA95B6E"/>
    <w:rsid w:val="5FCE5385"/>
    <w:rsid w:val="62F50040"/>
    <w:rsid w:val="642448E9"/>
    <w:rsid w:val="6F815C05"/>
    <w:rsid w:val="7009303C"/>
    <w:rsid w:val="71357785"/>
    <w:rsid w:val="72677757"/>
    <w:rsid w:val="73234271"/>
    <w:rsid w:val="749850D8"/>
    <w:rsid w:val="76311976"/>
    <w:rsid w:val="77342CA4"/>
    <w:rsid w:val="792F2AEE"/>
    <w:rsid w:val="794835E0"/>
    <w:rsid w:val="7F611361"/>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index 8"/>
    <w:basedOn w:val="1"/>
    <w:next w:val="1"/>
    <w:unhideWhenUsed/>
    <w:qFormat/>
    <w:uiPriority w:val="99"/>
    <w:pPr>
      <w:ind w:left="2940"/>
    </w:pPr>
  </w:style>
  <w:style w:type="paragraph" w:styleId="4">
    <w:name w:val="Body Text Indent"/>
    <w:basedOn w:val="1"/>
    <w:next w:val="5"/>
    <w:qFormat/>
    <w:uiPriority w:val="0"/>
    <w:pPr>
      <w:spacing w:after="120"/>
      <w:ind w:left="420" w:leftChars="200"/>
    </w:pPr>
  </w:style>
  <w:style w:type="paragraph" w:styleId="5">
    <w:name w:val="Body Text First Indent 2"/>
    <w:basedOn w:val="4"/>
    <w:qFormat/>
    <w:uiPriority w:val="0"/>
    <w:pPr>
      <w:ind w:firstLine="420" w:firstLineChars="200"/>
    </w:pPr>
  </w:style>
  <w:style w:type="paragraph" w:styleId="6">
    <w:name w:val="footer"/>
    <w:basedOn w:val="1"/>
    <w:link w:val="13"/>
    <w:qFormat/>
    <w:uiPriority w:val="99"/>
    <w:pPr>
      <w:tabs>
        <w:tab w:val="center" w:pos="4153"/>
        <w:tab w:val="right" w:pos="8306"/>
      </w:tabs>
      <w:snapToGrid w:val="0"/>
      <w:jc w:val="left"/>
    </w:pPr>
    <w:rPr>
      <w:sz w:val="18"/>
    </w:rPr>
  </w:style>
  <w:style w:type="paragraph" w:styleId="7">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customStyle="1" w:styleId="10">
    <w:name w:val="四号正文"/>
    <w:basedOn w:val="1"/>
    <w:qFormat/>
    <w:uiPriority w:val="0"/>
    <w:pPr>
      <w:spacing w:line="360" w:lineRule="auto"/>
    </w:pPr>
    <w:rPr>
      <w:rFonts w:ascii="??" w:hAnsi="??" w:eastAsia="宋体"/>
      <w:color w:val="000000"/>
      <w:kern w:val="0"/>
      <w:sz w:val="28"/>
      <w:szCs w:val="21"/>
      <w:lang w:val="zh-CN"/>
    </w:rPr>
  </w:style>
  <w:style w:type="character" w:customStyle="1" w:styleId="11">
    <w:name w:val="NormalCharacter"/>
    <w:qFormat/>
    <w:uiPriority w:val="0"/>
  </w:style>
  <w:style w:type="character" w:customStyle="1" w:styleId="12">
    <w:name w:val="页眉 Char"/>
    <w:basedOn w:val="9"/>
    <w:link w:val="7"/>
    <w:uiPriority w:val="0"/>
    <w:rPr>
      <w:rFonts w:eastAsia="仿宋_GB2312"/>
      <w:kern w:val="2"/>
      <w:sz w:val="18"/>
      <w:szCs w:val="18"/>
    </w:rPr>
  </w:style>
  <w:style w:type="character" w:customStyle="1" w:styleId="13">
    <w:name w:val="页脚 Char"/>
    <w:basedOn w:val="9"/>
    <w:link w:val="6"/>
    <w:uiPriority w:val="99"/>
    <w:rPr>
      <w:rFonts w:eastAsia="仿宋_GB2312"/>
      <w:kern w:val="2"/>
      <w:sz w:val="1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1956</Words>
  <Characters>119</Characters>
  <Lines>1</Lines>
  <Paragraphs>4</Paragraphs>
  <TotalTime>16</TotalTime>
  <ScaleCrop>false</ScaleCrop>
  <LinksUpToDate>false</LinksUpToDate>
  <CharactersWithSpaces>2071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曾朝华</cp:lastModifiedBy>
  <cp:lastPrinted>2023-04-26T09:07:00Z</cp:lastPrinted>
  <dcterms:modified xsi:type="dcterms:W3CDTF">2024-02-28T08:09:36Z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91217CC976B94565A27D15D9E916D263_13</vt:lpwstr>
  </property>
</Properties>
</file>