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highlight w:val="none"/>
        </w:rPr>
      </w:pPr>
      <w:bookmarkStart w:id="0" w:name="_Toc15396597"/>
      <w:bookmarkStart w:id="1" w:name="_Toc15377425"/>
      <w:bookmarkStart w:id="2" w:name="_Toc15396475"/>
      <w:bookmarkStart w:id="3" w:name="_Toc15378441"/>
      <w:bookmarkStart w:id="4" w:name="_Toc15377193"/>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7426"/>
      <w:bookmarkStart w:id="7" w:name="_Toc15378442"/>
      <w:bookmarkStart w:id="8" w:name="_Toc15377194"/>
      <w:bookmarkStart w:id="9" w:name="_Toc15396598"/>
      <w:bookmarkStart w:id="10" w:name="_Toc15396476"/>
      <w:r>
        <w:rPr>
          <w:rFonts w:hint="eastAsia" w:ascii="方正小标宋简体" w:hAnsi="方正小标宋简体" w:eastAsia="方正小标宋简体" w:cs="方正小标宋简体"/>
          <w:color w:val="auto"/>
          <w:sz w:val="72"/>
          <w:szCs w:val="72"/>
          <w:highlight w:val="none"/>
        </w:rPr>
        <w:t>四川省</w:t>
      </w:r>
      <w:bookmarkEnd w:id="5"/>
      <w:bookmarkStart w:id="11" w:name="_Toc15306268"/>
      <w:r>
        <w:rPr>
          <w:rFonts w:hint="eastAsia" w:ascii="方正小标宋简体" w:hAnsi="方正小标宋简体" w:eastAsia="方正小标宋简体" w:cs="方正小标宋简体"/>
          <w:color w:val="auto"/>
          <w:sz w:val="72"/>
          <w:szCs w:val="72"/>
          <w:highlight w:val="none"/>
          <w:lang w:val="en-US" w:eastAsia="zh-CN"/>
        </w:rPr>
        <w:t>攀枝花市仁和区红十字会</w:t>
      </w: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2"/>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p>
      <w:pPr>
        <w:rPr>
          <w:color w:val="auto"/>
          <w:highlight w:val="none"/>
        </w:rPr>
      </w:pPr>
    </w:p>
    <w:p>
      <w:pPr>
        <w:pStyle w:val="12"/>
        <w:adjustRightInd w:val="0"/>
        <w:snapToGrid w:val="0"/>
        <w:spacing w:before="0" w:line="440" w:lineRule="exact"/>
        <w:jc w:val="left"/>
        <w:rPr>
          <w:rFonts w:hint="eastAsia" w:eastAsia="仿宋" w:cstheme="minorBidi"/>
          <w:color w:val="auto"/>
          <w:sz w:val="24"/>
          <w:szCs w:val="24"/>
          <w:highlight w:val="none"/>
          <w:lang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r>
        <w:rPr>
          <w:rFonts w:hint="eastAsia" w:ascii="仿宋" w:hAnsi="仿宋" w:eastAsia="仿宋"/>
          <w:kern w:val="2"/>
          <w:sz w:val="24"/>
          <w:szCs w:val="24"/>
          <w:lang w:val="zh-CN"/>
        </w:rPr>
        <w:t>…………………………………………………………………</w:t>
      </w:r>
      <w:r>
        <w:rPr>
          <w:rFonts w:hint="eastAsia"/>
          <w:kern w:val="2"/>
          <w:sz w:val="24"/>
          <w:szCs w:val="24"/>
          <w:lang w:val="en-US" w:eastAsia="zh-CN"/>
        </w:rPr>
        <w:t>4</w:t>
      </w:r>
    </w:p>
    <w:p>
      <w:pPr>
        <w:pStyle w:val="13"/>
        <w:adjustRightInd w:val="0"/>
        <w:snapToGrid w:val="0"/>
        <w:spacing w:line="440" w:lineRule="exact"/>
        <w:jc w:val="left"/>
        <w:rPr>
          <w:rFonts w:hint="eastAsia" w:ascii="仿宋" w:hAnsi="仿宋" w:eastAsia="仿宋"/>
          <w:color w:val="auto"/>
          <w:sz w:val="24"/>
          <w:highlight w:val="none"/>
          <w:lang w:eastAsia="zh-CN"/>
        </w:rPr>
      </w:pPr>
      <w:r>
        <w:rPr>
          <w:rFonts w:hint="eastAsia"/>
          <w:color w:val="auto"/>
          <w:sz w:val="24"/>
          <w:highlight w:val="none"/>
        </w:rPr>
        <w:t>一、</w:t>
      </w:r>
      <w:r>
        <w:rPr>
          <w:rFonts w:hint="eastAsia"/>
          <w:color w:val="auto"/>
          <w:sz w:val="24"/>
          <w:highlight w:val="none"/>
          <w:lang w:eastAsia="zh-CN"/>
        </w:rPr>
        <w:t>部门职责</w:t>
      </w:r>
      <w:r>
        <w:rPr>
          <w:rFonts w:hint="eastAsia" w:ascii="仿宋" w:hAnsi="仿宋" w:eastAsia="仿宋"/>
          <w:kern w:val="2"/>
          <w:sz w:val="24"/>
          <w:szCs w:val="24"/>
          <w:lang w:val="zh-CN"/>
        </w:rPr>
        <w:t>…………………………………………………………………</w:t>
      </w:r>
      <w:r>
        <w:rPr>
          <w:rFonts w:hint="eastAsia" w:ascii="仿宋" w:hAnsi="仿宋" w:eastAsia="仿宋"/>
          <w:kern w:val="2"/>
          <w:sz w:val="24"/>
          <w:szCs w:val="24"/>
          <w:lang w:val="en-US" w:eastAsia="zh-CN"/>
        </w:rPr>
        <w:t>4</w:t>
      </w:r>
    </w:p>
    <w:p>
      <w:pPr>
        <w:pStyle w:val="13"/>
        <w:adjustRightInd w:val="0"/>
        <w:snapToGrid w:val="0"/>
        <w:spacing w:line="440" w:lineRule="exact"/>
        <w:jc w:val="left"/>
        <w:rPr>
          <w:rFonts w:hint="eastAsia" w:ascii="仿宋" w:hAnsi="仿宋" w:eastAsia="仿宋" w:cstheme="minorBidi"/>
          <w:color w:val="auto"/>
          <w:sz w:val="24"/>
          <w:highlight w:val="none"/>
          <w:lang w:eastAsia="zh-CN"/>
        </w:rPr>
      </w:pPr>
      <w:r>
        <w:rPr>
          <w:rFonts w:hint="eastAsia"/>
          <w:color w:val="auto"/>
          <w:sz w:val="24"/>
          <w:highlight w:val="none"/>
        </w:rPr>
        <w:t>二、机构设置</w:t>
      </w:r>
      <w:r>
        <w:rPr>
          <w:rFonts w:hint="eastAsia" w:ascii="仿宋" w:hAnsi="仿宋" w:eastAsia="仿宋"/>
          <w:kern w:val="2"/>
          <w:sz w:val="24"/>
          <w:szCs w:val="24"/>
          <w:lang w:val="zh-CN"/>
        </w:rPr>
        <w:t>…………………………………………………………………</w:t>
      </w:r>
      <w:r>
        <w:rPr>
          <w:rFonts w:hint="eastAsia" w:ascii="仿宋" w:hAnsi="仿宋" w:eastAsia="仿宋"/>
          <w:kern w:val="2"/>
          <w:sz w:val="24"/>
          <w:szCs w:val="24"/>
          <w:lang w:val="en-US" w:eastAsia="zh-CN"/>
        </w:rPr>
        <w:t>5</w:t>
      </w:r>
    </w:p>
    <w:p>
      <w:pPr>
        <w:pStyle w:val="12"/>
        <w:adjustRightInd w:val="0"/>
        <w:snapToGrid w:val="0"/>
        <w:spacing w:before="0" w:line="440" w:lineRule="exact"/>
        <w:jc w:val="left"/>
        <w:rPr>
          <w:rFonts w:hint="eastAsia"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rPr>
        <w:t>部门决算情况说明</w:t>
      </w:r>
      <w:r>
        <w:rPr>
          <w:rFonts w:hint="eastAsia" w:ascii="仿宋" w:hAnsi="仿宋" w:eastAsia="仿宋"/>
          <w:kern w:val="2"/>
          <w:sz w:val="24"/>
          <w:szCs w:val="24"/>
          <w:lang w:val="zh-CN"/>
        </w:rPr>
        <w:t>…………………………………………</w:t>
      </w:r>
      <w:r>
        <w:rPr>
          <w:rFonts w:hint="eastAsia"/>
          <w:kern w:val="2"/>
          <w:sz w:val="24"/>
          <w:szCs w:val="24"/>
          <w:lang w:val="en-US" w:eastAsia="zh-CN"/>
        </w:rPr>
        <w:t>6</w:t>
      </w:r>
    </w:p>
    <w:p>
      <w:pPr>
        <w:pStyle w:val="13"/>
        <w:adjustRightInd w:val="0"/>
        <w:snapToGrid w:val="0"/>
        <w:spacing w:line="440" w:lineRule="exact"/>
        <w:jc w:val="left"/>
        <w:rPr>
          <w:rFonts w:hint="eastAsia" w:ascii="仿宋" w:hAnsi="仿宋" w:eastAsia="仿宋" w:cstheme="minorBidi"/>
          <w:color w:val="auto"/>
          <w:sz w:val="24"/>
          <w:highlight w:val="none"/>
          <w:lang w:val="en-US" w:eastAsia="zh-CN"/>
        </w:rPr>
      </w:pPr>
      <w:r>
        <w:rPr>
          <w:rFonts w:hint="eastAsia"/>
          <w:color w:val="auto"/>
          <w:sz w:val="24"/>
          <w:highlight w:val="none"/>
        </w:rPr>
        <w:t>一、收入支出决算总体情况说明</w:t>
      </w:r>
      <w:r>
        <w:rPr>
          <w:rFonts w:hint="eastAsia" w:ascii="仿宋" w:hAnsi="仿宋" w:eastAsia="仿宋"/>
          <w:kern w:val="2"/>
          <w:sz w:val="24"/>
          <w:szCs w:val="24"/>
          <w:lang w:val="zh-CN"/>
        </w:rPr>
        <w:t>……………………………………………</w:t>
      </w:r>
      <w:r>
        <w:rPr>
          <w:rFonts w:hint="eastAsia" w:ascii="仿宋" w:hAnsi="仿宋" w:eastAsia="仿宋"/>
          <w:kern w:val="2"/>
          <w:sz w:val="24"/>
          <w:szCs w:val="24"/>
          <w:lang w:val="en-US" w:eastAsia="zh-CN"/>
        </w:rPr>
        <w:t>6</w:t>
      </w:r>
    </w:p>
    <w:p>
      <w:pPr>
        <w:pStyle w:val="13"/>
        <w:adjustRightInd w:val="0"/>
        <w:snapToGrid w:val="0"/>
        <w:spacing w:line="440" w:lineRule="exact"/>
        <w:jc w:val="left"/>
        <w:rPr>
          <w:rFonts w:hint="eastAsia" w:ascii="仿宋" w:hAnsi="仿宋" w:eastAsia="仿宋" w:cstheme="minorBidi"/>
          <w:color w:val="auto"/>
          <w:sz w:val="24"/>
          <w:highlight w:val="none"/>
          <w:lang w:val="en-US" w:eastAsia="zh-CN"/>
        </w:rPr>
      </w:pPr>
      <w:r>
        <w:rPr>
          <w:rFonts w:hint="eastAsia"/>
          <w:color w:val="auto"/>
          <w:sz w:val="24"/>
          <w:highlight w:val="none"/>
        </w:rPr>
        <w:t>二、收入决算情况说明</w:t>
      </w:r>
      <w:r>
        <w:rPr>
          <w:rFonts w:hint="eastAsia" w:ascii="仿宋" w:hAnsi="仿宋" w:eastAsia="仿宋"/>
          <w:kern w:val="2"/>
          <w:sz w:val="24"/>
          <w:szCs w:val="24"/>
          <w:lang w:val="zh-CN"/>
        </w:rPr>
        <w:t>………………………………………………………</w:t>
      </w:r>
      <w:r>
        <w:rPr>
          <w:rFonts w:hint="eastAsia" w:ascii="仿宋" w:hAnsi="仿宋" w:eastAsia="仿宋"/>
          <w:kern w:val="2"/>
          <w:sz w:val="24"/>
          <w:szCs w:val="24"/>
          <w:lang w:val="en-US" w:eastAsia="zh-CN"/>
        </w:rPr>
        <w:t>6</w:t>
      </w:r>
    </w:p>
    <w:p>
      <w:pPr>
        <w:pStyle w:val="13"/>
        <w:adjustRightInd w:val="0"/>
        <w:snapToGrid w:val="0"/>
        <w:spacing w:line="440" w:lineRule="exact"/>
        <w:jc w:val="left"/>
        <w:rPr>
          <w:rFonts w:hint="eastAsia" w:ascii="仿宋" w:hAnsi="仿宋" w:eastAsia="仿宋" w:cstheme="minorBidi"/>
          <w:color w:val="auto"/>
          <w:sz w:val="24"/>
          <w:highlight w:val="none"/>
          <w:lang w:val="en-US" w:eastAsia="zh-CN"/>
        </w:rPr>
      </w:pPr>
      <w:r>
        <w:rPr>
          <w:rFonts w:hint="eastAsia"/>
          <w:color w:val="auto"/>
          <w:sz w:val="24"/>
          <w:highlight w:val="none"/>
        </w:rPr>
        <w:t>三、支出决算情况说明</w:t>
      </w:r>
      <w:r>
        <w:rPr>
          <w:rFonts w:hint="eastAsia" w:ascii="仿宋" w:hAnsi="仿宋" w:eastAsia="仿宋"/>
          <w:kern w:val="2"/>
          <w:sz w:val="24"/>
          <w:szCs w:val="24"/>
          <w:lang w:val="zh-CN"/>
        </w:rPr>
        <w:t>………………………………………………………</w:t>
      </w:r>
      <w:r>
        <w:rPr>
          <w:rFonts w:hint="eastAsia" w:ascii="仿宋" w:hAnsi="仿宋" w:eastAsia="仿宋"/>
          <w:kern w:val="2"/>
          <w:sz w:val="24"/>
          <w:szCs w:val="24"/>
          <w:lang w:val="en-US" w:eastAsia="zh-CN"/>
        </w:rPr>
        <w:t>7</w:t>
      </w:r>
    </w:p>
    <w:p>
      <w:pPr>
        <w:pStyle w:val="13"/>
        <w:adjustRightInd w:val="0"/>
        <w:snapToGrid w:val="0"/>
        <w:spacing w:line="440" w:lineRule="exact"/>
        <w:jc w:val="left"/>
        <w:rPr>
          <w:rFonts w:hint="eastAsia" w:ascii="仿宋" w:hAnsi="仿宋" w:eastAsia="仿宋" w:cstheme="minorBidi"/>
          <w:color w:val="auto"/>
          <w:sz w:val="24"/>
          <w:highlight w:val="none"/>
          <w:lang w:val="en-US" w:eastAsia="zh-CN"/>
        </w:rPr>
      </w:pPr>
      <w:r>
        <w:rPr>
          <w:rFonts w:hint="eastAsia"/>
          <w:color w:val="auto"/>
          <w:sz w:val="24"/>
          <w:highlight w:val="none"/>
        </w:rPr>
        <w:t>四、财政拨款收入支出决算总体情况说明</w:t>
      </w:r>
      <w:r>
        <w:rPr>
          <w:rFonts w:hint="eastAsia" w:ascii="仿宋" w:hAnsi="仿宋" w:eastAsia="仿宋"/>
          <w:kern w:val="2"/>
          <w:sz w:val="24"/>
          <w:szCs w:val="24"/>
          <w:lang w:val="zh-CN"/>
        </w:rPr>
        <w:t>…………………………………</w:t>
      </w:r>
      <w:r>
        <w:rPr>
          <w:rFonts w:hint="eastAsia" w:ascii="仿宋" w:hAnsi="仿宋" w:eastAsia="仿宋"/>
          <w:kern w:val="2"/>
          <w:sz w:val="24"/>
          <w:szCs w:val="24"/>
          <w:lang w:val="en-US" w:eastAsia="zh-CN"/>
        </w:rPr>
        <w:t>8</w:t>
      </w:r>
    </w:p>
    <w:p>
      <w:pPr>
        <w:pStyle w:val="13"/>
        <w:adjustRightInd w:val="0"/>
        <w:snapToGrid w:val="0"/>
        <w:spacing w:line="440" w:lineRule="exact"/>
        <w:jc w:val="left"/>
        <w:rPr>
          <w:rFonts w:hint="eastAsia" w:ascii="仿宋" w:hAnsi="仿宋" w:eastAsia="仿宋"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ascii="仿宋" w:hAnsi="仿宋" w:eastAsia="仿宋"/>
          <w:kern w:val="2"/>
          <w:sz w:val="24"/>
          <w:szCs w:val="24"/>
          <w:lang w:val="zh-CN"/>
        </w:rPr>
        <w:t>……………………………</w:t>
      </w:r>
      <w:r>
        <w:rPr>
          <w:rFonts w:hint="eastAsia" w:ascii="仿宋" w:hAnsi="仿宋" w:eastAsia="仿宋"/>
          <w:kern w:val="2"/>
          <w:sz w:val="24"/>
          <w:szCs w:val="24"/>
          <w:lang w:val="en-US" w:eastAsia="zh-CN"/>
        </w:rPr>
        <w:t>8</w:t>
      </w:r>
    </w:p>
    <w:p>
      <w:pPr>
        <w:pStyle w:val="13"/>
        <w:adjustRightInd w:val="0"/>
        <w:snapToGrid w:val="0"/>
        <w:spacing w:line="440" w:lineRule="exact"/>
        <w:jc w:val="left"/>
        <w:rPr>
          <w:rFonts w:hint="default" w:ascii="仿宋" w:hAnsi="仿宋" w:eastAsia="仿宋"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ascii="仿宋" w:hAnsi="仿宋" w:eastAsia="仿宋"/>
          <w:kern w:val="2"/>
          <w:sz w:val="24"/>
          <w:szCs w:val="24"/>
          <w:lang w:val="zh-CN"/>
        </w:rPr>
        <w:t>………………………</w:t>
      </w:r>
      <w:r>
        <w:rPr>
          <w:rFonts w:hint="eastAsia" w:ascii="仿宋" w:hAnsi="仿宋" w:eastAsia="仿宋"/>
          <w:kern w:val="2"/>
          <w:sz w:val="24"/>
          <w:szCs w:val="24"/>
          <w:lang w:val="en-US" w:eastAsia="zh-CN"/>
        </w:rPr>
        <w:t>11</w:t>
      </w:r>
    </w:p>
    <w:p>
      <w:pPr>
        <w:pStyle w:val="13"/>
        <w:adjustRightInd w:val="0"/>
        <w:snapToGrid w:val="0"/>
        <w:spacing w:line="440" w:lineRule="exact"/>
        <w:jc w:val="left"/>
        <w:rPr>
          <w:rFonts w:hint="default" w:ascii="仿宋" w:hAnsi="仿宋" w:eastAsia="仿宋"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ascii="仿宋" w:hAnsi="仿宋" w:eastAsia="仿宋"/>
          <w:kern w:val="2"/>
          <w:sz w:val="24"/>
          <w:szCs w:val="24"/>
          <w:lang w:val="zh-CN"/>
        </w:rPr>
        <w:t>……………………………</w:t>
      </w:r>
      <w:r>
        <w:rPr>
          <w:rFonts w:hint="eastAsia" w:ascii="仿宋" w:hAnsi="仿宋" w:eastAsia="仿宋"/>
          <w:kern w:val="2"/>
          <w:sz w:val="24"/>
          <w:szCs w:val="24"/>
          <w:lang w:val="en-US" w:eastAsia="zh-CN"/>
        </w:rPr>
        <w:t>11</w:t>
      </w:r>
    </w:p>
    <w:p>
      <w:pPr>
        <w:pStyle w:val="13"/>
        <w:adjustRightInd w:val="0"/>
        <w:snapToGrid w:val="0"/>
        <w:spacing w:line="440" w:lineRule="exact"/>
        <w:jc w:val="left"/>
        <w:rPr>
          <w:rFonts w:hint="default" w:ascii="仿宋" w:hAnsi="仿宋" w:eastAsia="仿宋" w:cstheme="minorBidi"/>
          <w:color w:val="auto"/>
          <w:sz w:val="24"/>
          <w:highlight w:val="none"/>
          <w:lang w:val="en-US" w:eastAsia="zh-CN"/>
        </w:rPr>
      </w:pPr>
      <w:r>
        <w:rPr>
          <w:rFonts w:hint="eastAsia"/>
          <w:color w:val="auto"/>
          <w:sz w:val="24"/>
          <w:highlight w:val="none"/>
        </w:rPr>
        <w:t>八、政府性基金预算支出决算情况说明</w:t>
      </w:r>
      <w:r>
        <w:rPr>
          <w:rFonts w:hint="eastAsia" w:ascii="仿宋" w:hAnsi="仿宋" w:eastAsia="仿宋"/>
          <w:kern w:val="2"/>
          <w:sz w:val="24"/>
          <w:szCs w:val="24"/>
          <w:lang w:val="zh-CN"/>
        </w:rPr>
        <w:t>……………………………………</w:t>
      </w:r>
      <w:r>
        <w:rPr>
          <w:rFonts w:hint="eastAsia" w:ascii="仿宋" w:hAnsi="仿宋" w:eastAsia="仿宋"/>
          <w:kern w:val="2"/>
          <w:sz w:val="24"/>
          <w:szCs w:val="24"/>
          <w:lang w:val="en-US" w:eastAsia="zh-CN"/>
        </w:rPr>
        <w:t>13</w:t>
      </w:r>
    </w:p>
    <w:p>
      <w:pPr>
        <w:pStyle w:val="13"/>
        <w:adjustRightInd w:val="0"/>
        <w:snapToGrid w:val="0"/>
        <w:spacing w:line="440" w:lineRule="exact"/>
        <w:ind w:leftChars="0"/>
        <w:jc w:val="left"/>
        <w:rPr>
          <w:rFonts w:hint="default" w:eastAsia="仿宋" w:asciiTheme="minorEastAsia" w:hAnsi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r>
        <w:rPr>
          <w:rFonts w:hint="eastAsia" w:ascii="仿宋" w:hAnsi="仿宋" w:eastAsia="仿宋"/>
          <w:kern w:val="2"/>
          <w:sz w:val="24"/>
          <w:szCs w:val="24"/>
          <w:lang w:val="zh-CN"/>
        </w:rPr>
        <w:t>…………………………………</w:t>
      </w:r>
      <w:r>
        <w:rPr>
          <w:rFonts w:hint="eastAsia" w:ascii="仿宋" w:hAnsi="仿宋" w:eastAsia="仿宋"/>
          <w:kern w:val="2"/>
          <w:sz w:val="24"/>
          <w:szCs w:val="24"/>
          <w:lang w:val="en-US" w:eastAsia="zh-CN"/>
        </w:rPr>
        <w:t>13</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eastAsia" w:asciiTheme="minorEastAsia" w:hAnsiTheme="minorEastAsia" w:eastAsiaTheme="minorEastAsia" w:cstheme="minorEastAsia"/>
          <w:color w:val="auto"/>
          <w:sz w:val="24"/>
          <w:highlight w:val="none"/>
        </w:rPr>
      </w:pPr>
      <w:r>
        <w:rPr>
          <w:rStyle w:val="19"/>
          <w:rFonts w:hint="eastAsia" w:asciiTheme="minorEastAsia" w:hAnsiTheme="minorEastAsia" w:eastAsiaTheme="minorEastAsia" w:cstheme="minorEastAsia"/>
          <w:color w:val="auto"/>
          <w:sz w:val="24"/>
          <w:highlight w:val="none"/>
          <w:u w:val="none"/>
          <w:lang w:eastAsia="zh-CN"/>
        </w:rPr>
        <w:t>十</w:t>
      </w:r>
      <w:r>
        <w:rPr>
          <w:rStyle w:val="19"/>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rPr>
        <w:t>其他重要事项的情况说明</w:t>
      </w:r>
      <w:r>
        <w:rPr>
          <w:rFonts w:hint="eastAsia" w:ascii="仿宋" w:hAnsi="仿宋" w:eastAsia="仿宋"/>
          <w:kern w:val="2"/>
          <w:sz w:val="24"/>
          <w:szCs w:val="24"/>
          <w:lang w:val="zh-CN"/>
        </w:rPr>
        <w:t>………………………………………………</w:t>
      </w:r>
      <w:r>
        <w:rPr>
          <w:rFonts w:hint="eastAsia" w:ascii="仿宋" w:hAnsi="仿宋" w:eastAsia="仿宋"/>
          <w:kern w:val="2"/>
          <w:sz w:val="24"/>
          <w:szCs w:val="24"/>
          <w:lang w:val="en-US" w:eastAsia="zh-CN"/>
        </w:rPr>
        <w:t>13</w:t>
      </w:r>
    </w:p>
    <w:p>
      <w:pPr>
        <w:pStyle w:val="12"/>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ascii="仿宋" w:hAnsi="仿宋" w:eastAsia="仿宋"/>
          <w:kern w:val="2"/>
          <w:sz w:val="24"/>
          <w:szCs w:val="24"/>
          <w:lang w:val="zh-CN"/>
        </w:rPr>
        <w:t>………………………………………………………………</w:t>
      </w:r>
      <w:r>
        <w:rPr>
          <w:rFonts w:hint="eastAsia"/>
          <w:kern w:val="2"/>
          <w:sz w:val="24"/>
          <w:szCs w:val="24"/>
          <w:lang w:val="en-US" w:eastAsia="zh-CN"/>
        </w:rPr>
        <w:t>15</w:t>
      </w:r>
    </w:p>
    <w:p>
      <w:pPr>
        <w:pStyle w:val="12"/>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ascii="仿宋" w:hAnsi="仿宋" w:eastAsia="仿宋"/>
          <w:kern w:val="2"/>
          <w:sz w:val="24"/>
          <w:szCs w:val="24"/>
          <w:lang w:val="zh-CN"/>
        </w:rPr>
        <w:t>……………………………………………………………………</w:t>
      </w:r>
      <w:r>
        <w:rPr>
          <w:rFonts w:hint="eastAsia"/>
          <w:kern w:val="2"/>
          <w:sz w:val="24"/>
          <w:szCs w:val="24"/>
          <w:lang w:val="en-US" w:eastAsia="zh-CN"/>
        </w:rPr>
        <w:t>18</w:t>
      </w:r>
    </w:p>
    <w:p>
      <w:pPr>
        <w:pStyle w:val="12"/>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ascii="仿宋" w:hAnsi="仿宋" w:eastAsia="仿宋"/>
          <w:kern w:val="2"/>
          <w:sz w:val="24"/>
          <w:szCs w:val="24"/>
          <w:lang w:val="zh-CN"/>
        </w:rPr>
        <w:t>……………………………………………………………………</w:t>
      </w:r>
      <w:r>
        <w:rPr>
          <w:rFonts w:hint="eastAsia"/>
          <w:kern w:val="2"/>
          <w:sz w:val="24"/>
          <w:szCs w:val="24"/>
          <w:lang w:val="en-US" w:eastAsia="zh-CN"/>
        </w:rPr>
        <w:t>32</w:t>
      </w:r>
    </w:p>
    <w:p>
      <w:pPr>
        <w:pStyle w:val="13"/>
        <w:adjustRightInd w:val="0"/>
        <w:snapToGrid w:val="0"/>
        <w:spacing w:line="440" w:lineRule="exact"/>
        <w:jc w:val="left"/>
        <w:rPr>
          <w:rFonts w:hint="default" w:eastAsia="仿宋"/>
          <w:color w:val="auto"/>
          <w:sz w:val="24"/>
          <w:highlight w:val="none"/>
          <w:lang w:val="en-US" w:eastAsia="zh-CN"/>
        </w:rPr>
      </w:pPr>
      <w:r>
        <w:rPr>
          <w:rFonts w:hint="eastAsia"/>
          <w:color w:val="auto"/>
          <w:sz w:val="24"/>
          <w:highlight w:val="none"/>
        </w:rPr>
        <w:t>一、收入支出决算总表</w:t>
      </w:r>
      <w:r>
        <w:rPr>
          <w:rFonts w:hint="eastAsia" w:ascii="仿宋" w:hAnsi="仿宋" w:eastAsia="仿宋"/>
          <w:kern w:val="2"/>
          <w:sz w:val="24"/>
          <w:szCs w:val="24"/>
          <w:lang w:val="zh-CN"/>
        </w:rPr>
        <w:t>………………………………………………………</w:t>
      </w:r>
      <w:r>
        <w:rPr>
          <w:rFonts w:hint="eastAsia" w:ascii="仿宋" w:hAnsi="仿宋" w:eastAsia="仿宋"/>
          <w:kern w:val="2"/>
          <w:sz w:val="24"/>
          <w:szCs w:val="24"/>
          <w:lang w:val="en-US" w:eastAsia="zh-CN"/>
        </w:rPr>
        <w:t>32</w:t>
      </w:r>
    </w:p>
    <w:p>
      <w:pPr>
        <w:pStyle w:val="13"/>
        <w:adjustRightInd w:val="0"/>
        <w:snapToGrid w:val="0"/>
        <w:spacing w:line="440" w:lineRule="exact"/>
        <w:jc w:val="left"/>
        <w:rPr>
          <w:rFonts w:hint="default" w:eastAsia="仿宋"/>
          <w:color w:val="auto"/>
          <w:sz w:val="24"/>
          <w:highlight w:val="none"/>
          <w:lang w:val="en-US" w:eastAsia="zh-CN"/>
        </w:rPr>
      </w:pPr>
      <w:r>
        <w:rPr>
          <w:rFonts w:hint="eastAsia"/>
          <w:color w:val="auto"/>
          <w:sz w:val="24"/>
          <w:highlight w:val="none"/>
        </w:rPr>
        <w:t>二、收入决算表</w:t>
      </w:r>
      <w:r>
        <w:rPr>
          <w:rFonts w:hint="eastAsia" w:ascii="仿宋" w:hAnsi="仿宋" w:eastAsia="仿宋"/>
          <w:kern w:val="2"/>
          <w:sz w:val="24"/>
          <w:szCs w:val="24"/>
          <w:lang w:val="zh-CN"/>
        </w:rPr>
        <w:t>………………………………………………………………</w:t>
      </w:r>
      <w:r>
        <w:rPr>
          <w:rFonts w:hint="eastAsia" w:ascii="仿宋" w:hAnsi="仿宋" w:eastAsia="仿宋"/>
          <w:kern w:val="2"/>
          <w:sz w:val="24"/>
          <w:szCs w:val="24"/>
          <w:lang w:val="en-US" w:eastAsia="zh-CN"/>
        </w:rPr>
        <w:t>32</w:t>
      </w:r>
    </w:p>
    <w:p>
      <w:pPr>
        <w:pStyle w:val="13"/>
        <w:adjustRightInd w:val="0"/>
        <w:snapToGrid w:val="0"/>
        <w:spacing w:line="440" w:lineRule="exact"/>
        <w:jc w:val="left"/>
        <w:rPr>
          <w:rFonts w:hint="default" w:eastAsia="仿宋"/>
          <w:color w:val="auto"/>
          <w:sz w:val="24"/>
          <w:highlight w:val="none"/>
          <w:lang w:val="en-US" w:eastAsia="zh-CN"/>
        </w:rPr>
      </w:pPr>
      <w:r>
        <w:rPr>
          <w:rFonts w:hint="eastAsia"/>
          <w:color w:val="auto"/>
          <w:sz w:val="24"/>
          <w:highlight w:val="none"/>
        </w:rPr>
        <w:t>三、支出决算表</w:t>
      </w:r>
      <w:r>
        <w:rPr>
          <w:rFonts w:hint="eastAsia" w:ascii="仿宋" w:hAnsi="仿宋" w:eastAsia="仿宋"/>
          <w:kern w:val="2"/>
          <w:sz w:val="24"/>
          <w:szCs w:val="24"/>
          <w:lang w:val="zh-CN"/>
        </w:rPr>
        <w:t>………………………………………………………………</w:t>
      </w:r>
      <w:r>
        <w:rPr>
          <w:rFonts w:hint="eastAsia" w:ascii="仿宋" w:hAnsi="仿宋" w:eastAsia="仿宋"/>
          <w:kern w:val="2"/>
          <w:sz w:val="24"/>
          <w:szCs w:val="24"/>
          <w:lang w:val="en-US" w:eastAsia="zh-CN"/>
        </w:rPr>
        <w:t>32</w:t>
      </w:r>
    </w:p>
    <w:p>
      <w:pPr>
        <w:pStyle w:val="13"/>
        <w:adjustRightInd w:val="0"/>
        <w:snapToGrid w:val="0"/>
        <w:spacing w:line="440" w:lineRule="exact"/>
        <w:jc w:val="left"/>
        <w:rPr>
          <w:rFonts w:hint="default" w:eastAsia="仿宋"/>
          <w:color w:val="auto"/>
          <w:sz w:val="24"/>
          <w:highlight w:val="none"/>
          <w:lang w:val="en-US" w:eastAsia="zh-CN"/>
        </w:rPr>
      </w:pPr>
      <w:r>
        <w:rPr>
          <w:rFonts w:hint="eastAsia"/>
          <w:color w:val="auto"/>
          <w:sz w:val="24"/>
          <w:highlight w:val="none"/>
        </w:rPr>
        <w:t>四、财政拨款收入支出决算总表</w:t>
      </w:r>
      <w:r>
        <w:rPr>
          <w:rFonts w:hint="eastAsia" w:ascii="仿宋" w:hAnsi="仿宋" w:eastAsia="仿宋"/>
          <w:kern w:val="2"/>
          <w:sz w:val="24"/>
          <w:szCs w:val="24"/>
          <w:lang w:val="zh-CN"/>
        </w:rPr>
        <w:t>……………………………………………</w:t>
      </w:r>
      <w:r>
        <w:rPr>
          <w:rFonts w:hint="eastAsia" w:ascii="仿宋" w:hAnsi="仿宋" w:eastAsia="仿宋"/>
          <w:kern w:val="2"/>
          <w:sz w:val="24"/>
          <w:szCs w:val="24"/>
          <w:lang w:val="en-US" w:eastAsia="zh-CN"/>
        </w:rPr>
        <w:t>32</w:t>
      </w:r>
    </w:p>
    <w:p>
      <w:pPr>
        <w:pStyle w:val="13"/>
        <w:adjustRightInd w:val="0"/>
        <w:snapToGrid w:val="0"/>
        <w:spacing w:line="440" w:lineRule="exact"/>
        <w:jc w:val="left"/>
        <w:rPr>
          <w:rFonts w:hint="default" w:eastAsia="仿宋"/>
          <w:color w:val="auto"/>
          <w:sz w:val="24"/>
          <w:highlight w:val="none"/>
          <w:lang w:val="en-US" w:eastAsia="zh-CN"/>
        </w:rPr>
      </w:pPr>
      <w:r>
        <w:rPr>
          <w:rFonts w:hint="eastAsia"/>
          <w:color w:val="auto"/>
          <w:sz w:val="24"/>
          <w:highlight w:val="none"/>
        </w:rPr>
        <w:t>五、财政拨款支出决算明细表</w:t>
      </w:r>
      <w:r>
        <w:rPr>
          <w:rFonts w:hint="eastAsia" w:ascii="仿宋" w:hAnsi="仿宋" w:eastAsia="仿宋"/>
          <w:kern w:val="2"/>
          <w:sz w:val="24"/>
          <w:szCs w:val="24"/>
          <w:lang w:val="zh-CN"/>
        </w:rPr>
        <w:t>………………………………………………</w:t>
      </w:r>
      <w:r>
        <w:rPr>
          <w:rFonts w:hint="eastAsia" w:ascii="仿宋" w:hAnsi="仿宋" w:eastAsia="仿宋"/>
          <w:kern w:val="2"/>
          <w:sz w:val="24"/>
          <w:szCs w:val="24"/>
          <w:lang w:val="en-US" w:eastAsia="zh-CN"/>
        </w:rPr>
        <w:t>32</w:t>
      </w:r>
    </w:p>
    <w:p>
      <w:pPr>
        <w:pStyle w:val="13"/>
        <w:adjustRightInd w:val="0"/>
        <w:snapToGrid w:val="0"/>
        <w:spacing w:line="440" w:lineRule="exact"/>
        <w:jc w:val="left"/>
        <w:rPr>
          <w:rFonts w:hint="default" w:eastAsia="仿宋"/>
          <w:color w:val="auto"/>
          <w:sz w:val="24"/>
          <w:highlight w:val="none"/>
          <w:lang w:val="en-US" w:eastAsia="zh-CN"/>
        </w:rPr>
      </w:pPr>
      <w:r>
        <w:rPr>
          <w:rFonts w:hint="eastAsia"/>
          <w:color w:val="auto"/>
          <w:sz w:val="24"/>
          <w:highlight w:val="none"/>
        </w:rPr>
        <w:t>六、一般公共预算财政拨款支出决算表</w:t>
      </w:r>
      <w:r>
        <w:rPr>
          <w:rFonts w:hint="eastAsia" w:ascii="仿宋" w:hAnsi="仿宋" w:eastAsia="仿宋"/>
          <w:kern w:val="2"/>
          <w:sz w:val="24"/>
          <w:szCs w:val="24"/>
          <w:lang w:val="zh-CN"/>
        </w:rPr>
        <w:t>……………………………………</w:t>
      </w:r>
      <w:r>
        <w:rPr>
          <w:rFonts w:hint="eastAsia" w:ascii="仿宋" w:hAnsi="仿宋" w:eastAsia="仿宋"/>
          <w:kern w:val="2"/>
          <w:sz w:val="24"/>
          <w:szCs w:val="24"/>
          <w:lang w:val="en-US" w:eastAsia="zh-CN"/>
        </w:rPr>
        <w:t>32</w:t>
      </w:r>
    </w:p>
    <w:p>
      <w:pPr>
        <w:pStyle w:val="13"/>
        <w:adjustRightInd w:val="0"/>
        <w:snapToGrid w:val="0"/>
        <w:spacing w:line="440" w:lineRule="exact"/>
        <w:jc w:val="left"/>
        <w:rPr>
          <w:rFonts w:hint="default" w:eastAsia="仿宋"/>
          <w:color w:val="auto"/>
          <w:sz w:val="24"/>
          <w:highlight w:val="none"/>
          <w:lang w:val="en-US" w:eastAsia="zh-CN"/>
        </w:rPr>
      </w:pPr>
      <w:r>
        <w:rPr>
          <w:rFonts w:hint="eastAsia"/>
          <w:color w:val="auto"/>
          <w:sz w:val="24"/>
          <w:highlight w:val="none"/>
        </w:rPr>
        <w:t>七、一般公共预算财政拨款支出决算明细表</w:t>
      </w:r>
      <w:r>
        <w:rPr>
          <w:rFonts w:hint="eastAsia" w:ascii="仿宋" w:hAnsi="仿宋" w:eastAsia="仿宋"/>
          <w:kern w:val="2"/>
          <w:sz w:val="24"/>
          <w:szCs w:val="24"/>
          <w:lang w:val="zh-CN"/>
        </w:rPr>
        <w:t>………………………………</w:t>
      </w:r>
      <w:r>
        <w:rPr>
          <w:rFonts w:hint="eastAsia" w:ascii="仿宋" w:hAnsi="仿宋" w:eastAsia="仿宋"/>
          <w:kern w:val="2"/>
          <w:sz w:val="24"/>
          <w:szCs w:val="24"/>
          <w:lang w:val="en-US" w:eastAsia="zh-CN"/>
        </w:rPr>
        <w:t>32</w:t>
      </w:r>
    </w:p>
    <w:p>
      <w:pPr>
        <w:pStyle w:val="13"/>
        <w:adjustRightInd w:val="0"/>
        <w:snapToGrid w:val="0"/>
        <w:spacing w:line="440" w:lineRule="exact"/>
        <w:jc w:val="left"/>
        <w:rPr>
          <w:rFonts w:hint="default" w:eastAsia="仿宋"/>
          <w:color w:val="auto"/>
          <w:sz w:val="24"/>
          <w:highlight w:val="none"/>
          <w:lang w:val="en-US" w:eastAsia="zh-CN"/>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rFonts w:hint="eastAsia" w:ascii="仿宋" w:hAnsi="仿宋" w:eastAsia="仿宋"/>
          <w:kern w:val="2"/>
          <w:sz w:val="24"/>
          <w:szCs w:val="24"/>
          <w:lang w:val="zh-CN"/>
        </w:rPr>
        <w:t>…………………………</w:t>
      </w:r>
      <w:r>
        <w:rPr>
          <w:rFonts w:hint="eastAsia" w:ascii="仿宋" w:hAnsi="仿宋" w:eastAsia="仿宋"/>
          <w:kern w:val="2"/>
          <w:sz w:val="24"/>
          <w:szCs w:val="24"/>
          <w:lang w:val="en-US" w:eastAsia="zh-CN"/>
        </w:rPr>
        <w:t>32</w:t>
      </w:r>
    </w:p>
    <w:p>
      <w:pPr>
        <w:pStyle w:val="13"/>
        <w:adjustRightInd w:val="0"/>
        <w:snapToGrid w:val="0"/>
        <w:spacing w:line="440" w:lineRule="exact"/>
        <w:jc w:val="left"/>
        <w:rPr>
          <w:rFonts w:hint="default" w:eastAsia="仿宋"/>
          <w:color w:val="auto"/>
          <w:sz w:val="24"/>
          <w:highlight w:val="none"/>
          <w:lang w:val="en-US" w:eastAsia="zh-CN"/>
        </w:rPr>
      </w:pPr>
      <w:r>
        <w:rPr>
          <w:rFonts w:hint="eastAsia"/>
          <w:color w:val="auto"/>
          <w:sz w:val="24"/>
          <w:highlight w:val="none"/>
        </w:rPr>
        <w:t>九、一般公共预算财政拨款项目支出决算表</w:t>
      </w:r>
      <w:r>
        <w:rPr>
          <w:rFonts w:hint="eastAsia" w:ascii="仿宋" w:hAnsi="仿宋" w:eastAsia="仿宋"/>
          <w:kern w:val="2"/>
          <w:sz w:val="24"/>
          <w:szCs w:val="24"/>
          <w:lang w:val="zh-CN"/>
        </w:rPr>
        <w:t>………………………………</w:t>
      </w:r>
      <w:r>
        <w:rPr>
          <w:rFonts w:hint="eastAsia" w:ascii="仿宋" w:hAnsi="仿宋" w:eastAsia="仿宋"/>
          <w:kern w:val="2"/>
          <w:sz w:val="24"/>
          <w:szCs w:val="24"/>
          <w:lang w:val="en-US" w:eastAsia="zh-CN"/>
        </w:rPr>
        <w:t>32</w:t>
      </w:r>
    </w:p>
    <w:p>
      <w:pPr>
        <w:pStyle w:val="13"/>
        <w:adjustRightInd w:val="0"/>
        <w:snapToGrid w:val="0"/>
        <w:spacing w:line="440" w:lineRule="exact"/>
        <w:jc w:val="left"/>
        <w:rPr>
          <w:rFonts w:hint="default" w:eastAsia="仿宋"/>
          <w:color w:val="auto"/>
          <w:sz w:val="24"/>
          <w:highlight w:val="none"/>
          <w:lang w:val="en-US" w:eastAsia="zh-CN"/>
        </w:rPr>
      </w:pPr>
      <w:r>
        <w:rPr>
          <w:rFonts w:hint="eastAsia"/>
          <w:color w:val="auto"/>
          <w:sz w:val="24"/>
          <w:highlight w:val="none"/>
        </w:rPr>
        <w:t>十、政府性基金预算财政拨款收入支出决算表</w:t>
      </w:r>
      <w:r>
        <w:rPr>
          <w:rFonts w:hint="eastAsia" w:ascii="仿宋" w:hAnsi="仿宋" w:eastAsia="仿宋"/>
          <w:kern w:val="2"/>
          <w:sz w:val="24"/>
          <w:szCs w:val="24"/>
          <w:lang w:val="zh-CN"/>
        </w:rPr>
        <w:t>……………………………</w:t>
      </w:r>
      <w:r>
        <w:rPr>
          <w:rFonts w:hint="eastAsia" w:ascii="仿宋" w:hAnsi="仿宋" w:eastAsia="仿宋"/>
          <w:kern w:val="2"/>
          <w:sz w:val="24"/>
          <w:szCs w:val="24"/>
          <w:lang w:val="en-US" w:eastAsia="zh-CN"/>
        </w:rPr>
        <w:t>32</w:t>
      </w:r>
    </w:p>
    <w:p>
      <w:pPr>
        <w:pStyle w:val="13"/>
        <w:adjustRightInd w:val="0"/>
        <w:snapToGrid w:val="0"/>
        <w:spacing w:line="440" w:lineRule="exact"/>
        <w:jc w:val="left"/>
        <w:rPr>
          <w:rFonts w:hint="default" w:eastAsia="仿宋"/>
          <w:color w:val="auto"/>
          <w:sz w:val="24"/>
          <w:highlight w:val="none"/>
          <w:lang w:val="en-US" w:eastAsia="zh-CN"/>
        </w:rPr>
      </w:pPr>
      <w:r>
        <w:rPr>
          <w:rFonts w:hint="eastAsia"/>
          <w:color w:val="auto"/>
          <w:sz w:val="24"/>
          <w:highlight w:val="none"/>
        </w:rPr>
        <w:t>十一、国有资本经营预算财政拨款收入支出决算表</w:t>
      </w:r>
      <w:r>
        <w:rPr>
          <w:rFonts w:hint="eastAsia" w:ascii="仿宋" w:hAnsi="仿宋" w:eastAsia="仿宋"/>
          <w:kern w:val="2"/>
          <w:sz w:val="24"/>
          <w:szCs w:val="24"/>
          <w:lang w:val="zh-CN"/>
        </w:rPr>
        <w:t>………………………</w:t>
      </w:r>
      <w:r>
        <w:rPr>
          <w:rFonts w:hint="eastAsia" w:ascii="仿宋" w:hAnsi="仿宋" w:eastAsia="仿宋"/>
          <w:kern w:val="2"/>
          <w:sz w:val="24"/>
          <w:szCs w:val="24"/>
          <w:lang w:val="en-US" w:eastAsia="zh-CN"/>
        </w:rPr>
        <w:t>32</w:t>
      </w:r>
    </w:p>
    <w:p>
      <w:pPr>
        <w:pStyle w:val="13"/>
        <w:adjustRightInd w:val="0"/>
        <w:snapToGrid w:val="0"/>
        <w:spacing w:line="440" w:lineRule="exact"/>
        <w:jc w:val="left"/>
        <w:rPr>
          <w:rFonts w:hint="default" w:eastAsia="仿宋"/>
          <w:color w:val="auto"/>
          <w:sz w:val="24"/>
          <w:highlight w:val="none"/>
          <w:lang w:val="en-US" w:eastAsia="zh-CN"/>
        </w:rPr>
      </w:pPr>
      <w:r>
        <w:rPr>
          <w:rFonts w:hint="eastAsia"/>
          <w:color w:val="auto"/>
          <w:sz w:val="24"/>
          <w:highlight w:val="none"/>
        </w:rPr>
        <w:t>十二、</w:t>
      </w:r>
      <w:r>
        <w:rPr>
          <w:rFonts w:hint="eastAsia"/>
          <w:color w:val="auto"/>
          <w:sz w:val="24"/>
          <w:highlight w:val="none"/>
          <w:lang w:val="en-US" w:eastAsia="zh-CN"/>
        </w:rPr>
        <w:t>国有资本经营预算财政拨款支出决算表</w:t>
      </w:r>
      <w:r>
        <w:rPr>
          <w:rFonts w:hint="eastAsia" w:ascii="仿宋" w:hAnsi="仿宋" w:eastAsia="仿宋"/>
          <w:kern w:val="2"/>
          <w:sz w:val="24"/>
          <w:szCs w:val="24"/>
          <w:lang w:val="zh-CN"/>
        </w:rPr>
        <w:t>……………………………</w:t>
      </w:r>
      <w:r>
        <w:rPr>
          <w:rFonts w:hint="eastAsia" w:ascii="仿宋" w:hAnsi="仿宋" w:eastAsia="仿宋"/>
          <w:kern w:val="2"/>
          <w:sz w:val="24"/>
          <w:szCs w:val="24"/>
          <w:lang w:val="en-US" w:eastAsia="zh-CN"/>
        </w:rPr>
        <w:t>32</w:t>
      </w:r>
    </w:p>
    <w:p>
      <w:pPr>
        <w:pStyle w:val="13"/>
        <w:adjustRightInd w:val="0"/>
        <w:snapToGrid w:val="0"/>
        <w:spacing w:line="440" w:lineRule="exact"/>
        <w:jc w:val="left"/>
        <w:rPr>
          <w:rFonts w:hint="default" w:eastAsia="仿宋" w:asciiTheme="minorEastAsia" w:hAnsiTheme="minorEastAsia" w:cstheme="minorEastAsia"/>
          <w:color w:val="auto"/>
          <w:sz w:val="24"/>
          <w:highlight w:val="none"/>
          <w:lang w:val="en-US" w:eastAsia="zh-CN"/>
        </w:rPr>
      </w:pPr>
      <w:r>
        <w:rPr>
          <w:rFonts w:hint="eastAsia"/>
          <w:color w:val="auto"/>
          <w:sz w:val="24"/>
          <w:highlight w:val="none"/>
        </w:rPr>
        <w:t>十三、财政拨款“三公”经费支出决算表</w:t>
      </w:r>
      <w:r>
        <w:rPr>
          <w:rFonts w:hint="eastAsia" w:ascii="仿宋" w:hAnsi="仿宋" w:eastAsia="仿宋"/>
          <w:kern w:val="2"/>
          <w:sz w:val="24"/>
          <w:szCs w:val="24"/>
          <w:lang w:val="zh-CN"/>
        </w:rPr>
        <w:t>…………………………………</w:t>
      </w:r>
      <w:r>
        <w:rPr>
          <w:rFonts w:hint="eastAsia" w:ascii="仿宋" w:hAnsi="仿宋" w:eastAsia="仿宋"/>
          <w:kern w:val="2"/>
          <w:sz w:val="24"/>
          <w:szCs w:val="24"/>
          <w:lang w:val="en-US" w:eastAsia="zh-CN"/>
        </w:rPr>
        <w:t>32</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4"/>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Style w:val="32"/>
          <w:rFonts w:hint="eastAsia" w:ascii="黑体" w:hAnsi="黑体" w:eastAsia="黑体"/>
          <w:b w:val="0"/>
          <w:bCs w:val="0"/>
          <w:color w:val="auto"/>
          <w:highlight w:val="none"/>
        </w:rPr>
        <w:t>部门概况</w:t>
      </w:r>
      <w:bookmarkEnd w:id="12"/>
      <w:bookmarkEnd w:id="13"/>
    </w:p>
    <w:p>
      <w:pPr>
        <w:pStyle w:val="5"/>
        <w:ind w:firstLine="640" w:firstLineChars="200"/>
        <w:rPr>
          <w:rFonts w:hint="eastAsia" w:ascii="黑体" w:eastAsia="黑体"/>
          <w:b w:val="0"/>
          <w:color w:val="auto"/>
          <w:highlight w:val="none"/>
          <w:lang w:eastAsia="zh-CN"/>
        </w:rPr>
      </w:pPr>
      <w:r>
        <w:rPr>
          <w:rFonts w:hint="eastAsia" w:ascii="黑体" w:eastAsia="黑体"/>
          <w:b w:val="0"/>
          <w:color w:val="auto"/>
          <w:highlight w:val="none"/>
          <w:lang w:val="en-US" w:eastAsia="zh-CN"/>
        </w:rPr>
        <w:t>一、</w:t>
      </w:r>
      <w:r>
        <w:rPr>
          <w:rFonts w:hint="eastAsia" w:ascii="黑体" w:eastAsia="黑体"/>
          <w:b w:val="0"/>
          <w:color w:val="auto"/>
          <w:highlight w:val="none"/>
          <w:lang w:eastAsia="zh-CN"/>
        </w:rPr>
        <w:t>部门职责</w:t>
      </w:r>
    </w:p>
    <w:p>
      <w:pPr>
        <w:pageBreakBefore w:val="0"/>
        <w:widowControl w:val="0"/>
        <w:kinsoku/>
        <w:wordWrap/>
        <w:overflowPunct/>
        <w:topLinePunct w:val="0"/>
        <w:autoSpaceDE/>
        <w:autoSpaceDN/>
        <w:bidi w:val="0"/>
        <w:adjustRightInd/>
        <w:snapToGrid/>
        <w:ind w:firstLine="640" w:firstLineChars="200"/>
        <w:textAlignment w:val="auto"/>
        <w:outlineLvl w:val="9"/>
        <w:rPr>
          <w:rFonts w:hint="eastAsia"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1.主要负责传播国际红十字会运动知识和国际人道主义法，宣传《中华人民共和国红十字会法》及其他有关法律、法规，遵循《中国红十字会章程》，依法建会、治会、兴会。</w:t>
      </w:r>
    </w:p>
    <w:p>
      <w:pPr>
        <w:pageBreakBefore w:val="0"/>
        <w:widowControl w:val="0"/>
        <w:kinsoku/>
        <w:wordWrap/>
        <w:overflowPunct/>
        <w:topLinePunct w:val="0"/>
        <w:autoSpaceDE/>
        <w:autoSpaceDN/>
        <w:bidi w:val="0"/>
        <w:adjustRightInd/>
        <w:snapToGrid/>
        <w:ind w:firstLine="640" w:firstLineChars="200"/>
        <w:textAlignment w:val="auto"/>
        <w:outlineLvl w:val="9"/>
        <w:rPr>
          <w:rFonts w:hint="eastAsia"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2.开展救灾的准备工作，在自然灾害和突发事件中，对伤病人员和其他受害者进行救助。</w:t>
      </w:r>
    </w:p>
    <w:p>
      <w:pPr>
        <w:pageBreakBefore w:val="0"/>
        <w:widowControl w:val="0"/>
        <w:kinsoku/>
        <w:wordWrap/>
        <w:overflowPunct/>
        <w:topLinePunct w:val="0"/>
        <w:autoSpaceDE/>
        <w:autoSpaceDN/>
        <w:bidi w:val="0"/>
        <w:adjustRightInd/>
        <w:snapToGrid/>
        <w:ind w:firstLine="640" w:firstLineChars="200"/>
        <w:textAlignment w:val="auto"/>
        <w:outlineLvl w:val="9"/>
        <w:rPr>
          <w:rFonts w:hint="eastAsia"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3.开展人道领域内的社会公益服务活动，普及卫生救护和防病知识，组织群众参加现场急救工作，推动无偿献血和非血缘关系骨髓移植工作。</w:t>
      </w:r>
    </w:p>
    <w:p>
      <w:pPr>
        <w:pageBreakBefore w:val="0"/>
        <w:widowControl w:val="0"/>
        <w:kinsoku/>
        <w:wordWrap/>
        <w:overflowPunct/>
        <w:topLinePunct w:val="0"/>
        <w:autoSpaceDE/>
        <w:autoSpaceDN/>
        <w:bidi w:val="0"/>
        <w:adjustRightInd/>
        <w:snapToGrid/>
        <w:ind w:firstLine="640" w:firstLineChars="200"/>
        <w:textAlignment w:val="auto"/>
        <w:outlineLvl w:val="9"/>
        <w:rPr>
          <w:rFonts w:hint="eastAsia"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4.开展有益于青少年身心健康的红十字青少年活动。</w:t>
      </w:r>
    </w:p>
    <w:p>
      <w:pPr>
        <w:pageBreakBefore w:val="0"/>
        <w:widowControl w:val="0"/>
        <w:kinsoku/>
        <w:wordWrap/>
        <w:overflowPunct/>
        <w:topLinePunct w:val="0"/>
        <w:autoSpaceDE/>
        <w:autoSpaceDN/>
        <w:bidi w:val="0"/>
        <w:adjustRightInd/>
        <w:snapToGrid/>
        <w:ind w:firstLine="640" w:firstLineChars="200"/>
        <w:textAlignment w:val="auto"/>
        <w:outlineLvl w:val="9"/>
        <w:rPr>
          <w:rFonts w:hint="eastAsia"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5.参与艾滋病防治、吸毒危害等宣传教育工作，提高公民自我防护的意识和能力。</w:t>
      </w:r>
    </w:p>
    <w:p>
      <w:pPr>
        <w:pageBreakBefore w:val="0"/>
        <w:widowControl w:val="0"/>
        <w:kinsoku/>
        <w:wordWrap/>
        <w:overflowPunct/>
        <w:topLinePunct w:val="0"/>
        <w:autoSpaceDE/>
        <w:autoSpaceDN/>
        <w:bidi w:val="0"/>
        <w:adjustRightInd/>
        <w:snapToGrid/>
        <w:ind w:firstLine="640" w:firstLineChars="200"/>
        <w:textAlignment w:val="auto"/>
        <w:outlineLvl w:val="9"/>
        <w:rPr>
          <w:rFonts w:hint="eastAsia"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6.与境内外红十字会和组织进行友好往来，开展人道领域的合作与交流，争取援助。参与国内外的人道救援工作。</w:t>
      </w:r>
    </w:p>
    <w:p>
      <w:pPr>
        <w:pageBreakBefore w:val="0"/>
        <w:widowControl w:val="0"/>
        <w:kinsoku/>
        <w:wordWrap/>
        <w:overflowPunct/>
        <w:topLinePunct w:val="0"/>
        <w:autoSpaceDE/>
        <w:autoSpaceDN/>
        <w:bidi w:val="0"/>
        <w:adjustRightInd/>
        <w:snapToGrid/>
        <w:ind w:firstLine="640" w:firstLineChars="200"/>
        <w:textAlignment w:val="auto"/>
        <w:outlineLvl w:val="9"/>
        <w:rPr>
          <w:rFonts w:hint="eastAsia"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7.依法开展募捐活动，依照法律法规自主处理募捐款物。</w:t>
      </w:r>
    </w:p>
    <w:p>
      <w:pPr>
        <w:pageBreakBefore w:val="0"/>
        <w:widowControl w:val="0"/>
        <w:kinsoku/>
        <w:wordWrap/>
        <w:overflowPunct/>
        <w:topLinePunct w:val="0"/>
        <w:autoSpaceDE/>
        <w:autoSpaceDN/>
        <w:bidi w:val="0"/>
        <w:adjustRightInd/>
        <w:snapToGrid/>
        <w:ind w:firstLine="640" w:firstLineChars="200"/>
        <w:textAlignment w:val="auto"/>
        <w:outlineLvl w:val="9"/>
        <w:rPr>
          <w:rFonts w:hint="eastAsia"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8.依照国际红十字和红新月运动的基本原则和日内瓦公约及其附加议定书的有关规定开展工作，完成省、市、区人民政府和红十字会委托的其他事务。</w:t>
      </w:r>
    </w:p>
    <w:p>
      <w:pPr>
        <w:pageBreakBefore w:val="0"/>
        <w:widowControl w:val="0"/>
        <w:numPr>
          <w:ilvl w:val="0"/>
          <w:numId w:val="0"/>
        </w:numPr>
        <w:kinsoku/>
        <w:wordWrap/>
        <w:overflowPunct/>
        <w:topLinePunct w:val="0"/>
        <w:autoSpaceDE/>
        <w:autoSpaceDN/>
        <w:bidi w:val="0"/>
        <w:adjustRightInd/>
        <w:snapToGrid/>
        <w:ind w:firstLine="0" w:firstLineChars="0"/>
        <w:textAlignment w:val="auto"/>
        <w:outlineLvl w:val="9"/>
        <w:rPr>
          <w:rFonts w:hint="eastAsia"/>
          <w:lang w:eastAsia="zh-CN"/>
        </w:rPr>
      </w:pPr>
    </w:p>
    <w:p>
      <w:pPr>
        <w:pStyle w:val="5"/>
        <w:rPr>
          <w:rStyle w:val="33"/>
          <w:b w:val="0"/>
          <w:bCs w:val="0"/>
          <w:color w:val="auto"/>
          <w:highlight w:val="none"/>
        </w:rPr>
      </w:pPr>
      <w:bookmarkStart w:id="14" w:name="_Toc15396601"/>
      <w:bookmarkStart w:id="15" w:name="_Toc15377200"/>
      <w:r>
        <w:rPr>
          <w:rFonts w:hint="eastAsia" w:ascii="黑体" w:eastAsia="黑体"/>
          <w:b w:val="0"/>
          <w:color w:val="auto"/>
          <w:highlight w:val="none"/>
        </w:rPr>
        <w:t>二、</w:t>
      </w:r>
      <w:r>
        <w:rPr>
          <w:rFonts w:hint="eastAsia" w:ascii="黑体" w:hAnsi="黑体" w:eastAsia="黑体"/>
          <w:b w:val="0"/>
          <w:color w:val="auto"/>
          <w:highlight w:val="none"/>
        </w:rPr>
        <w:t>机</w:t>
      </w:r>
      <w:r>
        <w:rPr>
          <w:rStyle w:val="33"/>
          <w:rFonts w:hint="eastAsia" w:ascii="黑体" w:hAnsi="黑体" w:eastAsia="黑体"/>
          <w:b w:val="0"/>
          <w:bCs w:val="0"/>
          <w:color w:val="auto"/>
          <w:highlight w:val="none"/>
        </w:rPr>
        <w:t>构设置</w:t>
      </w:r>
      <w:bookmarkEnd w:id="14"/>
      <w:bookmarkEnd w:id="15"/>
    </w:p>
    <w:p>
      <w:pPr>
        <w:ind w:firstLine="800" w:firstLineChars="250"/>
        <w:rPr>
          <w:rFonts w:ascii="仿宋" w:hAnsi="仿宋" w:eastAsia="仿宋"/>
          <w:color w:val="auto"/>
          <w:kern w:val="0"/>
          <w:sz w:val="32"/>
          <w:szCs w:val="32"/>
          <w:highlight w:val="none"/>
        </w:rPr>
      </w:pPr>
      <w:r>
        <w:rPr>
          <w:rFonts w:hint="eastAsia" w:ascii="Times New Roman" w:hAnsi="Times New Roman" w:eastAsia="仿宋" w:cs="Times New Roman"/>
          <w:color w:val="auto"/>
          <w:kern w:val="2"/>
          <w:sz w:val="32"/>
          <w:szCs w:val="32"/>
          <w:highlight w:val="none"/>
          <w:lang w:val="en-US" w:eastAsia="zh-CN" w:bidi="ar-SA"/>
        </w:rPr>
        <w:t>攀枝花市仁和区红十字会下属二级预算单位0个，其中行政单位0个，参照公务员法管理的事业单位0个，其他事业单位0个。</w:t>
      </w:r>
      <w:r>
        <w:rPr>
          <w:rFonts w:ascii="仿宋" w:hAnsi="仿宋" w:eastAsia="仿宋"/>
          <w:color w:val="auto"/>
          <w:sz w:val="32"/>
          <w:szCs w:val="32"/>
          <w:highlight w:val="none"/>
        </w:rPr>
        <w:br w:type="page"/>
      </w:r>
    </w:p>
    <w:p>
      <w:pPr>
        <w:pStyle w:val="4"/>
        <w:ind w:right="440"/>
        <w:jc w:val="center"/>
        <w:rPr>
          <w:rStyle w:val="32"/>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32"/>
          <w:rFonts w:hint="eastAsia" w:ascii="黑体" w:hAnsi="黑体" w:eastAsia="黑体"/>
          <w:b w:val="0"/>
          <w:bCs/>
          <w:color w:val="auto"/>
          <w:highlight w:val="none"/>
        </w:rPr>
        <w:t>部门决算情况说明</w:t>
      </w:r>
      <w:bookmarkEnd w:id="16"/>
      <w:bookmarkEnd w:id="17"/>
    </w:p>
    <w:p>
      <w:pPr>
        <w:rPr>
          <w:color w:val="auto"/>
          <w:highlight w:val="none"/>
        </w:rPr>
      </w:pPr>
    </w:p>
    <w:p>
      <w:pPr>
        <w:pStyle w:val="31"/>
        <w:numPr>
          <w:ilvl w:val="0"/>
          <w:numId w:val="1"/>
        </w:numPr>
        <w:spacing w:line="600" w:lineRule="exact"/>
        <w:ind w:firstLineChars="0"/>
        <w:outlineLvl w:val="1"/>
        <w:rPr>
          <w:rStyle w:val="33"/>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33"/>
          <w:rFonts w:hint="eastAsia" w:ascii="黑体" w:hAnsi="黑体" w:eastAsia="黑体"/>
          <w:b w:val="0"/>
          <w:color w:val="auto"/>
          <w:highlight w:val="none"/>
        </w:rPr>
        <w:t>入支出决算总体情况说明</w:t>
      </w:r>
      <w:bookmarkEnd w:id="18"/>
      <w:bookmarkEnd w:id="19"/>
    </w:p>
    <w:p>
      <w:pPr>
        <w:pStyle w:val="20"/>
        <w:keepNext w:val="0"/>
        <w:keepLines w:val="0"/>
        <w:pageBreakBefore w:val="0"/>
        <w:kinsoku/>
        <w:wordWrap/>
        <w:overflowPunct/>
        <w:topLinePunct w:val="0"/>
        <w:autoSpaceDE/>
        <w:autoSpaceDN/>
        <w:bidi w:val="0"/>
        <w:adjustRightInd/>
        <w:snapToGrid/>
        <w:spacing w:line="240" w:lineRule="auto"/>
        <w:ind w:firstLine="640" w:firstLineChars="200"/>
        <w:jc w:val="left"/>
        <w:rPr>
          <w:rFonts w:hint="eastAsia"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2022年度收、支总计11.11万元。与2021年相比，收、支总计各增加11.11万元，增长100%。主要变动原因是仁和区红十字会为新成立独立核算群团组织，2022年未编制财政预算。</w:t>
      </w:r>
    </w:p>
    <w:p>
      <w:pPr>
        <w:pStyle w:val="22"/>
        <w:rPr>
          <w:rFonts w:hint="eastAsia" w:eastAsia="宋体"/>
          <w:lang w:eastAsia="zh-CN"/>
        </w:rPr>
      </w:pPr>
      <w:r>
        <w:rPr>
          <w:rFonts w:hint="eastAsia" w:eastAsia="宋体"/>
          <w:lang w:eastAsia="zh-CN"/>
        </w:rPr>
        <w:drawing>
          <wp:anchor distT="0" distB="0" distL="114300" distR="114300" simplePos="0" relativeHeight="251662336" behindDoc="1" locked="0" layoutInCell="1" allowOverlap="1">
            <wp:simplePos x="0" y="0"/>
            <wp:positionH relativeFrom="column">
              <wp:posOffset>204470</wp:posOffset>
            </wp:positionH>
            <wp:positionV relativeFrom="page">
              <wp:posOffset>4004310</wp:posOffset>
            </wp:positionV>
            <wp:extent cx="4471035" cy="2915285"/>
            <wp:effectExtent l="4445" t="4445" r="20320" b="13970"/>
            <wp:wrapTight wrapText="bothSides">
              <wp:wrapPolygon>
                <wp:start x="-21" y="-33"/>
                <wp:lineTo x="-21" y="21562"/>
                <wp:lineTo x="21514" y="21562"/>
                <wp:lineTo x="21514" y="-33"/>
                <wp:lineTo x="-21" y="-33"/>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Style w:val="31"/>
        <w:numPr>
          <w:ilvl w:val="0"/>
          <w:numId w:val="0"/>
        </w:numPr>
        <w:spacing w:line="600" w:lineRule="exact"/>
        <w:ind w:left="640" w:leftChars="0"/>
        <w:outlineLvl w:val="1"/>
        <w:rPr>
          <w:rFonts w:hint="eastAsia" w:ascii="黑体" w:hAnsi="黑体" w:eastAsia="黑体"/>
          <w:color w:val="auto"/>
          <w:sz w:val="32"/>
          <w:szCs w:val="32"/>
          <w:highlight w:val="none"/>
          <w:lang w:val="en-US" w:eastAsia="zh-CN"/>
        </w:rPr>
      </w:pPr>
      <w:bookmarkStart w:id="20" w:name="_Toc15377206"/>
      <w:bookmarkStart w:id="21" w:name="_Toc15396604"/>
    </w:p>
    <w:p>
      <w:pPr>
        <w:pStyle w:val="31"/>
        <w:numPr>
          <w:ilvl w:val="0"/>
          <w:numId w:val="0"/>
        </w:numPr>
        <w:spacing w:line="600" w:lineRule="exact"/>
        <w:ind w:left="640" w:leftChars="0"/>
        <w:outlineLvl w:val="1"/>
        <w:rPr>
          <w:rStyle w:val="33"/>
          <w:rFonts w:ascii="黑体" w:hAnsi="黑体" w:eastAsia="黑体"/>
          <w:b w:val="0"/>
          <w:color w:val="auto"/>
          <w:highlight w:val="none"/>
        </w:rPr>
      </w:pPr>
      <w:r>
        <w:rPr>
          <w:rFonts w:hint="eastAsia" w:ascii="黑体" w:hAnsi="黑体" w:eastAsia="黑体"/>
          <w:color w:val="auto"/>
          <w:sz w:val="32"/>
          <w:szCs w:val="32"/>
          <w:highlight w:val="none"/>
          <w:lang w:val="en-US" w:eastAsia="zh-CN"/>
        </w:rPr>
        <w:t>二、</w:t>
      </w:r>
      <w:r>
        <w:rPr>
          <w:rFonts w:hint="eastAsia" w:ascii="黑体" w:hAnsi="黑体" w:eastAsia="黑体"/>
          <w:color w:val="auto"/>
          <w:sz w:val="32"/>
          <w:szCs w:val="32"/>
          <w:highlight w:val="none"/>
        </w:rPr>
        <w:t>收</w:t>
      </w:r>
      <w:r>
        <w:rPr>
          <w:rStyle w:val="33"/>
          <w:rFonts w:hint="eastAsia" w:ascii="黑体" w:hAnsi="黑体" w:eastAsia="黑体"/>
          <w:b w:val="0"/>
          <w:color w:val="auto"/>
          <w:highlight w:val="none"/>
        </w:rPr>
        <w:t>入决算情况说明</w:t>
      </w:r>
      <w:bookmarkEnd w:id="20"/>
      <w:bookmarkEnd w:id="21"/>
    </w:p>
    <w:p>
      <w:pPr>
        <w:pStyle w:val="20"/>
        <w:keepNext w:val="0"/>
        <w:keepLines w:val="0"/>
        <w:pageBreakBefore w:val="0"/>
        <w:kinsoku/>
        <w:wordWrap/>
        <w:overflowPunct/>
        <w:topLinePunct w:val="0"/>
        <w:autoSpaceDE/>
        <w:autoSpaceDN/>
        <w:bidi w:val="0"/>
        <w:adjustRightInd/>
        <w:snapToGrid/>
        <w:spacing w:line="240" w:lineRule="auto"/>
        <w:ind w:firstLine="640" w:firstLineChars="200"/>
        <w:jc w:val="left"/>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2022年本年收入合计11.11万元，其中：一般公共预算财政拨款收入11.11万元，占100%。</w:t>
      </w:r>
    </w:p>
    <w:p>
      <w:pPr>
        <w:pStyle w:val="22"/>
        <w:rPr>
          <w:rFonts w:hint="eastAsia" w:ascii="仿宋" w:hAnsi="仿宋" w:eastAsia="仿宋" w:cs="Times New Roman"/>
          <w:b w:val="0"/>
          <w:color w:val="auto"/>
          <w:kern w:val="2"/>
          <w:sz w:val="32"/>
          <w:szCs w:val="32"/>
          <w:highlight w:val="none"/>
          <w:lang w:val="en-US" w:eastAsia="zh-CN" w:bidi="ar-SA"/>
        </w:rPr>
      </w:pPr>
      <w:r>
        <w:rPr>
          <w:rFonts w:hint="eastAsia"/>
          <w:lang w:eastAsia="zh-CN"/>
        </w:rPr>
        <w:drawing>
          <wp:anchor distT="0" distB="0" distL="114300" distR="114300" simplePos="0" relativeHeight="251659264" behindDoc="1" locked="0" layoutInCell="1" allowOverlap="1">
            <wp:simplePos x="0" y="0"/>
            <wp:positionH relativeFrom="column">
              <wp:posOffset>648970</wp:posOffset>
            </wp:positionH>
            <wp:positionV relativeFrom="page">
              <wp:posOffset>1052195</wp:posOffset>
            </wp:positionV>
            <wp:extent cx="3874135" cy="2736215"/>
            <wp:effectExtent l="5080" t="4445" r="6985" b="21590"/>
            <wp:wrapTight wrapText="bothSides">
              <wp:wrapPolygon>
                <wp:start x="0" y="0"/>
                <wp:lineTo x="0" y="21600"/>
                <wp:lineTo x="21600" y="21600"/>
                <wp:lineTo x="21600" y="0"/>
                <wp:lineTo x="0" y="0"/>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lang w:val="en-US" w:eastAsia="zh-CN"/>
        </w:rPr>
        <w:t xml:space="preserve">  </w:t>
      </w:r>
      <w:r>
        <w:rPr>
          <w:rFonts w:hint="eastAsia" w:ascii="仿宋" w:hAnsi="仿宋" w:eastAsia="仿宋" w:cs="Times New Roman"/>
          <w:b w:val="0"/>
          <w:color w:val="auto"/>
          <w:kern w:val="2"/>
          <w:sz w:val="32"/>
          <w:szCs w:val="32"/>
          <w:highlight w:val="none"/>
          <w:lang w:val="en-US" w:eastAsia="zh-CN" w:bidi="ar-SA"/>
        </w:rPr>
        <w:t xml:space="preserve"> </w:t>
      </w:r>
    </w:p>
    <w:p>
      <w:pPr>
        <w:pStyle w:val="22"/>
        <w:rPr>
          <w:rFonts w:hint="eastAsia" w:ascii="仿宋" w:hAnsi="仿宋" w:eastAsia="仿宋" w:cs="Times New Roman"/>
          <w:b w:val="0"/>
          <w:color w:val="auto"/>
          <w:kern w:val="2"/>
          <w:sz w:val="32"/>
          <w:szCs w:val="32"/>
          <w:highlight w:val="none"/>
          <w:lang w:val="en-US" w:eastAsia="zh-CN" w:bidi="ar-SA"/>
        </w:rPr>
      </w:pPr>
    </w:p>
    <w:p>
      <w:pPr>
        <w:pStyle w:val="22"/>
        <w:rPr>
          <w:rFonts w:hint="eastAsia" w:ascii="仿宋" w:hAnsi="仿宋" w:eastAsia="仿宋" w:cs="Times New Roman"/>
          <w:b w:val="0"/>
          <w:color w:val="auto"/>
          <w:kern w:val="2"/>
          <w:sz w:val="32"/>
          <w:szCs w:val="32"/>
          <w:highlight w:val="none"/>
          <w:lang w:val="en-US" w:eastAsia="zh-CN" w:bidi="ar-SA"/>
        </w:rPr>
      </w:pPr>
    </w:p>
    <w:p>
      <w:pPr>
        <w:spacing w:line="600" w:lineRule="exact"/>
        <w:ind w:firstLine="640" w:firstLineChars="200"/>
        <w:rPr>
          <w:rFonts w:hint="eastAsia" w:ascii="仿宋" w:hAnsi="仿宋" w:eastAsia="仿宋"/>
          <w:color w:val="auto"/>
          <w:sz w:val="32"/>
          <w:szCs w:val="32"/>
          <w:highlight w:val="none"/>
          <w:lang w:val="en-US" w:eastAsia="zh-CN"/>
        </w:rPr>
      </w:pPr>
    </w:p>
    <w:p>
      <w:pPr>
        <w:spacing w:line="600" w:lineRule="exact"/>
        <w:rPr>
          <w:rFonts w:hint="eastAsia" w:ascii="仿宋" w:hAnsi="仿宋" w:eastAsia="仿宋"/>
          <w:color w:val="auto"/>
          <w:sz w:val="32"/>
          <w:szCs w:val="32"/>
          <w:highlight w:val="none"/>
          <w:lang w:val="en-US" w:eastAsia="zh-CN"/>
        </w:rPr>
      </w:pP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（图2：收入决算结构图）</w:t>
      </w:r>
    </w:p>
    <w:p>
      <w:pPr>
        <w:pStyle w:val="20"/>
        <w:keepNext w:val="0"/>
        <w:keepLines w:val="0"/>
        <w:pageBreakBefore w:val="0"/>
        <w:kinsoku/>
        <w:wordWrap/>
        <w:overflowPunct/>
        <w:topLinePunct w:val="0"/>
        <w:autoSpaceDE/>
        <w:autoSpaceDN/>
        <w:bidi w:val="0"/>
        <w:adjustRightInd/>
        <w:snapToGrid/>
        <w:spacing w:line="240" w:lineRule="auto"/>
        <w:ind w:firstLine="640" w:firstLineChars="200"/>
        <w:jc w:val="left"/>
        <w:rPr>
          <w:rFonts w:hint="eastAsia" w:ascii="黑体" w:hAnsi="黑体" w:eastAsia="黑体"/>
          <w:color w:val="auto"/>
          <w:sz w:val="32"/>
          <w:szCs w:val="32"/>
          <w:highlight w:val="none"/>
          <w:lang w:val="en-US" w:eastAsia="zh-CN"/>
        </w:rPr>
      </w:pPr>
      <w:bookmarkStart w:id="22" w:name="_Toc15377207"/>
      <w:bookmarkStart w:id="23" w:name="_Toc15396605"/>
    </w:p>
    <w:p>
      <w:pPr>
        <w:pStyle w:val="31"/>
        <w:numPr>
          <w:ilvl w:val="0"/>
          <w:numId w:val="0"/>
        </w:numPr>
        <w:spacing w:line="600" w:lineRule="exact"/>
        <w:ind w:left="640" w:leftChars="0"/>
        <w:outlineLvl w:val="1"/>
        <w:rPr>
          <w:rStyle w:val="33"/>
          <w:rFonts w:ascii="黑体" w:hAnsi="黑体" w:eastAsia="黑体"/>
          <w:b w:val="0"/>
          <w:color w:val="auto"/>
          <w:highlight w:val="none"/>
        </w:rPr>
      </w:pPr>
      <w:r>
        <w:rPr>
          <w:rFonts w:hint="eastAsia" w:ascii="黑体" w:hAnsi="黑体" w:eastAsia="黑体"/>
          <w:color w:val="auto"/>
          <w:sz w:val="32"/>
          <w:szCs w:val="32"/>
          <w:highlight w:val="none"/>
          <w:lang w:val="en-US" w:eastAsia="zh-CN"/>
        </w:rPr>
        <w:t>三、</w:t>
      </w:r>
      <w:r>
        <w:rPr>
          <w:rFonts w:hint="eastAsia" w:ascii="黑体" w:hAnsi="黑体" w:eastAsia="黑体"/>
          <w:color w:val="auto"/>
          <w:sz w:val="32"/>
          <w:szCs w:val="32"/>
          <w:highlight w:val="none"/>
        </w:rPr>
        <w:t>支</w:t>
      </w:r>
      <w:r>
        <w:rPr>
          <w:rStyle w:val="33"/>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hint="eastAsia"/>
          <w:lang w:val="en-US" w:eastAsia="zh-CN"/>
        </w:rPr>
      </w:pPr>
      <w:r>
        <w:rPr>
          <w:rFonts w:hint="eastAsia" w:ascii="仿宋" w:hAnsi="仿宋" w:eastAsia="仿宋"/>
          <w:color w:val="auto"/>
          <w:sz w:val="32"/>
          <w:szCs w:val="32"/>
          <w:highlight w:val="none"/>
          <w:lang w:eastAsia="zh-CN"/>
        </w:rPr>
        <w:drawing>
          <wp:anchor distT="0" distB="0" distL="114300" distR="114300" simplePos="0" relativeHeight="251660288" behindDoc="1" locked="0" layoutInCell="1" allowOverlap="1">
            <wp:simplePos x="0" y="0"/>
            <wp:positionH relativeFrom="column">
              <wp:posOffset>613410</wp:posOffset>
            </wp:positionH>
            <wp:positionV relativeFrom="page">
              <wp:posOffset>5791200</wp:posOffset>
            </wp:positionV>
            <wp:extent cx="3975735" cy="2832100"/>
            <wp:effectExtent l="4445" t="4445" r="20320" b="40005"/>
            <wp:wrapTight wrapText="bothSides">
              <wp:wrapPolygon>
                <wp:start x="-24" y="-34"/>
                <wp:lineTo x="-24" y="21469"/>
                <wp:lineTo x="21503" y="21469"/>
                <wp:lineTo x="21503" y="-34"/>
                <wp:lineTo x="-24" y="-34"/>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11.11</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11.11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2"/>
        <w:ind w:firstLine="640" w:firstLineChars="200"/>
        <w:rPr>
          <w:rFonts w:hint="eastAsia" w:ascii="仿宋" w:hAnsi="仿宋" w:eastAsia="仿宋" w:cs="Times New Roman"/>
          <w:b w:val="0"/>
          <w:color w:val="auto"/>
          <w:kern w:val="2"/>
          <w:sz w:val="32"/>
          <w:szCs w:val="32"/>
          <w:highlight w:val="none"/>
          <w:lang w:val="en-US" w:eastAsia="zh-CN" w:bidi="ar-SA"/>
        </w:rPr>
      </w:pPr>
      <w:r>
        <w:rPr>
          <w:rFonts w:hint="eastAsia" w:ascii="仿宋" w:hAnsi="仿宋" w:eastAsia="仿宋" w:cs="Times New Roman"/>
          <w:b w:val="0"/>
          <w:color w:val="auto"/>
          <w:kern w:val="2"/>
          <w:sz w:val="32"/>
          <w:szCs w:val="32"/>
          <w:highlight w:val="none"/>
          <w:lang w:val="en-US" w:eastAsia="zh-CN" w:bidi="ar-SA"/>
        </w:rPr>
        <w:t>（图3：支出决算结构图）</w:t>
      </w:r>
    </w:p>
    <w:p>
      <w:pPr>
        <w:spacing w:line="600" w:lineRule="exact"/>
        <w:ind w:firstLine="640" w:firstLineChars="200"/>
        <w:outlineLvl w:val="1"/>
        <w:rPr>
          <w:rStyle w:val="33"/>
          <w:rFonts w:ascii="黑体" w:hAnsi="黑体" w:eastAsia="黑体"/>
          <w:b w:val="0"/>
          <w:color w:val="auto"/>
          <w:highlight w:val="none"/>
        </w:rPr>
      </w:pPr>
      <w:bookmarkStart w:id="24" w:name="_Toc15396606"/>
      <w:bookmarkStart w:id="25" w:name="_Toc15377208"/>
      <w:r>
        <w:rPr>
          <w:rFonts w:hint="eastAsia" w:ascii="黑体" w:hAnsi="黑体" w:eastAsia="黑体"/>
          <w:color w:val="auto"/>
          <w:sz w:val="32"/>
          <w:szCs w:val="32"/>
          <w:highlight w:val="none"/>
        </w:rPr>
        <w:t>四、财</w:t>
      </w:r>
      <w:r>
        <w:rPr>
          <w:rStyle w:val="33"/>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hint="eastAsia"/>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11.11</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11.11</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仁和区红十字会为新成立独立核算群团组织，2022年未编制财政预算</w:t>
      </w:r>
      <w:r>
        <w:rPr>
          <w:rFonts w:ascii="Times New Roman" w:hAnsi="Times New Roman" w:eastAsia="仿宋_GB2312" w:cs="Times New Roman"/>
          <w:color w:val="auto"/>
          <w:kern w:val="2"/>
          <w:sz w:val="32"/>
          <w:szCs w:val="32"/>
          <w:lang w:val="en-US" w:eastAsia="zh-CN" w:bidi="ar-SA"/>
        </w:rPr>
        <w:t>。</w:t>
      </w:r>
    </w:p>
    <w:p>
      <w:pPr>
        <w:spacing w:line="600" w:lineRule="exact"/>
        <w:ind w:firstLine="420" w:firstLineChars="200"/>
        <w:rPr>
          <w:rFonts w:hint="eastAsia" w:ascii="仿宋" w:hAnsi="仿宋" w:eastAsia="仿宋"/>
          <w:color w:val="auto"/>
          <w:sz w:val="32"/>
          <w:szCs w:val="32"/>
          <w:highlight w:val="none"/>
        </w:rPr>
      </w:pPr>
      <w:r>
        <w:rPr>
          <w:rFonts w:hint="eastAsia" w:eastAsia="宋体"/>
          <w:lang w:eastAsia="zh-CN"/>
        </w:rPr>
        <w:drawing>
          <wp:anchor distT="0" distB="0" distL="114300" distR="114300" simplePos="0" relativeHeight="251663360" behindDoc="1" locked="0" layoutInCell="1" allowOverlap="1">
            <wp:simplePos x="0" y="0"/>
            <wp:positionH relativeFrom="column">
              <wp:posOffset>471170</wp:posOffset>
            </wp:positionH>
            <wp:positionV relativeFrom="page">
              <wp:posOffset>3671570</wp:posOffset>
            </wp:positionV>
            <wp:extent cx="4471035" cy="2915285"/>
            <wp:effectExtent l="4445" t="4445" r="20320" b="13970"/>
            <wp:wrapTight wrapText="bothSides">
              <wp:wrapPolygon>
                <wp:start x="-21" y="-33"/>
                <wp:lineTo x="-21" y="21562"/>
                <wp:lineTo x="21514" y="21562"/>
                <wp:lineTo x="21514" y="-33"/>
                <wp:lineTo x="-21" y="-33"/>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（图4：财政拨款收、支决算总计变动情况）</w:t>
      </w:r>
    </w:p>
    <w:p>
      <w:pPr>
        <w:spacing w:line="600" w:lineRule="exact"/>
        <w:ind w:firstLine="640" w:firstLineChars="200"/>
        <w:outlineLvl w:val="1"/>
        <w:rPr>
          <w:rFonts w:hint="eastAsia" w:ascii="黑体" w:hAnsi="黑体" w:eastAsia="黑体"/>
          <w:color w:val="auto"/>
          <w:sz w:val="32"/>
          <w:szCs w:val="32"/>
          <w:highlight w:val="none"/>
        </w:rPr>
      </w:pPr>
      <w:bookmarkStart w:id="26" w:name="_Toc15377209"/>
      <w:bookmarkStart w:id="27" w:name="_Toc15396607"/>
    </w:p>
    <w:p>
      <w:pPr>
        <w:spacing w:line="600" w:lineRule="exact"/>
        <w:ind w:firstLine="640" w:firstLineChars="200"/>
        <w:outlineLvl w:val="1"/>
        <w:rPr>
          <w:rStyle w:val="33"/>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3"/>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11.11</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11.11</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仁和区红十字会为新成立独立核算群团组织，2022年未编制财政预算</w:t>
      </w:r>
      <w:r>
        <w:rPr>
          <w:rFonts w:ascii="Times New Roman" w:hAnsi="Times New Roman" w:eastAsia="仿宋_GB2312" w:cs="Times New Roman"/>
          <w:color w:val="auto"/>
          <w:kern w:val="2"/>
          <w:sz w:val="32"/>
          <w:szCs w:val="32"/>
          <w:lang w:val="en-US" w:eastAsia="zh-CN" w:bidi="ar-SA"/>
        </w:rPr>
        <w:t>。</w:t>
      </w:r>
    </w:p>
    <w:p>
      <w:pPr>
        <w:spacing w:line="600" w:lineRule="exact"/>
        <w:ind w:firstLine="640" w:firstLineChars="200"/>
        <w:rPr>
          <w:rFonts w:ascii="仿宋" w:hAnsi="仿宋" w:eastAsia="仿宋"/>
          <w:color w:val="auto"/>
          <w:sz w:val="32"/>
          <w:szCs w:val="32"/>
          <w:highlight w:val="none"/>
        </w:rPr>
      </w:pPr>
    </w:p>
    <w:p>
      <w:pPr>
        <w:pStyle w:val="2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11.11</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0.50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4.50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10.07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90.64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0.54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4.86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ascii="仿宋" w:hAnsi="仿宋" w:eastAsia="仿宋"/>
          <w:color w:val="auto"/>
          <w:sz w:val="32"/>
          <w:szCs w:val="32"/>
          <w:highlight w:val="none"/>
        </w:rPr>
      </w:pPr>
    </w:p>
    <w:p>
      <w:pPr>
        <w:pStyle w:val="20"/>
        <w:rPr>
          <w:rFonts w:ascii="仿宋" w:hAnsi="仿宋" w:eastAsia="仿宋"/>
          <w:color w:val="auto"/>
          <w:sz w:val="32"/>
          <w:szCs w:val="32"/>
          <w:highlight w:val="none"/>
        </w:rPr>
      </w:pPr>
    </w:p>
    <w:p>
      <w:pPr>
        <w:pStyle w:val="21"/>
        <w:rPr>
          <w:rFonts w:ascii="仿宋" w:hAnsi="仿宋" w:eastAsia="仿宋"/>
          <w:color w:val="auto"/>
          <w:sz w:val="32"/>
          <w:szCs w:val="32"/>
          <w:highlight w:val="none"/>
        </w:rPr>
      </w:pPr>
    </w:p>
    <w:p>
      <w:pPr>
        <w:pStyle w:val="22"/>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1312" behindDoc="1" locked="0" layoutInCell="1" allowOverlap="1">
            <wp:simplePos x="0" y="0"/>
            <wp:positionH relativeFrom="column">
              <wp:posOffset>459740</wp:posOffset>
            </wp:positionH>
            <wp:positionV relativeFrom="page">
              <wp:posOffset>1064895</wp:posOffset>
            </wp:positionV>
            <wp:extent cx="4281805" cy="2945765"/>
            <wp:effectExtent l="4445" t="4445" r="57150" b="59690"/>
            <wp:wrapTight wrapText="bothSides">
              <wp:wrapPolygon>
                <wp:start x="-22" y="-33"/>
                <wp:lineTo x="-22" y="21479"/>
                <wp:lineTo x="21504" y="21479"/>
                <wp:lineTo x="21504" y="-33"/>
                <wp:lineTo x="-22" y="-33"/>
              </wp:wrapPolygon>
            </wp:wrapTight>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rPr>
          <w:rFonts w:ascii="仿宋" w:hAnsi="仿宋" w:eastAsia="仿宋"/>
          <w:color w:val="auto"/>
          <w:sz w:val="32"/>
          <w:szCs w:val="32"/>
          <w:highlight w:val="none"/>
        </w:rPr>
      </w:pPr>
    </w:p>
    <w:p>
      <w:pPr>
        <w:pStyle w:val="20"/>
        <w:rPr>
          <w:rFonts w:hint="eastAsia" w:ascii="仿宋" w:hAnsi="仿宋" w:eastAsia="仿宋"/>
          <w:color w:val="auto"/>
          <w:sz w:val="32"/>
          <w:szCs w:val="32"/>
          <w:highlight w:val="none"/>
          <w:lang w:eastAsia="zh-CN"/>
        </w:rPr>
      </w:pPr>
    </w:p>
    <w:p>
      <w:pPr>
        <w:pStyle w:val="21"/>
        <w:rPr>
          <w:rFonts w:ascii="仿宋" w:hAnsi="仿宋" w:eastAsia="仿宋"/>
          <w:color w:val="auto"/>
          <w:sz w:val="32"/>
          <w:szCs w:val="32"/>
          <w:highlight w:val="none"/>
        </w:rPr>
      </w:pPr>
    </w:p>
    <w:p>
      <w:pPr>
        <w:pStyle w:val="22"/>
        <w:rPr>
          <w:rFonts w:hint="eastAsia" w:eastAsia="仿宋"/>
          <w:lang w:eastAsia="zh-CN"/>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8460"/>
      <w:bookmarkStart w:id="32" w:name="_Toc15377444"/>
      <w:bookmarkStart w:id="33"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11.11万元</w:t>
      </w:r>
      <w:r>
        <w:rPr>
          <w:rFonts w:hint="eastAsia" w:ascii="仿宋" w:hAnsi="仿宋" w:eastAsia="仿宋"/>
          <w:color w:val="auto"/>
          <w:sz w:val="32"/>
          <w:szCs w:val="32"/>
          <w:highlight w:val="none"/>
        </w:rPr>
        <w:t>，</w:t>
      </w:r>
      <w:r>
        <w:rPr>
          <w:rStyle w:val="18"/>
          <w:rFonts w:hint="eastAsia" w:ascii="仿宋" w:hAnsi="仿宋" w:eastAsia="仿宋"/>
          <w:bCs/>
          <w:color w:val="auto"/>
          <w:sz w:val="32"/>
          <w:szCs w:val="32"/>
          <w:highlight w:val="none"/>
        </w:rPr>
        <w:t>完成预算</w:t>
      </w:r>
      <w:r>
        <w:rPr>
          <w:rStyle w:val="18"/>
          <w:rFonts w:hint="eastAsia" w:ascii="仿宋" w:hAnsi="仿宋" w:eastAsia="仿宋"/>
          <w:bCs/>
          <w:color w:val="auto"/>
          <w:sz w:val="32"/>
          <w:szCs w:val="32"/>
          <w:highlight w:val="none"/>
          <w:lang w:val="en-US" w:eastAsia="zh-CN"/>
        </w:rPr>
        <w:t>100</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。其中：</w:t>
      </w:r>
      <w:bookmarkEnd w:id="31"/>
      <w:bookmarkEnd w:id="32"/>
      <w:bookmarkEnd w:id="33"/>
    </w:p>
    <w:p>
      <w:pPr>
        <w:spacing w:line="600" w:lineRule="exact"/>
        <w:ind w:firstLine="643" w:firstLineChars="200"/>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1</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社会保障和就业（类）</w:t>
      </w:r>
      <w:r>
        <w:rPr>
          <w:rStyle w:val="18"/>
          <w:rFonts w:hint="eastAsia" w:ascii="仿宋" w:hAnsi="仿宋" w:eastAsia="仿宋"/>
          <w:bCs/>
          <w:color w:val="auto"/>
          <w:sz w:val="32"/>
          <w:szCs w:val="32"/>
          <w:highlight w:val="none"/>
          <w:lang w:val="en-US" w:eastAsia="zh-CN"/>
        </w:rPr>
        <w:t>行政事业单位养老支出</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机关事业单位基本养老保险缴费支出</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0.50</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Style w:val="18"/>
          <w:rFonts w:hint="eastAsia" w:ascii="仿宋" w:hAnsi="仿宋" w:eastAsia="仿宋"/>
          <w:b w:val="0"/>
          <w:bCs/>
          <w:color w:val="000000"/>
          <w:sz w:val="32"/>
          <w:szCs w:val="32"/>
        </w:rPr>
        <w:t>决算数等于调整预算数。</w:t>
      </w:r>
      <w:r>
        <w:rPr>
          <w:rStyle w:val="18"/>
          <w:rFonts w:hint="eastAsia" w:ascii="仿宋" w:hAnsi="仿宋" w:eastAsia="仿宋"/>
          <w:b w:val="0"/>
          <w:bCs/>
          <w:color w:val="auto"/>
          <w:sz w:val="32"/>
          <w:szCs w:val="32"/>
          <w:highlight w:val="none"/>
        </w:rPr>
        <w:t>主要原因是</w:t>
      </w:r>
      <w:r>
        <w:rPr>
          <w:rFonts w:hint="eastAsia" w:ascii="仿宋" w:hAnsi="仿宋" w:eastAsia="仿宋"/>
          <w:color w:val="auto"/>
          <w:sz w:val="32"/>
          <w:szCs w:val="32"/>
          <w:highlight w:val="none"/>
          <w:lang w:val="en-US" w:eastAsia="zh-CN"/>
        </w:rPr>
        <w:t>仁和区红十字会为新成立独立核算群团组织，2022年未编制财政预算</w:t>
      </w:r>
      <w:r>
        <w:rPr>
          <w:rFonts w:ascii="Times New Roman" w:hAnsi="Times New Roman" w:eastAsia="仿宋_GB2312" w:cs="Times New Roman"/>
          <w:color w:val="auto"/>
          <w:kern w:val="2"/>
          <w:sz w:val="32"/>
          <w:szCs w:val="32"/>
          <w:lang w:val="en-US" w:eastAsia="zh-CN" w:bidi="ar-SA"/>
        </w:rPr>
        <w:t>。</w:t>
      </w:r>
    </w:p>
    <w:p>
      <w:pPr>
        <w:spacing w:line="600" w:lineRule="exact"/>
        <w:ind w:firstLine="643" w:firstLineChars="200"/>
        <w:rPr>
          <w:rStyle w:val="18"/>
          <w:rFonts w:hint="eastAsia" w:ascii="仿宋" w:hAnsi="仿宋" w:eastAsia="仿宋"/>
          <w:b w:val="0"/>
          <w:bCs/>
          <w:color w:val="000000"/>
          <w:sz w:val="32"/>
          <w:szCs w:val="32"/>
        </w:rPr>
      </w:pPr>
      <w:r>
        <w:rPr>
          <w:rStyle w:val="18"/>
          <w:rFonts w:hint="eastAsia" w:ascii="仿宋" w:hAnsi="仿宋" w:eastAsia="仿宋" w:cstheme="minorBidi"/>
          <w:bCs/>
          <w:color w:val="auto"/>
          <w:sz w:val="32"/>
          <w:szCs w:val="32"/>
          <w:highlight w:val="none"/>
          <w:lang w:val="en-US" w:eastAsia="zh-CN"/>
        </w:rPr>
        <w:t>2</w:t>
      </w:r>
      <w:r>
        <w:rPr>
          <w:rStyle w:val="18"/>
          <w:rFonts w:ascii="仿宋" w:hAnsi="仿宋" w:eastAsia="仿宋" w:cstheme="minorBidi"/>
          <w:bCs/>
          <w:color w:val="auto"/>
          <w:sz w:val="32"/>
          <w:szCs w:val="32"/>
          <w:highlight w:val="none"/>
        </w:rPr>
        <w:t>.</w:t>
      </w:r>
      <w:r>
        <w:rPr>
          <w:rStyle w:val="18"/>
          <w:rFonts w:hint="eastAsia" w:ascii="仿宋" w:hAnsi="仿宋" w:eastAsia="仿宋" w:cstheme="minorBidi"/>
          <w:bCs/>
          <w:color w:val="auto"/>
          <w:sz w:val="32"/>
          <w:szCs w:val="32"/>
          <w:highlight w:val="none"/>
        </w:rPr>
        <w:t>卫生健康（类）</w:t>
      </w:r>
      <w:r>
        <w:rPr>
          <w:rStyle w:val="18"/>
          <w:rFonts w:hint="eastAsia" w:ascii="仿宋" w:hAnsi="仿宋" w:eastAsia="仿宋" w:cstheme="minorBidi"/>
          <w:bCs/>
          <w:color w:val="auto"/>
          <w:sz w:val="32"/>
          <w:szCs w:val="32"/>
          <w:highlight w:val="none"/>
          <w:lang w:val="en-US" w:eastAsia="zh-CN"/>
        </w:rPr>
        <w:t>卫生健康管理事务</w:t>
      </w:r>
      <w:r>
        <w:rPr>
          <w:rStyle w:val="18"/>
          <w:rFonts w:hint="eastAsia" w:ascii="仿宋" w:hAnsi="仿宋" w:eastAsia="仿宋" w:cstheme="minorBidi"/>
          <w:bCs/>
          <w:color w:val="auto"/>
          <w:sz w:val="32"/>
          <w:szCs w:val="32"/>
          <w:highlight w:val="none"/>
        </w:rPr>
        <w:t>（款） 行政</w:t>
      </w:r>
      <w:r>
        <w:rPr>
          <w:rStyle w:val="18"/>
          <w:rFonts w:hint="eastAsia" w:ascii="仿宋" w:hAnsi="仿宋" w:eastAsia="仿宋" w:cstheme="minorBidi"/>
          <w:bCs/>
          <w:color w:val="auto"/>
          <w:sz w:val="32"/>
          <w:szCs w:val="32"/>
          <w:highlight w:val="none"/>
          <w:lang w:val="en-US" w:eastAsia="zh-CN"/>
        </w:rPr>
        <w:t>运行</w:t>
      </w:r>
      <w:r>
        <w:rPr>
          <w:rStyle w:val="18"/>
          <w:rFonts w:hint="eastAsia" w:ascii="仿宋" w:hAnsi="仿宋" w:eastAsia="仿宋" w:cstheme="minorBidi"/>
          <w:bCs/>
          <w:color w:val="auto"/>
          <w:sz w:val="32"/>
          <w:szCs w:val="32"/>
          <w:highlight w:val="none"/>
        </w:rPr>
        <w:t>（项）</w:t>
      </w:r>
      <w:r>
        <w:rPr>
          <w:rStyle w:val="18"/>
          <w:rFonts w:ascii="仿宋" w:hAnsi="仿宋" w:eastAsia="仿宋" w:cstheme="minorBidi"/>
          <w:bCs/>
          <w:color w:val="auto"/>
          <w:sz w:val="32"/>
          <w:szCs w:val="32"/>
          <w:highlight w:val="none"/>
        </w:rPr>
        <w:t>:</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9.26</w:t>
      </w:r>
      <w:r>
        <w:rPr>
          <w:rStyle w:val="18"/>
          <w:rFonts w:hint="eastAsia" w:ascii="仿宋" w:hAnsi="仿宋" w:eastAsia="仿宋"/>
          <w:b w:val="0"/>
          <w:bCs/>
          <w:color w:val="000000"/>
          <w:sz w:val="32"/>
          <w:szCs w:val="32"/>
        </w:rPr>
        <w:t>万元，完成调整预算100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，决算数等于调整预算数；</w:t>
      </w:r>
      <w:r>
        <w:rPr>
          <w:rStyle w:val="18"/>
          <w:rFonts w:hint="eastAsia" w:ascii="仿宋" w:hAnsi="仿宋" w:eastAsia="仿宋" w:cstheme="minorBidi"/>
          <w:bCs/>
          <w:color w:val="auto"/>
          <w:sz w:val="32"/>
          <w:szCs w:val="32"/>
          <w:highlight w:val="none"/>
          <w:lang w:val="en-US" w:eastAsia="zh-CN"/>
        </w:rPr>
        <w:t>行政事业单位医疗</w:t>
      </w:r>
      <w:r>
        <w:rPr>
          <w:rStyle w:val="18"/>
          <w:rFonts w:hint="eastAsia" w:ascii="仿宋" w:hAnsi="仿宋" w:eastAsia="仿宋" w:cstheme="minorBidi"/>
          <w:bCs/>
          <w:color w:val="auto"/>
          <w:sz w:val="32"/>
          <w:szCs w:val="32"/>
          <w:highlight w:val="none"/>
        </w:rPr>
        <w:t xml:space="preserve">（款） </w:t>
      </w:r>
      <w:r>
        <w:rPr>
          <w:rStyle w:val="18"/>
          <w:rFonts w:hint="eastAsia" w:ascii="仿宋" w:hAnsi="仿宋" w:eastAsia="仿宋"/>
          <w:bCs/>
          <w:color w:val="000000"/>
          <w:sz w:val="32"/>
          <w:szCs w:val="32"/>
          <w:lang w:val="en-US" w:eastAsia="zh-CN"/>
        </w:rPr>
        <w:t>行政</w:t>
      </w:r>
      <w:r>
        <w:rPr>
          <w:rStyle w:val="18"/>
          <w:rFonts w:hint="eastAsia" w:ascii="仿宋" w:hAnsi="仿宋" w:eastAsia="仿宋"/>
          <w:bCs/>
          <w:color w:val="000000"/>
          <w:sz w:val="32"/>
          <w:szCs w:val="32"/>
        </w:rPr>
        <w:t>单位医疗（项）</w:t>
      </w:r>
      <w:r>
        <w:rPr>
          <w:rStyle w:val="18"/>
          <w:rFonts w:hint="eastAsia" w:ascii="仿宋" w:hAnsi="仿宋" w:eastAsia="仿宋"/>
          <w:b w:val="0"/>
          <w:bCs/>
          <w:color w:val="000000"/>
          <w:sz w:val="32"/>
          <w:szCs w:val="32"/>
        </w:rPr>
        <w:t>：支出决算为</w:t>
      </w:r>
      <w:r>
        <w:rPr>
          <w:rFonts w:hint="eastAsia" w:ascii="仿宋" w:hAnsi="仿宋" w:eastAsia="仿宋"/>
          <w:color w:val="000000"/>
          <w:sz w:val="32"/>
          <w:szCs w:val="32"/>
          <w:lang w:val="en-US" w:eastAsia="zh-CN"/>
        </w:rPr>
        <w:t>0.73</w:t>
      </w:r>
      <w:r>
        <w:rPr>
          <w:rStyle w:val="18"/>
          <w:rFonts w:hint="eastAsia" w:ascii="仿宋" w:hAnsi="仿宋" w:eastAsia="仿宋"/>
          <w:b w:val="0"/>
          <w:bCs/>
          <w:color w:val="000000"/>
          <w:sz w:val="32"/>
          <w:szCs w:val="32"/>
        </w:rPr>
        <w:t>万元，完成调整预算100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，决算数等于调整预算数</w:t>
      </w:r>
      <w:r>
        <w:rPr>
          <w:rStyle w:val="18"/>
          <w:rFonts w:hint="eastAsia" w:ascii="仿宋" w:hAnsi="仿宋" w:eastAsia="仿宋"/>
          <w:b w:val="0"/>
          <w:bCs/>
          <w:color w:val="000000"/>
          <w:sz w:val="32"/>
          <w:szCs w:val="32"/>
          <w:lang w:eastAsia="zh-CN"/>
        </w:rPr>
        <w:t>；</w:t>
      </w:r>
      <w:r>
        <w:rPr>
          <w:rStyle w:val="18"/>
          <w:rFonts w:hint="eastAsia" w:ascii="仿宋" w:hAnsi="仿宋" w:eastAsia="仿宋"/>
          <w:bCs/>
          <w:color w:val="000000"/>
          <w:sz w:val="32"/>
          <w:szCs w:val="32"/>
        </w:rPr>
        <w:t>公务员医疗补助（项）：</w:t>
      </w:r>
      <w:r>
        <w:rPr>
          <w:rStyle w:val="18"/>
          <w:rFonts w:hint="eastAsia" w:ascii="仿宋" w:hAnsi="仿宋" w:eastAsia="仿宋"/>
          <w:b w:val="0"/>
          <w:bCs/>
          <w:color w:val="000000"/>
          <w:sz w:val="32"/>
          <w:szCs w:val="32"/>
        </w:rPr>
        <w:t>支出决算为</w:t>
      </w:r>
      <w:r>
        <w:rPr>
          <w:rFonts w:hint="eastAsia" w:ascii="仿宋" w:hAnsi="仿宋" w:eastAsia="仿宋"/>
          <w:color w:val="000000"/>
          <w:sz w:val="32"/>
          <w:szCs w:val="32"/>
          <w:lang w:val="en-US" w:eastAsia="zh-CN"/>
        </w:rPr>
        <w:t>0.08</w:t>
      </w:r>
      <w:r>
        <w:rPr>
          <w:rStyle w:val="18"/>
          <w:rFonts w:hint="eastAsia" w:ascii="仿宋" w:hAnsi="仿宋" w:eastAsia="仿宋"/>
          <w:b w:val="0"/>
          <w:bCs/>
          <w:color w:val="000000"/>
          <w:sz w:val="32"/>
          <w:szCs w:val="32"/>
        </w:rPr>
        <w:t>万元，完成调整预算100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，决算数等于调整预算数。</w:t>
      </w:r>
      <w:r>
        <w:rPr>
          <w:rStyle w:val="18"/>
          <w:rFonts w:hint="eastAsia" w:ascii="仿宋" w:hAnsi="仿宋" w:eastAsia="仿宋"/>
          <w:b w:val="0"/>
          <w:bCs/>
          <w:color w:val="auto"/>
          <w:sz w:val="32"/>
          <w:szCs w:val="32"/>
          <w:highlight w:val="none"/>
        </w:rPr>
        <w:t>主要原因是</w:t>
      </w:r>
      <w:r>
        <w:rPr>
          <w:rFonts w:hint="eastAsia" w:ascii="仿宋" w:hAnsi="仿宋" w:eastAsia="仿宋"/>
          <w:color w:val="auto"/>
          <w:sz w:val="32"/>
          <w:szCs w:val="32"/>
          <w:highlight w:val="none"/>
          <w:lang w:val="en-US" w:eastAsia="zh-CN"/>
        </w:rPr>
        <w:t>仁和区红十字会为新成立独立核算群团组织，2022年未编制财政预算</w:t>
      </w:r>
      <w:r>
        <w:rPr>
          <w:rFonts w:ascii="Times New Roman" w:hAnsi="Times New Roman" w:eastAsia="仿宋_GB2312" w:cs="Times New Roman"/>
          <w:color w:val="auto"/>
          <w:kern w:val="2"/>
          <w:sz w:val="32"/>
          <w:szCs w:val="32"/>
          <w:lang w:val="en-US" w:eastAsia="zh-CN" w:bidi="ar-SA"/>
        </w:rPr>
        <w:t>。</w:t>
      </w:r>
    </w:p>
    <w:p>
      <w:pPr>
        <w:spacing w:line="600" w:lineRule="exact"/>
        <w:ind w:firstLine="643" w:firstLineChars="200"/>
        <w:rPr>
          <w:rStyle w:val="18"/>
          <w:rFonts w:hint="eastAsia" w:ascii="仿宋" w:hAnsi="仿宋" w:eastAsia="仿宋"/>
          <w:b w:val="0"/>
          <w:bCs/>
          <w:color w:val="000000"/>
          <w:sz w:val="32"/>
          <w:szCs w:val="32"/>
        </w:rPr>
      </w:pPr>
      <w:r>
        <w:rPr>
          <w:rStyle w:val="18"/>
          <w:rFonts w:hint="eastAsia" w:ascii="仿宋" w:hAnsi="仿宋" w:eastAsia="仿宋"/>
          <w:color w:val="000000"/>
          <w:sz w:val="32"/>
          <w:szCs w:val="32"/>
          <w:lang w:val="en-US" w:eastAsia="zh-CN"/>
        </w:rPr>
        <w:t>3</w:t>
      </w:r>
      <w:r>
        <w:rPr>
          <w:rStyle w:val="18"/>
          <w:rFonts w:ascii="仿宋" w:hAnsi="仿宋" w:eastAsia="仿宋"/>
          <w:color w:val="000000"/>
          <w:sz w:val="32"/>
          <w:szCs w:val="32"/>
        </w:rPr>
        <w:t>.</w:t>
      </w:r>
      <w:r>
        <w:rPr>
          <w:rFonts w:hint="eastAsia" w:ascii="仿宋" w:hAnsi="仿宋" w:eastAsia="仿宋"/>
          <w:b/>
          <w:bCs/>
          <w:color w:val="000000"/>
          <w:sz w:val="32"/>
          <w:szCs w:val="32"/>
        </w:rPr>
        <w:t>住房保障支出（类）住房改革支出（款）住房公积金（项）</w:t>
      </w:r>
      <w:r>
        <w:rPr>
          <w:rStyle w:val="18"/>
          <w:rFonts w:ascii="仿宋" w:hAnsi="仿宋" w:eastAsia="仿宋"/>
          <w:bCs/>
          <w:color w:val="000000"/>
          <w:sz w:val="32"/>
          <w:szCs w:val="32"/>
        </w:rPr>
        <w:t>:</w:t>
      </w:r>
      <w:r>
        <w:rPr>
          <w:rStyle w:val="18"/>
          <w:rFonts w:hint="eastAsia" w:ascii="仿宋" w:hAnsi="仿宋" w:eastAsia="仿宋"/>
          <w:b w:val="0"/>
          <w:bCs/>
          <w:color w:val="000000"/>
          <w:sz w:val="32"/>
          <w:szCs w:val="32"/>
        </w:rPr>
        <w:t>支出决算为</w:t>
      </w:r>
      <w:r>
        <w:rPr>
          <w:rFonts w:hint="eastAsia" w:ascii="仿宋" w:hAnsi="仿宋" w:eastAsia="仿宋"/>
          <w:color w:val="000000"/>
          <w:sz w:val="32"/>
          <w:szCs w:val="32"/>
          <w:lang w:val="en-US" w:eastAsia="zh-CN"/>
        </w:rPr>
        <w:t>0.54</w:t>
      </w:r>
      <w:r>
        <w:rPr>
          <w:rStyle w:val="18"/>
          <w:rFonts w:hint="eastAsia" w:ascii="仿宋" w:hAnsi="仿宋" w:eastAsia="仿宋"/>
          <w:b w:val="0"/>
          <w:bCs/>
          <w:color w:val="000000"/>
          <w:sz w:val="32"/>
          <w:szCs w:val="32"/>
        </w:rPr>
        <w:t>万元，完成调整预算100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，决算数等于调整预算数。</w:t>
      </w:r>
      <w:r>
        <w:rPr>
          <w:rStyle w:val="18"/>
          <w:rFonts w:hint="eastAsia" w:ascii="仿宋" w:hAnsi="仿宋" w:eastAsia="仿宋"/>
          <w:b w:val="0"/>
          <w:bCs/>
          <w:color w:val="auto"/>
          <w:sz w:val="32"/>
          <w:szCs w:val="32"/>
          <w:highlight w:val="none"/>
        </w:rPr>
        <w:t>主要原因是</w:t>
      </w:r>
      <w:r>
        <w:rPr>
          <w:rFonts w:hint="eastAsia" w:ascii="仿宋" w:hAnsi="仿宋" w:eastAsia="仿宋"/>
          <w:color w:val="auto"/>
          <w:sz w:val="32"/>
          <w:szCs w:val="32"/>
          <w:highlight w:val="none"/>
          <w:lang w:val="en-US" w:eastAsia="zh-CN"/>
        </w:rPr>
        <w:t>仁和区红十字会为新成立独立核算群团组织，2022年未编制财政预算</w:t>
      </w:r>
      <w:r>
        <w:rPr>
          <w:rFonts w:ascii="Times New Roman" w:hAnsi="Times New Roman" w:eastAsia="仿宋_GB2312" w:cs="Times New Roman"/>
          <w:color w:val="auto"/>
          <w:kern w:val="2"/>
          <w:sz w:val="32"/>
          <w:szCs w:val="32"/>
          <w:lang w:val="en-US" w:eastAsia="zh-CN" w:bidi="ar-SA"/>
        </w:rPr>
        <w:t>。</w:t>
      </w:r>
    </w:p>
    <w:p>
      <w:pPr>
        <w:spacing w:line="600" w:lineRule="exact"/>
        <w:rPr>
          <w:rFonts w:ascii="仿宋" w:hAnsi="仿宋" w:eastAsia="仿宋"/>
          <w:b/>
          <w:color w:val="auto"/>
          <w:sz w:val="32"/>
          <w:szCs w:val="32"/>
          <w:highlight w:val="none"/>
        </w:rPr>
      </w:pPr>
    </w:p>
    <w:p>
      <w:pPr>
        <w:tabs>
          <w:tab w:val="right" w:pos="8306"/>
        </w:tabs>
        <w:spacing w:line="600" w:lineRule="exact"/>
        <w:ind w:firstLine="640"/>
        <w:outlineLvl w:val="1"/>
        <w:rPr>
          <w:rStyle w:val="33"/>
          <w:color w:val="auto"/>
          <w:highlight w:val="none"/>
        </w:rPr>
      </w:pPr>
      <w:bookmarkStart w:id="34" w:name="_Toc15377214"/>
      <w:bookmarkStart w:id="35"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3"/>
          <w:rFonts w:hint="eastAsia" w:ascii="黑体" w:hAnsi="黑体" w:eastAsia="黑体"/>
          <w:b w:val="0"/>
          <w:color w:val="auto"/>
          <w:highlight w:val="none"/>
        </w:rPr>
        <w:t>般公共预算财政拨款基本支出决算情况说明</w:t>
      </w:r>
      <w:bookmarkEnd w:id="34"/>
      <w:bookmarkEnd w:id="35"/>
      <w:r>
        <w:rPr>
          <w:rStyle w:val="33"/>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11.11</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11.11</w:t>
      </w:r>
      <w:r>
        <w:rPr>
          <w:rFonts w:hint="eastAsia" w:ascii="仿宋" w:hAnsi="仿宋" w:eastAsia="仿宋"/>
          <w:color w:val="auto"/>
          <w:sz w:val="32"/>
          <w:szCs w:val="32"/>
          <w:highlight w:val="none"/>
        </w:rPr>
        <w:t>万元，主要包括：基本工资</w:t>
      </w:r>
      <w:r>
        <w:rPr>
          <w:rFonts w:hint="eastAsia" w:ascii="仿宋" w:hAnsi="仿宋" w:eastAsia="仿宋"/>
          <w:color w:val="auto"/>
          <w:sz w:val="32"/>
          <w:szCs w:val="32"/>
          <w:highlight w:val="none"/>
          <w:lang w:val="en-US" w:eastAsia="zh-CN"/>
        </w:rPr>
        <w:t>7.01万元</w:t>
      </w:r>
      <w:r>
        <w:rPr>
          <w:rFonts w:hint="eastAsia" w:ascii="仿宋" w:hAnsi="仿宋" w:eastAsia="仿宋"/>
          <w:color w:val="auto"/>
          <w:sz w:val="32"/>
          <w:szCs w:val="32"/>
          <w:highlight w:val="none"/>
        </w:rPr>
        <w:t>、津贴补贴</w:t>
      </w:r>
      <w:r>
        <w:rPr>
          <w:rFonts w:hint="eastAsia" w:ascii="仿宋" w:hAnsi="仿宋" w:eastAsia="仿宋"/>
          <w:color w:val="auto"/>
          <w:sz w:val="32"/>
          <w:szCs w:val="32"/>
          <w:highlight w:val="none"/>
          <w:lang w:val="en-US" w:eastAsia="zh-CN"/>
        </w:rPr>
        <w:t>2.24万元</w:t>
      </w:r>
      <w:r>
        <w:rPr>
          <w:rFonts w:hint="eastAsia" w:ascii="仿宋" w:hAnsi="仿宋" w:eastAsia="仿宋"/>
          <w:color w:val="auto"/>
          <w:sz w:val="32"/>
          <w:szCs w:val="32"/>
          <w:highlight w:val="none"/>
        </w:rPr>
        <w:t>、机关事业单位基本养老保险缴费</w:t>
      </w:r>
      <w:r>
        <w:rPr>
          <w:rFonts w:hint="eastAsia" w:ascii="仿宋" w:hAnsi="仿宋" w:eastAsia="仿宋"/>
          <w:color w:val="auto"/>
          <w:sz w:val="32"/>
          <w:szCs w:val="32"/>
          <w:highlight w:val="none"/>
          <w:lang w:val="en-US" w:eastAsia="zh-CN"/>
        </w:rPr>
        <w:t>0.50万元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职工基本医疗保险缴费0.73万元、公务员医疗补助缴费0.08万元</w:t>
      </w:r>
      <w:r>
        <w:rPr>
          <w:rFonts w:hint="eastAsia" w:ascii="仿宋" w:hAnsi="仿宋" w:eastAsia="仿宋"/>
          <w:color w:val="auto"/>
          <w:sz w:val="32"/>
          <w:szCs w:val="32"/>
          <w:highlight w:val="none"/>
        </w:rPr>
        <w:t>、住房公积金</w:t>
      </w:r>
      <w:r>
        <w:rPr>
          <w:rFonts w:hint="eastAsia" w:ascii="仿宋" w:hAnsi="仿宋" w:eastAsia="仿宋"/>
          <w:color w:val="auto"/>
          <w:sz w:val="32"/>
          <w:szCs w:val="32"/>
          <w:highlight w:val="none"/>
          <w:lang w:val="en-US" w:eastAsia="zh-CN"/>
        </w:rPr>
        <w:t>0.54万元</w:t>
      </w:r>
      <w:r>
        <w:rPr>
          <w:rFonts w:hint="eastAsia" w:ascii="仿宋" w:hAnsi="仿宋" w:eastAsia="仿宋"/>
          <w:color w:val="auto"/>
          <w:sz w:val="32"/>
          <w:szCs w:val="32"/>
          <w:highlight w:val="none"/>
        </w:rPr>
        <w:t>。</w:t>
      </w:r>
    </w:p>
    <w:p>
      <w:pPr>
        <w:spacing w:line="600" w:lineRule="exact"/>
        <w:ind w:firstLine="640"/>
        <w:rPr>
          <w:rFonts w:ascii="仿宋" w:hAnsi="仿宋" w:eastAsia="仿宋"/>
          <w:b/>
          <w:color w:val="auto"/>
          <w:sz w:val="32"/>
          <w:szCs w:val="32"/>
          <w:highlight w:val="none"/>
        </w:rPr>
      </w:pPr>
    </w:p>
    <w:p>
      <w:pPr>
        <w:spacing w:line="600" w:lineRule="exact"/>
        <w:ind w:firstLine="640"/>
        <w:outlineLvl w:val="1"/>
        <w:rPr>
          <w:rStyle w:val="33"/>
          <w:rFonts w:ascii="黑体" w:hAnsi="黑体" w:eastAsia="黑体"/>
          <w:b w:val="0"/>
          <w:color w:val="auto"/>
          <w:highlight w:val="none"/>
        </w:rPr>
      </w:pPr>
      <w:bookmarkStart w:id="36" w:name="_Toc15377215"/>
      <w:bookmarkStart w:id="37" w:name="_Toc15396609"/>
      <w:r>
        <w:rPr>
          <w:rFonts w:hint="eastAsia" w:ascii="黑体" w:eastAsia="黑体"/>
          <w:color w:val="auto"/>
          <w:sz w:val="32"/>
          <w:szCs w:val="32"/>
          <w:highlight w:val="none"/>
        </w:rPr>
        <w:t>七、</w:t>
      </w:r>
      <w:r>
        <w:rPr>
          <w:rStyle w:val="33"/>
          <w:rFonts w:hint="eastAsia" w:ascii="黑体" w:hAnsi="黑体" w:eastAsia="黑体"/>
          <w:b w:val="0"/>
          <w:color w:val="auto"/>
          <w:highlight w:val="none"/>
        </w:rPr>
        <w:t>财政拨款</w:t>
      </w:r>
      <w:r>
        <w:rPr>
          <w:rStyle w:val="33"/>
          <w:rFonts w:hint="eastAsia" w:ascii="黑体" w:hAnsi="黑体" w:eastAsia="黑体"/>
          <w:color w:val="auto"/>
          <w:highlight w:val="none"/>
        </w:rPr>
        <w:t>“</w:t>
      </w:r>
      <w:r>
        <w:rPr>
          <w:rStyle w:val="33"/>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减少0万元，下降0%。</w:t>
      </w:r>
      <w:r>
        <w:rPr>
          <w:rFonts w:hint="eastAsia" w:ascii="仿宋" w:hAnsi="仿宋" w:eastAsia="仿宋"/>
          <w:color w:val="auto"/>
          <w:sz w:val="32"/>
          <w:szCs w:val="32"/>
          <w:highlight w:val="none"/>
        </w:rPr>
        <w:t>决算数与预算数持平的主要原因是</w:t>
      </w:r>
      <w:r>
        <w:rPr>
          <w:rFonts w:hint="eastAsia" w:ascii="仿宋" w:hAnsi="仿宋" w:eastAsia="仿宋"/>
          <w:color w:val="auto"/>
          <w:sz w:val="32"/>
          <w:szCs w:val="32"/>
          <w:highlight w:val="none"/>
          <w:lang w:val="en-US" w:eastAsia="zh-CN"/>
        </w:rPr>
        <w:t>仁和区红十字会为新成立独立核算群团组织，2022年未编制财政预算</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4384" behindDoc="1" locked="0" layoutInCell="1" allowOverlap="1">
            <wp:simplePos x="0" y="0"/>
            <wp:positionH relativeFrom="column">
              <wp:posOffset>433070</wp:posOffset>
            </wp:positionH>
            <wp:positionV relativeFrom="page">
              <wp:posOffset>2648585</wp:posOffset>
            </wp:positionV>
            <wp:extent cx="4432935" cy="2581910"/>
            <wp:effectExtent l="4445" t="4445" r="20320" b="23495"/>
            <wp:wrapTight wrapText="bothSides">
              <wp:wrapPolygon>
                <wp:start x="-22" y="-37"/>
                <wp:lineTo x="-22" y="21478"/>
                <wp:lineTo x="21513" y="21478"/>
                <wp:lineTo x="21513" y="-37"/>
                <wp:lineTo x="-22" y="-37"/>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1"/>
        <w:rPr>
          <w:rFonts w:hint="eastAsia" w:ascii="仿宋" w:hAnsi="仿宋" w:eastAsia="仿宋"/>
          <w:color w:val="auto"/>
          <w:sz w:val="32"/>
          <w:szCs w:val="32"/>
          <w:highlight w:val="none"/>
        </w:rPr>
      </w:pPr>
    </w:p>
    <w:p>
      <w:pPr>
        <w:pStyle w:val="22"/>
        <w:rPr>
          <w:rFonts w:hint="eastAsia" w:ascii="仿宋" w:hAnsi="仿宋" w:eastAsia="仿宋"/>
          <w:color w:val="auto"/>
          <w:sz w:val="32"/>
          <w:szCs w:val="32"/>
          <w:highlight w:val="none"/>
        </w:rPr>
      </w:pPr>
    </w:p>
    <w:p>
      <w:pPr>
        <w:rPr>
          <w:rFonts w:hint="eastAsia"/>
        </w:rPr>
      </w:pPr>
    </w:p>
    <w:p>
      <w:pPr>
        <w:spacing w:line="600" w:lineRule="exact"/>
        <w:ind w:firstLine="640"/>
      </w:pPr>
      <w:r>
        <w:rPr>
          <w:rFonts w:hint="eastAsia" w:ascii="仿宋" w:hAnsi="仿宋" w:eastAsia="仿宋"/>
          <w:color w:val="auto"/>
          <w:sz w:val="32"/>
          <w:szCs w:val="32"/>
          <w:highlight w:val="none"/>
        </w:rPr>
        <w:t>（图7：“三公”经费财政拨款支出结构）</w:t>
      </w:r>
    </w:p>
    <w:p>
      <w:pPr>
        <w:spacing w:line="600" w:lineRule="exact"/>
        <w:ind w:firstLine="640"/>
        <w:rPr>
          <w:rFonts w:hint="default" w:ascii="Times New Roman" w:hAnsi="Times New Roman" w:eastAsia="仿宋" w:cs="Times New Roman"/>
          <w:color w:val="auto"/>
          <w:sz w:val="32"/>
          <w:szCs w:val="32"/>
          <w:highlight w:val="none"/>
          <w:lang w:val="en-US" w:eastAsia="zh-CN"/>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default" w:ascii="Times New Roman" w:hAnsi="Times New Roman" w:eastAsia="仿宋" w:cs="Times New Roman"/>
          <w:color w:val="auto"/>
          <w:sz w:val="32"/>
          <w:szCs w:val="32"/>
          <w:highlight w:val="none"/>
          <w:lang w:val="en-US" w:eastAsia="zh-CN"/>
        </w:rPr>
        <w:t>0万元，完成预算0%。全年安排因公出国（境）团组0次，出国（境）0人。因公出国（境）支出决算比2021年减少0万元，下降0%。主要原因是仁和区红十字会为新成立独立核算群团组织，2022年未编制财政预算。</w:t>
      </w:r>
    </w:p>
    <w:p>
      <w:pPr>
        <w:spacing w:line="600" w:lineRule="exact"/>
        <w:ind w:firstLine="64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_GB2312" w:cs="Times New Roman"/>
          <w:b/>
          <w:color w:val="auto"/>
          <w:sz w:val="32"/>
          <w:szCs w:val="32"/>
          <w:highlight w:val="none"/>
        </w:rPr>
        <w:t>2.公务用车购置及运行维护费支出</w:t>
      </w:r>
      <w:r>
        <w:rPr>
          <w:rFonts w:hint="default" w:ascii="Times New Roman" w:hAnsi="Times New Roman" w:eastAsia="仿宋" w:cs="Times New Roman"/>
          <w:color w:val="auto"/>
          <w:sz w:val="32"/>
          <w:szCs w:val="32"/>
          <w:highlight w:val="none"/>
          <w:lang w:val="en-US" w:eastAsia="zh-CN"/>
        </w:rPr>
        <w:t>0万元,完成预算0%。公务用车购置及运行维护费支出决算比2021年减少0万元，下降0%。主要变动原因是仁和区红十字会为新成立独立核算群团组织，2022年未编制财政预算。</w:t>
      </w:r>
    </w:p>
    <w:p>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其中：</w:t>
      </w:r>
      <w:r>
        <w:rPr>
          <w:rFonts w:hint="default" w:ascii="Times New Roman" w:hAnsi="Times New Roman" w:eastAsia="仿宋_GB2312" w:cs="Times New Roman"/>
          <w:b/>
          <w:color w:val="auto"/>
          <w:sz w:val="32"/>
          <w:szCs w:val="32"/>
          <w:highlight w:val="none"/>
        </w:rPr>
        <w:t>公务用车购置支出</w:t>
      </w:r>
      <w:r>
        <w:rPr>
          <w:rFonts w:hint="default" w:ascii="Times New Roman" w:hAnsi="Times New Roman" w:eastAsia="仿宋" w:cs="Times New Roman"/>
          <w:color w:val="auto"/>
          <w:sz w:val="32"/>
          <w:szCs w:val="32"/>
          <w:highlight w:val="none"/>
          <w:lang w:val="en-US" w:eastAsia="zh-CN"/>
        </w:rPr>
        <w:t>0万元。全年按规定更新购置公务用车0辆，其中：轿车0辆、金额0万元，越野车0辆、金额0万元，载客汽车0辆、金额0万元。截至2022年12月底，单位共有公务用车0辆，其中：轿车0辆、越野车0辆、载客汽车0辆。</w:t>
      </w:r>
    </w:p>
    <w:p>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公务用车运行维护费支出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3.公务接待费支出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Style w:val="18"/>
          <w:rFonts w:hint="default" w:ascii="Times New Roman" w:hAnsi="Times New Roman" w:eastAsia="仿宋" w:cs="Times New Roman"/>
          <w:b w:val="0"/>
          <w:bCs/>
          <w:color w:val="auto"/>
          <w:sz w:val="32"/>
          <w:szCs w:val="32"/>
          <w:highlight w:val="none"/>
        </w:rPr>
        <w:t>完成预算</w:t>
      </w:r>
      <w:r>
        <w:rPr>
          <w:rStyle w:val="18"/>
          <w:rFonts w:hint="default" w:ascii="Times New Roman" w:hAnsi="Times New Roman" w:eastAsia="仿宋" w:cs="Times New Roman"/>
          <w:b w:val="0"/>
          <w:bCs/>
          <w:color w:val="auto"/>
          <w:sz w:val="32"/>
          <w:szCs w:val="32"/>
          <w:highlight w:val="none"/>
          <w:lang w:val="en-US" w:eastAsia="zh-CN"/>
        </w:rPr>
        <w:t>0</w:t>
      </w:r>
      <w:r>
        <w:rPr>
          <w:rStyle w:val="18"/>
          <w:rFonts w:hint="default" w:ascii="Times New Roman" w:hAnsi="Times New Roman" w:eastAsia="仿宋" w:cs="Times New Roman"/>
          <w:b w:val="0"/>
          <w:bCs/>
          <w:color w:val="auto"/>
          <w:sz w:val="32"/>
          <w:szCs w:val="32"/>
          <w:highlight w:val="none"/>
        </w:rPr>
        <w:t>%。公务接待费支出决算比20</w:t>
      </w:r>
      <w:r>
        <w:rPr>
          <w:rStyle w:val="18"/>
          <w:rFonts w:hint="default" w:ascii="Times New Roman" w:hAnsi="Times New Roman" w:eastAsia="仿宋" w:cs="Times New Roman"/>
          <w:b w:val="0"/>
          <w:bCs/>
          <w:color w:val="auto"/>
          <w:sz w:val="32"/>
          <w:szCs w:val="32"/>
          <w:highlight w:val="none"/>
          <w:lang w:val="en-US" w:eastAsia="zh-CN"/>
        </w:rPr>
        <w:t>21</w:t>
      </w:r>
      <w:r>
        <w:rPr>
          <w:rStyle w:val="18"/>
          <w:rFonts w:hint="default" w:ascii="Times New Roman" w:hAnsi="Times New Roman" w:eastAsia="仿宋" w:cs="Times New Roman"/>
          <w:b w:val="0"/>
          <w:bCs/>
          <w:color w:val="auto"/>
          <w:sz w:val="32"/>
          <w:szCs w:val="32"/>
          <w:highlight w:val="none"/>
        </w:rPr>
        <w:t>年减少</w:t>
      </w:r>
      <w:r>
        <w:rPr>
          <w:rStyle w:val="18"/>
          <w:rFonts w:hint="default" w:ascii="Times New Roman" w:hAnsi="Times New Roman" w:eastAsia="仿宋" w:cs="Times New Roman"/>
          <w:b w:val="0"/>
          <w:bCs/>
          <w:color w:val="auto"/>
          <w:sz w:val="32"/>
          <w:szCs w:val="32"/>
          <w:highlight w:val="none"/>
          <w:lang w:val="en-US" w:eastAsia="zh-CN"/>
        </w:rPr>
        <w:t>0</w:t>
      </w:r>
      <w:r>
        <w:rPr>
          <w:rStyle w:val="18"/>
          <w:rFonts w:hint="default" w:ascii="Times New Roman" w:hAnsi="Times New Roman" w:eastAsia="仿宋" w:cs="Times New Roman"/>
          <w:b w:val="0"/>
          <w:bCs/>
          <w:color w:val="auto"/>
          <w:sz w:val="32"/>
          <w:szCs w:val="32"/>
          <w:highlight w:val="none"/>
        </w:rPr>
        <w:t>万元，下降</w:t>
      </w:r>
      <w:r>
        <w:rPr>
          <w:rStyle w:val="18"/>
          <w:rFonts w:hint="default" w:ascii="Times New Roman" w:hAnsi="Times New Roman" w:eastAsia="仿宋" w:cs="Times New Roman"/>
          <w:b w:val="0"/>
          <w:bCs/>
          <w:color w:val="auto"/>
          <w:sz w:val="32"/>
          <w:szCs w:val="32"/>
          <w:highlight w:val="none"/>
          <w:lang w:val="en-US" w:eastAsia="zh-CN"/>
        </w:rPr>
        <w:t>0</w:t>
      </w:r>
      <w:r>
        <w:rPr>
          <w:rStyle w:val="18"/>
          <w:rFonts w:hint="default" w:ascii="Times New Roman" w:hAnsi="Times New Roman" w:eastAsia="仿宋" w:cs="Times New Roman"/>
          <w:b w:val="0"/>
          <w:bCs/>
          <w:color w:val="auto"/>
          <w:sz w:val="32"/>
          <w:szCs w:val="32"/>
          <w:highlight w:val="none"/>
        </w:rPr>
        <w:t>%。主要变</w:t>
      </w:r>
      <w:r>
        <w:rPr>
          <w:rFonts w:hint="default" w:ascii="Times New Roman" w:hAnsi="Times New Roman" w:eastAsia="仿宋" w:cs="Times New Roman"/>
          <w:color w:val="auto"/>
          <w:sz w:val="32"/>
          <w:szCs w:val="32"/>
          <w:highlight w:val="none"/>
        </w:rPr>
        <w:t>动原因是</w:t>
      </w:r>
      <w:r>
        <w:rPr>
          <w:rFonts w:hint="default" w:ascii="Times New Roman" w:hAnsi="Times New Roman" w:eastAsia="仿宋" w:cs="Times New Roman"/>
          <w:color w:val="auto"/>
          <w:sz w:val="32"/>
          <w:szCs w:val="32"/>
          <w:highlight w:val="none"/>
          <w:lang w:val="en-US" w:eastAsia="zh-CN"/>
        </w:rPr>
        <w:t>仁和区红十字会为新成立独立核算群团组织，2022年未编制财政预算</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sz w:val="32"/>
          <w:szCs w:val="32"/>
          <w:highlight w:val="none"/>
        </w:rPr>
        <w:t>其中：</w:t>
      </w:r>
    </w:p>
    <w:p>
      <w:pPr>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b/>
          <w:color w:val="auto"/>
          <w:sz w:val="32"/>
          <w:szCs w:val="32"/>
          <w:highlight w:val="none"/>
        </w:rPr>
        <w:t>国内公务接待支出</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国内公务接待0批次，0人次（不包括陪同人员），共计支出0万元。</w:t>
      </w:r>
    </w:p>
    <w:p>
      <w:pPr>
        <w:spacing w:line="600" w:lineRule="exact"/>
        <w:ind w:firstLine="643"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b/>
          <w:color w:val="auto"/>
          <w:sz w:val="32"/>
          <w:szCs w:val="32"/>
          <w:highlight w:val="none"/>
        </w:rPr>
        <w:t>外事接待支出</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外事接待0批次，0人次（不包括陪同人员），共计支出0万元。</w:t>
      </w:r>
    </w:p>
    <w:p>
      <w:pPr>
        <w:spacing w:line="600" w:lineRule="exact"/>
        <w:ind w:firstLine="640"/>
        <w:outlineLvl w:val="1"/>
        <w:rPr>
          <w:rFonts w:hint="default" w:ascii="Times New Roman" w:hAnsi="Times New Roman" w:eastAsia="黑体" w:cs="Times New Roman"/>
          <w:color w:val="auto"/>
          <w:sz w:val="32"/>
          <w:szCs w:val="32"/>
          <w:highlight w:val="none"/>
        </w:rPr>
      </w:pPr>
      <w:bookmarkStart w:id="40" w:name="_Toc15396610"/>
      <w:bookmarkStart w:id="41" w:name="_Toc15377218"/>
    </w:p>
    <w:p>
      <w:pPr>
        <w:spacing w:line="600" w:lineRule="exact"/>
        <w:ind w:firstLine="640"/>
        <w:outlineLvl w:val="1"/>
        <w:rPr>
          <w:rStyle w:val="33"/>
          <w:rFonts w:hint="default" w:ascii="Times New Roman" w:hAnsi="Times New Roman" w:eastAsia="黑体" w:cs="Times New Roman"/>
          <w:color w:val="auto"/>
          <w:highlight w:val="none"/>
        </w:rPr>
      </w:pPr>
      <w:r>
        <w:rPr>
          <w:rFonts w:hint="default" w:ascii="Times New Roman" w:hAnsi="Times New Roman" w:eastAsia="黑体" w:cs="Times New Roman"/>
          <w:color w:val="auto"/>
          <w:sz w:val="32"/>
          <w:szCs w:val="32"/>
          <w:highlight w:val="none"/>
        </w:rPr>
        <w:t>八、</w:t>
      </w:r>
      <w:r>
        <w:rPr>
          <w:rStyle w:val="33"/>
          <w:rFonts w:hint="default" w:ascii="Times New Roman" w:hAnsi="Times New Roman" w:eastAsia="黑体" w:cs="Times New Roman"/>
          <w:b w:val="0"/>
          <w:color w:val="auto"/>
          <w:highlight w:val="none"/>
        </w:rPr>
        <w:t>政府性基金预算支出决算情况说明</w:t>
      </w:r>
      <w:bookmarkEnd w:id="40"/>
      <w:bookmarkEnd w:id="41"/>
    </w:p>
    <w:p>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2022年政府性基金预算财政拨款支出0万元。</w:t>
      </w:r>
    </w:p>
    <w:p>
      <w:pPr>
        <w:spacing w:line="600" w:lineRule="exact"/>
        <w:ind w:firstLine="640"/>
        <w:rPr>
          <w:rFonts w:hint="default" w:ascii="Times New Roman" w:hAnsi="Times New Roman" w:eastAsia="仿宋_GB2312" w:cs="Times New Roman"/>
          <w:color w:val="auto"/>
          <w:sz w:val="32"/>
          <w:szCs w:val="32"/>
          <w:highlight w:val="none"/>
        </w:rPr>
      </w:pPr>
    </w:p>
    <w:p>
      <w:pPr>
        <w:numPr>
          <w:ilvl w:val="0"/>
          <w:numId w:val="2"/>
        </w:numPr>
        <w:spacing w:line="600" w:lineRule="exact"/>
        <w:ind w:firstLine="640"/>
        <w:outlineLvl w:val="1"/>
        <w:rPr>
          <w:rStyle w:val="33"/>
          <w:rFonts w:hint="default" w:ascii="Times New Roman" w:hAnsi="Times New Roman" w:eastAsia="黑体" w:cs="Times New Roman"/>
          <w:b w:val="0"/>
          <w:color w:val="auto"/>
          <w:highlight w:val="none"/>
        </w:rPr>
      </w:pPr>
      <w:bookmarkStart w:id="42" w:name="_Toc15377219"/>
      <w:bookmarkStart w:id="43" w:name="_Toc15396611"/>
      <w:r>
        <w:rPr>
          <w:rStyle w:val="33"/>
          <w:rFonts w:hint="default" w:ascii="Times New Roman" w:hAnsi="Times New Roman" w:eastAsia="黑体" w:cs="Times New Roman"/>
          <w:b w:val="0"/>
          <w:color w:val="auto"/>
          <w:highlight w:val="none"/>
        </w:rPr>
        <w:t>国有资本经营预算支出决算情况说明</w:t>
      </w:r>
      <w:bookmarkEnd w:id="42"/>
      <w:bookmarkEnd w:id="43"/>
    </w:p>
    <w:p>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2022年国有资本经营预算财政拨款支出0万元。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2"/>
        </w:numPr>
        <w:spacing w:line="600" w:lineRule="exact"/>
        <w:ind w:firstLine="640"/>
        <w:outlineLvl w:val="1"/>
        <w:rPr>
          <w:rStyle w:val="33"/>
          <w:rFonts w:hint="eastAsia" w:ascii="黑体" w:hAnsi="黑体" w:eastAsia="黑体"/>
          <w:b w:val="0"/>
          <w:color w:val="auto"/>
          <w:highlight w:val="none"/>
        </w:rPr>
      </w:pPr>
      <w:bookmarkStart w:id="44" w:name="_Toc15396612"/>
      <w:bookmarkStart w:id="45" w:name="_Toc15377221"/>
      <w:r>
        <w:rPr>
          <w:rStyle w:val="33"/>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2022年，攀枝花市仁和区红十字会机关运行经费支出0万元，比2021年减少0万元，下降0%。主要原因是仁和区红十字会为新成立独立核算群团组织，2022年未编制财政预算。</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auto"/>
          <w:sz w:val="32"/>
          <w:szCs w:val="32"/>
          <w:highlight w:val="none"/>
        </w:rPr>
      </w:pPr>
      <w:bookmarkStart w:id="47" w:name="_Toc15377223"/>
      <w:r>
        <w:rPr>
          <w:rFonts w:hint="default" w:ascii="Times New Roman" w:hAnsi="Times New Roman" w:eastAsia="仿宋" w:cs="Times New Roman"/>
          <w:b/>
          <w:color w:val="auto"/>
          <w:sz w:val="32"/>
          <w:szCs w:val="32"/>
          <w:highlight w:val="none"/>
        </w:rPr>
        <w:t>（二）政府采购支出情况</w:t>
      </w:r>
      <w:bookmarkEnd w:id="47"/>
    </w:p>
    <w:p>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lang w:val="en-US" w:eastAsia="zh-CN"/>
        </w:rPr>
        <w:t>攀枝花市仁和区红十字会</w:t>
      </w:r>
      <w:r>
        <w:rPr>
          <w:rFonts w:hint="default" w:ascii="Times New Roman" w:hAnsi="Times New Roman" w:eastAsia="仿宋" w:cs="Times New Roman"/>
          <w:color w:val="auto"/>
          <w:sz w:val="32"/>
          <w:szCs w:val="32"/>
          <w:highlight w:val="none"/>
        </w:rPr>
        <w:t>政府采购支出总额</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auto"/>
          <w:sz w:val="32"/>
          <w:szCs w:val="32"/>
          <w:highlight w:val="none"/>
        </w:rPr>
      </w:pPr>
      <w:bookmarkStart w:id="48" w:name="_Toc15377224"/>
      <w:r>
        <w:rPr>
          <w:rFonts w:hint="default" w:ascii="Times New Roman" w:hAnsi="Times New Roman" w:eastAsia="仿宋" w:cs="Times New Roman"/>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sz w:val="32"/>
          <w:szCs w:val="32"/>
          <w:highlight w:val="none"/>
        </w:rPr>
        <w:t>截至20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年12月31日，</w:t>
      </w:r>
      <w:r>
        <w:rPr>
          <w:rFonts w:hint="default" w:ascii="Times New Roman" w:hAnsi="Times New Roman" w:eastAsia="仿宋" w:cs="Times New Roman"/>
          <w:color w:val="auto"/>
          <w:sz w:val="32"/>
          <w:szCs w:val="32"/>
          <w:highlight w:val="none"/>
          <w:lang w:val="en-US" w:eastAsia="zh-CN"/>
        </w:rPr>
        <w:t>攀枝花市仁和区红十字会</w:t>
      </w:r>
      <w:r>
        <w:rPr>
          <w:rFonts w:hint="default" w:ascii="Times New Roman" w:hAnsi="Times New Roman" w:eastAsia="仿宋" w:cs="Times New Roman"/>
          <w:color w:val="auto"/>
          <w:sz w:val="32"/>
          <w:szCs w:val="32"/>
          <w:highlight w:val="none"/>
        </w:rPr>
        <w:t>共有车辆</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辆，其中：主要领导干部用车</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辆、机要通信用车</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辆、应急保障用车</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辆、其他用车</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辆</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单价100万元以上专用设备</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台（套）。</w:t>
      </w:r>
    </w:p>
    <w:p>
      <w:pPr>
        <w:autoSpaceDE w:val="0"/>
        <w:autoSpaceDN w:val="0"/>
        <w:adjustRightInd w:val="0"/>
        <w:spacing w:line="600" w:lineRule="exact"/>
        <w:ind w:firstLine="643" w:firstLineChars="200"/>
        <w:jc w:val="left"/>
        <w:outlineLvl w:val="2"/>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（四）预算绩效管理情况</w:t>
      </w:r>
    </w:p>
    <w:p>
      <w:pPr>
        <w:autoSpaceDE w:val="0"/>
        <w:autoSpaceDN w:val="0"/>
        <w:adjustRightInd w:val="0"/>
        <w:spacing w:line="600" w:lineRule="exact"/>
        <w:ind w:firstLine="640" w:firstLineChars="200"/>
        <w:jc w:val="left"/>
        <w:rPr>
          <w:rFonts w:hint="eastAsia" w:ascii="Times New Roman" w:hAnsi="Times New Roman" w:eastAsia="仿宋" w:cs="Times New Roman"/>
          <w:color w:val="auto"/>
          <w:sz w:val="32"/>
          <w:szCs w:val="32"/>
          <w:highlight w:val="none"/>
          <w:lang w:eastAsia="zh-CN"/>
        </w:rPr>
      </w:pPr>
      <w:r>
        <w:rPr>
          <w:rFonts w:hint="eastAsia" w:ascii="Times New Roman" w:hAnsi="Times New Roman" w:eastAsia="仿宋" w:cs="Times New Roman"/>
          <w:color w:val="auto"/>
          <w:sz w:val="32"/>
          <w:szCs w:val="32"/>
          <w:highlight w:val="none"/>
          <w:lang w:val="en-US" w:eastAsia="zh-CN"/>
        </w:rPr>
        <w:t>攀枝花市仁和区红十字会为新成立独立核算群团组织，2022年未编制财政预算</w:t>
      </w:r>
      <w:r>
        <w:rPr>
          <w:rFonts w:hint="default" w:ascii="Times New Roman" w:hAnsi="Times New Roman" w:eastAsia="仿宋" w:cs="Times New Roman"/>
          <w:color w:val="auto"/>
          <w:sz w:val="32"/>
          <w:szCs w:val="32"/>
          <w:highlight w:val="none"/>
          <w:lang w:val="en-US" w:eastAsia="zh-CN"/>
        </w:rPr>
        <w:t>。</w:t>
      </w:r>
    </w:p>
    <w:p>
      <w:pPr>
        <w:autoSpaceDE w:val="0"/>
        <w:autoSpaceDN w:val="0"/>
        <w:adjustRightInd w:val="0"/>
        <w:spacing w:line="600" w:lineRule="exact"/>
        <w:ind w:firstLine="640" w:firstLineChars="200"/>
        <w:jc w:val="left"/>
        <w:rPr>
          <w:rFonts w:hint="eastAsia" w:ascii="Times New Roman" w:hAnsi="Times New Roman" w:eastAsia="仿宋" w:cs="Times New Roman"/>
          <w:color w:val="auto"/>
          <w:sz w:val="32"/>
          <w:szCs w:val="32"/>
          <w:highlight w:val="none"/>
        </w:rPr>
      </w:pPr>
    </w:p>
    <w:p>
      <w:pPr>
        <w:widowControl/>
        <w:ind w:firstLine="643" w:firstLineChars="200"/>
        <w:jc w:val="left"/>
        <w:rPr>
          <w:rFonts w:ascii="仿宋_GB2312" w:eastAsia="仿宋_GB2312"/>
          <w:b/>
          <w:color w:val="auto"/>
          <w:sz w:val="32"/>
          <w:szCs w:val="32"/>
          <w:highlight w:val="none"/>
        </w:rPr>
      </w:pPr>
    </w:p>
    <w:p>
      <w:pPr>
        <w:pStyle w:val="20"/>
        <w:rPr>
          <w:rFonts w:ascii="仿宋_GB2312" w:eastAsia="仿宋_GB2312"/>
          <w:b/>
          <w:color w:val="auto"/>
          <w:sz w:val="32"/>
          <w:szCs w:val="32"/>
          <w:highlight w:val="none"/>
        </w:rPr>
      </w:pPr>
    </w:p>
    <w:p>
      <w:pPr>
        <w:pStyle w:val="21"/>
        <w:rPr>
          <w:rFonts w:ascii="仿宋_GB2312" w:eastAsia="仿宋_GB2312"/>
          <w:b/>
          <w:color w:val="auto"/>
          <w:sz w:val="32"/>
          <w:szCs w:val="32"/>
          <w:highlight w:val="none"/>
        </w:rPr>
      </w:pPr>
    </w:p>
    <w:p>
      <w:pPr>
        <w:pStyle w:val="22"/>
        <w:rPr>
          <w:rFonts w:ascii="仿宋_GB2312" w:eastAsia="仿宋_GB2312"/>
          <w:b/>
          <w:color w:val="auto"/>
          <w:sz w:val="32"/>
          <w:szCs w:val="32"/>
          <w:highlight w:val="none"/>
        </w:rPr>
      </w:pPr>
    </w:p>
    <w:p>
      <w:pPr>
        <w:rPr>
          <w:rFonts w:ascii="仿宋_GB2312" w:eastAsia="仿宋_GB2312"/>
          <w:b/>
          <w:color w:val="auto"/>
          <w:sz w:val="32"/>
          <w:szCs w:val="32"/>
          <w:highlight w:val="none"/>
        </w:rPr>
      </w:pPr>
    </w:p>
    <w:p>
      <w:pPr>
        <w:pStyle w:val="20"/>
      </w:pPr>
    </w:p>
    <w:p>
      <w:pPr>
        <w:numPr>
          <w:ilvl w:val="0"/>
          <w:numId w:val="3"/>
        </w:numPr>
        <w:spacing w:line="600" w:lineRule="exact"/>
        <w:ind w:firstLine="660" w:firstLineChars="150"/>
        <w:jc w:val="center"/>
        <w:outlineLvl w:val="0"/>
        <w:rPr>
          <w:rStyle w:val="32"/>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32"/>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30"/>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1.财政拨款收入：指单位从同级财政部门取得的财政预算资金。</w:t>
      </w:r>
    </w:p>
    <w:p>
      <w:pPr>
        <w:pStyle w:val="30"/>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2.事业收入：指事业单位开展专业业务活动及辅助活动取得的收入。</w:t>
      </w:r>
    </w:p>
    <w:p>
      <w:pPr>
        <w:pStyle w:val="30"/>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3.经营收入：指事业单位在专业业务活动及其辅助活动之外开展非独立核算经营活动取得的收入。</w:t>
      </w:r>
    </w:p>
    <w:p>
      <w:pPr>
        <w:pStyle w:val="30"/>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4.其他收入：指单位取得的除上述收入以外的各项收入。</w:t>
      </w:r>
    </w:p>
    <w:p>
      <w:pPr>
        <w:pStyle w:val="30"/>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5.使用非财政拨款结余：指事业单位使用以前年度积累的非财政拨款结余弥补当年收支差额的金额。 </w:t>
      </w:r>
    </w:p>
    <w:p>
      <w:pPr>
        <w:pStyle w:val="30"/>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6.年初结转和结余：指以前年度尚未完成、结转到本年按有关规定继续使用的资金。 </w:t>
      </w:r>
    </w:p>
    <w:p>
      <w:pPr>
        <w:pStyle w:val="30"/>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7.结余分配：指事业单位按照会计制度规定缴纳的所得税、提取的专用结余以及转入非财政拨款结余的金额等。</w:t>
      </w:r>
    </w:p>
    <w:p>
      <w:pPr>
        <w:pStyle w:val="30"/>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8.年末结转和结余：指单位按有关规定结转到下年或以后年度继续使用的资金。</w:t>
      </w:r>
    </w:p>
    <w:p>
      <w:pPr>
        <w:spacing w:line="576" w:lineRule="exact"/>
        <w:ind w:firstLine="640"/>
        <w:rPr>
          <w:rFonts w:hint="eastAsia" w:ascii="仿宋_GB2312" w:hAnsi="仿宋_GB2312" w:eastAsia="仿宋_GB2312"/>
          <w:color w:val="000000"/>
          <w:sz w:val="32"/>
          <w:szCs w:val="24"/>
        </w:rPr>
      </w:pPr>
      <w:r>
        <w:rPr>
          <w:rFonts w:hint="eastAsia" w:ascii="仿宋_GB2312" w:eastAsia="仿宋_GB2312"/>
          <w:color w:val="auto"/>
          <w:sz w:val="32"/>
          <w:szCs w:val="32"/>
          <w:highlight w:val="none"/>
          <w:lang w:val="en-US" w:eastAsia="zh-CN"/>
        </w:rPr>
        <w:t>9.</w:t>
      </w:r>
      <w:r>
        <w:rPr>
          <w:rFonts w:hint="eastAsia" w:ascii="仿宋_GB2312" w:hAnsi="仿宋_GB2312" w:eastAsia="仿宋_GB2312"/>
          <w:color w:val="000000"/>
          <w:sz w:val="32"/>
          <w:szCs w:val="24"/>
        </w:rPr>
        <w:t>社会保障和就业（类）208（款）05（项）05机关事业单位基本养老保险缴费支出：反映机关事业单位实施养老保险制度由单位缴纳的基本养老保险费支出。</w:t>
      </w:r>
    </w:p>
    <w:p>
      <w:pPr>
        <w:pStyle w:val="30"/>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10.卫生健康（类）210（款）01（项）01行政运行：指行政单位的基本支出。</w:t>
      </w:r>
    </w:p>
    <w:p>
      <w:pPr>
        <w:spacing w:line="576" w:lineRule="exact"/>
        <w:ind w:firstLine="640"/>
        <w:rPr>
          <w:rFonts w:hint="eastAsia" w:ascii="仿宋_GB2312" w:hAnsi="仿宋_GB2312" w:eastAsia="仿宋_GB2312"/>
          <w:color w:val="000000"/>
          <w:sz w:val="32"/>
          <w:szCs w:val="24"/>
        </w:rPr>
      </w:pPr>
      <w:r>
        <w:rPr>
          <w:rFonts w:hint="eastAsia" w:ascii="仿宋_GB2312" w:eastAsia="仿宋_GB2312"/>
          <w:color w:val="auto"/>
          <w:sz w:val="32"/>
          <w:szCs w:val="32"/>
          <w:highlight w:val="none"/>
          <w:lang w:val="en-US" w:eastAsia="zh-CN"/>
        </w:rPr>
        <w:t>11.</w:t>
      </w:r>
      <w:r>
        <w:rPr>
          <w:rFonts w:hint="eastAsia" w:ascii="仿宋_GB2312" w:hAnsi="仿宋_GB2312" w:eastAsia="仿宋_GB2312"/>
          <w:color w:val="000000"/>
          <w:sz w:val="32"/>
          <w:szCs w:val="24"/>
        </w:rPr>
        <w:t>卫生健康支出（类）210（款）11（项）01行政单位医疗：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576" w:lineRule="exact"/>
        <w:ind w:firstLine="640"/>
        <w:rPr>
          <w:rFonts w:hint="eastAsia" w:ascii="仿宋_GB2312" w:hAnsi="仿宋_GB2312" w:eastAsia="仿宋_GB2312"/>
          <w:color w:val="000000"/>
          <w:sz w:val="32"/>
          <w:szCs w:val="24"/>
        </w:rPr>
      </w:pPr>
      <w:r>
        <w:rPr>
          <w:rFonts w:hint="eastAsia" w:ascii="仿宋_GB2312" w:eastAsia="仿宋_GB2312"/>
          <w:color w:val="auto"/>
          <w:sz w:val="32"/>
          <w:szCs w:val="32"/>
          <w:highlight w:val="none"/>
          <w:lang w:val="en-US" w:eastAsia="zh-CN"/>
        </w:rPr>
        <w:t>12.</w:t>
      </w:r>
      <w:r>
        <w:rPr>
          <w:rFonts w:hint="eastAsia" w:ascii="仿宋_GB2312" w:hAnsi="仿宋_GB2312" w:eastAsia="仿宋_GB2312"/>
          <w:color w:val="000000"/>
          <w:sz w:val="32"/>
          <w:szCs w:val="24"/>
        </w:rPr>
        <w:t>卫生健康支出（类）210（款）11（项）03公务员医疗补助：反映财政部门安排的公务员医疗补助费。</w:t>
      </w:r>
    </w:p>
    <w:p>
      <w:pPr>
        <w:pStyle w:val="30"/>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13.</w:t>
      </w:r>
      <w:r>
        <w:rPr>
          <w:rFonts w:hint="eastAsia" w:ascii="仿宋_GB2312" w:hAnsi="仿宋_GB2312" w:eastAsia="仿宋_GB2312"/>
          <w:color w:val="000000"/>
          <w:sz w:val="32"/>
          <w:szCs w:val="24"/>
        </w:rPr>
        <w:t>住房保障支出（类）221（款）02（项）01住房公积金：指反映行政事业单位按人力资源和社会保障部、财政部规定的基本工资和津贴补贴以及规定比例为职工缴纳的住房公积金。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30"/>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0"/>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32"/>
          <w:rFonts w:hint="eastAsia" w:ascii="黑体" w:hAnsi="黑体" w:eastAsia="黑体"/>
          <w:b w:val="0"/>
          <w:color w:val="auto"/>
          <w:highlight w:val="none"/>
          <w:lang w:eastAsia="zh-CN"/>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32"/>
          <w:rFonts w:hint="eastAsia" w:ascii="黑体" w:hAnsi="黑体" w:eastAsia="黑体"/>
          <w:b w:val="0"/>
          <w:color w:val="auto"/>
          <w:highlight w:val="none"/>
        </w:rPr>
        <w:t>四部分 附件</w:t>
      </w:r>
      <w:bookmarkEnd w:id="52"/>
    </w:p>
    <w:p>
      <w:pPr>
        <w:topLinePunct/>
        <w:autoSpaceDE/>
        <w:autoSpaceDN/>
        <w:adjustRightInd/>
        <w:spacing w:line="240" w:lineRule="atLeast"/>
        <w:jc w:val="center"/>
        <w:rPr>
          <w:rFonts w:hint="eastAsia" w:ascii="方正小标宋简体" w:hAnsi="方正小标宋简体" w:eastAsia="方正小标宋简体" w:cs="方正小标宋简体"/>
          <w:sz w:val="36"/>
          <w:szCs w:val="36"/>
        </w:rPr>
      </w:pPr>
    </w:p>
    <w:p>
      <w:pPr>
        <w:topLinePunct/>
        <w:autoSpaceDE/>
        <w:autoSpaceDN/>
        <w:adjustRightInd/>
        <w:spacing w:line="240" w:lineRule="atLeas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攀枝花市仁和区</w:t>
      </w:r>
      <w:r>
        <w:rPr>
          <w:rFonts w:hint="eastAsia" w:ascii="方正小标宋简体" w:hAnsi="方正小标宋简体" w:eastAsia="方正小标宋简体" w:cs="方正小标宋简体"/>
          <w:sz w:val="36"/>
          <w:szCs w:val="36"/>
          <w:lang w:val="en-US" w:eastAsia="zh-CN"/>
        </w:rPr>
        <w:t>红十字会</w:t>
      </w:r>
    </w:p>
    <w:p>
      <w:pPr>
        <w:topLinePunct/>
        <w:autoSpaceDE/>
        <w:autoSpaceDN/>
        <w:adjustRightInd/>
        <w:spacing w:line="240" w:lineRule="atLeas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6"/>
          <w:szCs w:val="36"/>
        </w:rPr>
        <w:t>2022年部门预算整体绩效自评报告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lang w:val="zh-CN"/>
        </w:rPr>
        <w:t>部门（单位）基本情况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（一）机构组成。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 w:cs="Times New Roman"/>
          <w:color w:val="auto"/>
          <w:sz w:val="32"/>
          <w:szCs w:val="32"/>
          <w:highlight w:val="none"/>
          <w:shd w:val="clear" w:color="auto" w:fill="FFFFFF"/>
          <w:lang w:val="zh-CN"/>
        </w:rPr>
      </w:pPr>
      <w:r>
        <w:rPr>
          <w:rFonts w:hint="default" w:ascii="Times New Roman" w:hAnsi="Times New Roman" w:eastAsia="仿宋" w:cs="Times New Roman"/>
          <w:color w:val="auto"/>
          <w:sz w:val="32"/>
          <w:szCs w:val="32"/>
          <w:highlight w:val="none"/>
          <w:shd w:val="clear" w:color="auto" w:fill="FFFFFF"/>
          <w:lang w:val="en-US" w:eastAsia="zh-CN"/>
        </w:rPr>
        <w:t>攀枝花市仁和</w:t>
      </w:r>
      <w:r>
        <w:rPr>
          <w:rFonts w:hint="default" w:ascii="Times New Roman" w:hAnsi="Times New Roman" w:eastAsia="仿宋" w:cs="Times New Roman"/>
          <w:color w:val="auto"/>
          <w:sz w:val="32"/>
          <w:szCs w:val="32"/>
          <w:highlight w:val="none"/>
          <w:shd w:val="clear" w:color="auto" w:fill="FFFFFF"/>
        </w:rPr>
        <w:t>区红十字会机关不设内设机构。</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（二）机构职能和人员概况。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 w:cs="Times New Roman"/>
          <w:b/>
          <w:bCs/>
          <w:color w:val="auto"/>
          <w:kern w:val="0"/>
          <w:sz w:val="32"/>
          <w:szCs w:val="32"/>
          <w:highlight w:val="none"/>
          <w:shd w:val="clear" w:color="auto" w:fill="FFFFFF"/>
          <w:lang w:val="zh-CN"/>
        </w:rPr>
      </w:pPr>
      <w:r>
        <w:rPr>
          <w:rFonts w:hint="default" w:ascii="Times New Roman" w:hAnsi="Times New Roman" w:eastAsia="仿宋" w:cs="Times New Roman"/>
          <w:color w:val="auto"/>
          <w:sz w:val="32"/>
          <w:szCs w:val="32"/>
          <w:highlight w:val="none"/>
          <w:shd w:val="clear" w:color="auto" w:fill="FFFFFF"/>
          <w:lang w:val="en-US" w:eastAsia="zh-CN"/>
        </w:rPr>
        <w:t>1.机构职能：</w:t>
      </w:r>
      <w:r>
        <w:rPr>
          <w:rFonts w:hint="default" w:ascii="Times New Roman" w:hAnsi="Times New Roman" w:eastAsia="仿宋" w:cs="Times New Roman"/>
          <w:color w:val="auto"/>
          <w:sz w:val="32"/>
          <w:szCs w:val="32"/>
          <w:highlight w:val="none"/>
          <w:shd w:val="clear" w:color="auto" w:fill="FFFFFF"/>
        </w:rPr>
        <w:t>传播国际红十字会运动知识和国际人道主义法，宣传、执行《中华人民共和国红十字会法》和《四川省实 施〈中华人民共和国红十字</w:t>
      </w:r>
      <w:r>
        <w:rPr>
          <w:rFonts w:hint="eastAsia" w:eastAsia="仿宋" w:cs="Times New Roman"/>
          <w:color w:val="auto"/>
          <w:sz w:val="32"/>
          <w:szCs w:val="32"/>
          <w:highlight w:val="none"/>
          <w:shd w:val="clear" w:color="auto" w:fill="FFFFFF"/>
          <w:lang w:eastAsia="zh-CN"/>
        </w:rPr>
        <w:t>会</w:t>
      </w:r>
      <w:bookmarkStart w:id="67" w:name="_GoBack"/>
      <w:bookmarkEnd w:id="67"/>
      <w:r>
        <w:rPr>
          <w:rFonts w:hint="default" w:ascii="Times New Roman" w:hAnsi="Times New Roman" w:eastAsia="仿宋" w:cs="Times New Roman"/>
          <w:color w:val="auto"/>
          <w:sz w:val="32"/>
          <w:szCs w:val="32"/>
          <w:highlight w:val="none"/>
          <w:shd w:val="clear" w:color="auto" w:fill="FFFFFF"/>
        </w:rPr>
        <w:t>法〉办法》等法律、法规。遵 循《中国红十字会章程》，依法建会、治会、兴会。开展救灾的准备工作，在自然灾害和突发事件中，对伤病人员和其他受害者进行救助。开展人道领域内的社会公益服务活动，普及卫生救护和防病知识，组织群众参加现场急救工作，推动无偿献血和非血缘关系骨髓移植工作。开展有益于青少年身心健康的红十字青少年活动。参与艾滋病防治、吸毒危害等宣传教育工作，提高公民自我防护意识和能力。与境内外红十字会和组织进行友好往来，开展人道领域的合作与交流，争取援助。参与国内外的人道主义救援工作。依法开展募捐活动，依照法律法规自主处理募捐款物。依照国际红十字和红新月运动的基本原则和日内瓦公约及其附加议定书的有关规定开展工作，完成省、市、区人民政府和红十字会委托的其他事务。完成区委、区政府交办的其它任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 w:cs="Times New Roman"/>
          <w:color w:val="auto"/>
          <w:sz w:val="32"/>
          <w:szCs w:val="32"/>
          <w:highlight w:val="none"/>
          <w:shd w:val="clear" w:color="auto" w:fill="FFFFFF"/>
          <w:lang w:val="zh-CN"/>
        </w:rPr>
      </w:pPr>
      <w:r>
        <w:rPr>
          <w:rFonts w:hint="default" w:ascii="Times New Roman" w:hAnsi="Times New Roman" w:eastAsia="仿宋" w:cs="Times New Roman"/>
          <w:color w:val="auto"/>
          <w:sz w:val="32"/>
          <w:szCs w:val="32"/>
          <w:highlight w:val="none"/>
          <w:shd w:val="clear" w:color="auto" w:fill="FFFFFF"/>
          <w:lang w:val="en-US" w:eastAsia="zh-CN"/>
        </w:rPr>
        <w:t>2.人员概况：</w:t>
      </w:r>
      <w:r>
        <w:rPr>
          <w:rFonts w:hint="default" w:ascii="Times New Roman" w:hAnsi="Times New Roman" w:eastAsia="仿宋" w:cs="Times New Roman"/>
          <w:color w:val="auto"/>
          <w:sz w:val="32"/>
          <w:szCs w:val="32"/>
          <w:highlight w:val="none"/>
          <w:shd w:val="clear" w:color="auto" w:fill="FFFFFF"/>
        </w:rPr>
        <w:t>区红十字会机关事业编制4名（人员参照公务员法管理），编制范围内设常务副会长1名（按正科级干部管理），副会长（兼秘书长）1名（按副科级干部管理）。</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（三）年度主要工作任务。</w:t>
      </w:r>
    </w:p>
    <w:p>
      <w:pPr>
        <w:tabs>
          <w:tab w:val="left" w:pos="312"/>
        </w:tabs>
        <w:ind w:firstLine="643" w:firstLineChars="200"/>
        <w:jc w:val="both"/>
        <w:rPr>
          <w:rFonts w:hint="default" w:ascii="Times New Roman" w:hAnsi="Times New Roman" w:eastAsia="仿宋" w:cs="Times New Roman"/>
          <w:color w:val="auto"/>
          <w:sz w:val="32"/>
          <w:szCs w:val="32"/>
          <w:lang w:val="en-US" w:eastAsia="zh-CN"/>
        </w:rPr>
      </w:pPr>
      <w:r>
        <w:rPr>
          <w:rStyle w:val="39"/>
          <w:rFonts w:hint="default" w:ascii="Times New Roman" w:hAnsi="Times New Roman" w:eastAsia="仿宋" w:cs="Times New Roman"/>
          <w:b/>
          <w:i w:val="0"/>
          <w:caps w:val="0"/>
          <w:color w:val="auto"/>
          <w:spacing w:val="0"/>
          <w:w w:val="100"/>
          <w:kern w:val="0"/>
          <w:sz w:val="32"/>
          <w:szCs w:val="32"/>
          <w:lang w:val="en-US" w:eastAsia="zh-CN" w:bidi="ar-SA"/>
        </w:rPr>
        <w:t>1.聚焦人道救助工作。</w:t>
      </w:r>
      <w:r>
        <w:rPr>
          <w:rFonts w:hint="default" w:ascii="Times New Roman" w:hAnsi="Times New Roman" w:eastAsia="仿宋" w:cs="Times New Roman"/>
          <w:color w:val="auto"/>
          <w:sz w:val="32"/>
          <w:szCs w:val="32"/>
        </w:rPr>
        <w:t>开展</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博爱送万家</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系列迎新春走基层慰问</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六一</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儿童节关爱残障儿童</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七一”建党节走访慰问、贫困学生捐资助学</w:t>
      </w:r>
      <w:r>
        <w:rPr>
          <w:rFonts w:hint="default" w:ascii="Times New Roman" w:hAnsi="Times New Roman" w:eastAsia="仿宋" w:cs="Times New Roman"/>
          <w:color w:val="auto"/>
          <w:sz w:val="32"/>
          <w:szCs w:val="32"/>
        </w:rPr>
        <w:t>活动。1月20日至2月8日，深入务本乡</w:t>
      </w:r>
      <w:r>
        <w:rPr>
          <w:rFonts w:hint="default" w:ascii="Times New Roman" w:hAnsi="Times New Roman" w:eastAsia="仿宋" w:cs="Times New Roman"/>
          <w:color w:val="auto"/>
          <w:sz w:val="32"/>
          <w:szCs w:val="32"/>
          <w:lang w:val="en-US" w:eastAsia="zh-CN"/>
        </w:rPr>
        <w:t>等</w:t>
      </w:r>
      <w:r>
        <w:rPr>
          <w:rFonts w:hint="default" w:ascii="Times New Roman" w:hAnsi="Times New Roman" w:eastAsia="仿宋" w:cs="Times New Roman"/>
          <w:color w:val="auto"/>
          <w:sz w:val="32"/>
          <w:szCs w:val="32"/>
        </w:rPr>
        <w:t>9个乡镇（街道），发放红十字</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御寒</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暖心包37份</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标准包</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12份。6月1日，深入同德镇</w:t>
      </w:r>
      <w:r>
        <w:rPr>
          <w:rFonts w:hint="default" w:ascii="Times New Roman" w:hAnsi="Times New Roman" w:eastAsia="仿宋" w:cs="Times New Roman"/>
          <w:color w:val="auto"/>
          <w:sz w:val="32"/>
          <w:szCs w:val="32"/>
          <w:lang w:val="en-US" w:eastAsia="zh-CN"/>
        </w:rPr>
        <w:t>对</w:t>
      </w:r>
      <w:r>
        <w:rPr>
          <w:rFonts w:hint="default" w:ascii="Times New Roman" w:hAnsi="Times New Roman" w:eastAsia="仿宋" w:cs="Times New Roman"/>
          <w:color w:val="auto"/>
          <w:sz w:val="32"/>
          <w:szCs w:val="32"/>
        </w:rPr>
        <w:t>两名残障</w:t>
      </w:r>
      <w:r>
        <w:rPr>
          <w:rFonts w:hint="default" w:ascii="Times New Roman" w:hAnsi="Times New Roman" w:eastAsia="仿宋" w:cs="Times New Roman"/>
          <w:color w:val="auto"/>
          <w:sz w:val="32"/>
          <w:szCs w:val="32"/>
          <w:lang w:val="en-US" w:eastAsia="zh-CN"/>
        </w:rPr>
        <w:t>儿童</w:t>
      </w:r>
      <w:r>
        <w:rPr>
          <w:rFonts w:hint="default" w:ascii="Times New Roman" w:hAnsi="Times New Roman" w:eastAsia="仿宋" w:cs="Times New Roman"/>
          <w:color w:val="auto"/>
          <w:sz w:val="32"/>
          <w:szCs w:val="32"/>
        </w:rPr>
        <w:t>进行慰问。“七一”走访慰问</w:t>
      </w:r>
      <w:r>
        <w:rPr>
          <w:rFonts w:hint="default" w:ascii="Times New Roman" w:hAnsi="Times New Roman" w:eastAsia="仿宋" w:cs="Times New Roman"/>
          <w:color w:val="auto"/>
          <w:sz w:val="32"/>
          <w:szCs w:val="32"/>
          <w:lang w:val="en-US" w:eastAsia="zh-CN"/>
        </w:rPr>
        <w:t>3名党员（1名</w:t>
      </w:r>
      <w:r>
        <w:rPr>
          <w:rStyle w:val="39"/>
          <w:rFonts w:hint="default" w:ascii="Times New Roman" w:hAnsi="Times New Roman" w:eastAsia="仿宋" w:cs="Times New Roman"/>
          <w:b w:val="0"/>
          <w:i w:val="0"/>
          <w:caps w:val="0"/>
          <w:color w:val="auto"/>
          <w:spacing w:val="0"/>
          <w:w w:val="100"/>
          <w:kern w:val="2"/>
          <w:sz w:val="32"/>
          <w:szCs w:val="32"/>
          <w:lang w:val="en-US" w:eastAsia="zh-CN" w:bidi="ar-SA"/>
        </w:rPr>
        <w:t>造血干细胞捐献者，2名贫困党员）</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10月21日，攀枝花市京福汽车销售服务有限公司捐赠6000元现金和价值4000元的办公用品，定向用于平地镇中心学校及五名学生。</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jc w:val="both"/>
        <w:rPr>
          <w:rStyle w:val="39"/>
          <w:rFonts w:hint="default" w:ascii="Times New Roman" w:hAnsi="Times New Roman" w:eastAsia="仿宋" w:cs="Times New Roman"/>
          <w:b w:val="0"/>
          <w:i w:val="0"/>
          <w:caps w:val="0"/>
          <w:color w:val="auto"/>
          <w:spacing w:val="0"/>
          <w:w w:val="100"/>
          <w:kern w:val="2"/>
          <w:sz w:val="32"/>
          <w:szCs w:val="32"/>
          <w:lang w:val="en-US" w:bidi="ar-SA"/>
        </w:rPr>
      </w:pPr>
      <w:r>
        <w:rPr>
          <w:rStyle w:val="39"/>
          <w:rFonts w:hint="default" w:ascii="Times New Roman" w:hAnsi="Times New Roman" w:eastAsia="仿宋" w:cs="Times New Roman"/>
          <w:b/>
          <w:i w:val="0"/>
          <w:caps w:val="0"/>
          <w:color w:val="auto"/>
          <w:spacing w:val="0"/>
          <w:w w:val="100"/>
          <w:kern w:val="0"/>
          <w:sz w:val="32"/>
          <w:szCs w:val="32"/>
          <w:lang w:val="en-US" w:eastAsia="zh-CN" w:bidi="ar-SA"/>
        </w:rPr>
        <w:t>2.紧抓“三救”工作。</w:t>
      </w: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SA"/>
        </w:rPr>
        <w:t>组织应急救护师资分别走进市七中花城校区、大河中学、爱德实验学校，为新入校的2000余名新生举办应急救护知识培训</w:t>
      </w:r>
      <w:r>
        <w:rPr>
          <w:rStyle w:val="39"/>
          <w:rFonts w:hint="default" w:ascii="Times New Roman" w:hAnsi="Times New Roman" w:eastAsia="仿宋" w:cs="Times New Roman"/>
          <w:b w:val="0"/>
          <w:i w:val="0"/>
          <w:caps w:val="0"/>
          <w:color w:val="auto"/>
          <w:spacing w:val="0"/>
          <w:w w:val="100"/>
          <w:kern w:val="2"/>
          <w:sz w:val="32"/>
          <w:szCs w:val="32"/>
          <w:lang w:val="en-US" w:eastAsia="zh-CN" w:bidi="ar-SA"/>
        </w:rPr>
        <w:t>；全年培训救护员280余人，</w:t>
      </w:r>
      <w:r>
        <w:rPr>
          <w:rFonts w:hint="default" w:ascii="Times New Roman" w:hAnsi="Times New Roman" w:eastAsia="仿宋" w:cs="Times New Roman"/>
          <w:i w:val="0"/>
          <w:iCs w:val="0"/>
          <w:caps w:val="0"/>
          <w:color w:val="auto"/>
          <w:spacing w:val="0"/>
          <w:kern w:val="0"/>
          <w:sz w:val="32"/>
          <w:szCs w:val="32"/>
          <w:shd w:val="clear" w:color="auto" w:fill="FFFFFF"/>
          <w:lang w:val="en-US" w:eastAsia="zh-CN" w:bidi="ar-SA"/>
        </w:rPr>
        <w:t>普及应急救护知识，提高生命安全意识，增强应对突发事件和意外伤害事故的应急救援和自救互救能力</w:t>
      </w:r>
      <w:r>
        <w:rPr>
          <w:rStyle w:val="39"/>
          <w:rFonts w:hint="default" w:ascii="Times New Roman" w:hAnsi="Times New Roman" w:eastAsia="仿宋" w:cs="Times New Roman"/>
          <w:b w:val="0"/>
          <w:i w:val="0"/>
          <w:caps w:val="0"/>
          <w:color w:val="auto"/>
          <w:spacing w:val="0"/>
          <w:w w:val="100"/>
          <w:kern w:val="2"/>
          <w:sz w:val="32"/>
          <w:szCs w:val="32"/>
          <w:lang w:val="en-US" w:eastAsia="zh-CN" w:bidi="ar-SA"/>
        </w:rPr>
        <w:t>。</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643" w:firstLineChars="200"/>
        <w:jc w:val="both"/>
        <w:textAlignment w:val="baseline"/>
        <w:rPr>
          <w:rStyle w:val="39"/>
          <w:rFonts w:hint="default" w:ascii="Times New Roman" w:hAnsi="Times New Roman" w:eastAsia="仿宋" w:cs="Times New Roman"/>
          <w:b w:val="0"/>
          <w:i w:val="0"/>
          <w:caps w:val="0"/>
          <w:color w:val="auto"/>
          <w:spacing w:val="0"/>
          <w:w w:val="100"/>
          <w:kern w:val="2"/>
          <w:sz w:val="32"/>
          <w:szCs w:val="32"/>
          <w:lang w:val="en-US" w:eastAsia="zh-CN" w:bidi="ar-SA"/>
        </w:rPr>
      </w:pPr>
      <w:r>
        <w:rPr>
          <w:rStyle w:val="39"/>
          <w:rFonts w:hint="default" w:ascii="Times New Roman" w:hAnsi="Times New Roman" w:eastAsia="仿宋" w:cs="Times New Roman"/>
          <w:b/>
          <w:i w:val="0"/>
          <w:caps w:val="0"/>
          <w:color w:val="auto"/>
          <w:spacing w:val="0"/>
          <w:w w:val="100"/>
          <w:kern w:val="0"/>
          <w:sz w:val="32"/>
          <w:szCs w:val="32"/>
          <w:lang w:val="en-US" w:eastAsia="zh-CN" w:bidi="ar-SA"/>
        </w:rPr>
        <w:t>3.紧抓“三献”工作。</w:t>
      </w:r>
      <w:r>
        <w:rPr>
          <w:rStyle w:val="39"/>
          <w:rFonts w:hint="default" w:ascii="Times New Roman" w:hAnsi="Times New Roman" w:eastAsia="仿宋" w:cs="Times New Roman"/>
          <w:b w:val="0"/>
          <w:i w:val="0"/>
          <w:caps w:val="0"/>
          <w:color w:val="auto"/>
          <w:spacing w:val="0"/>
          <w:w w:val="100"/>
          <w:kern w:val="2"/>
          <w:sz w:val="32"/>
          <w:szCs w:val="32"/>
          <w:lang w:val="en-US" w:eastAsia="zh-CN" w:bidi="ar-SA"/>
        </w:rPr>
        <w:t>积极开展无偿献血、造血干细胞、人体器官和遗体捐献宣传工作。组织辖区内群众、企业开展无偿献血，截止11月7日，全区采血3047人，采血量1054180毫升；全年造血干细胞采集720人份，3人完成造血干细胞捐献；全年206人进行人体器官和遗体捐献意愿登记，1人完成遗体捐献。</w:t>
      </w:r>
    </w:p>
    <w:p>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643" w:firstLineChars="200"/>
        <w:jc w:val="both"/>
        <w:textAlignment w:val="baseline"/>
        <w:rPr>
          <w:rStyle w:val="39"/>
          <w:rFonts w:hint="default" w:ascii="Times New Roman" w:hAnsi="Times New Roman" w:eastAsia="仿宋" w:cs="Times New Roman"/>
          <w:b/>
          <w:bCs/>
          <w:i w:val="0"/>
          <w:caps w:val="0"/>
          <w:color w:val="auto"/>
          <w:spacing w:val="0"/>
          <w:w w:val="100"/>
          <w:kern w:val="2"/>
          <w:sz w:val="32"/>
          <w:szCs w:val="32"/>
          <w:lang w:val="en-US" w:eastAsia="zh-CN" w:bidi="ar-SA"/>
        </w:rPr>
      </w:pPr>
      <w:r>
        <w:rPr>
          <w:rStyle w:val="39"/>
          <w:rFonts w:hint="default" w:ascii="Times New Roman" w:hAnsi="Times New Roman" w:eastAsia="仿宋" w:cs="Times New Roman"/>
          <w:b/>
          <w:bCs/>
          <w:i w:val="0"/>
          <w:caps w:val="0"/>
          <w:color w:val="auto"/>
          <w:spacing w:val="0"/>
          <w:w w:val="100"/>
          <w:kern w:val="2"/>
          <w:sz w:val="32"/>
          <w:szCs w:val="32"/>
          <w:lang w:val="en-US" w:eastAsia="zh-CN" w:bidi="ar-SA"/>
        </w:rPr>
        <w:t>4.</w:t>
      </w:r>
      <w:r>
        <w:rPr>
          <w:rFonts w:hint="default" w:ascii="Times New Roman" w:hAnsi="Times New Roman" w:eastAsia="仿宋" w:cs="Times New Roman"/>
          <w:b/>
          <w:bCs/>
          <w:sz w:val="32"/>
          <w:szCs w:val="32"/>
          <w:lang w:val="en-US" w:eastAsia="zh-CN"/>
        </w:rPr>
        <w:t>加强捐赠服务工作。</w:t>
      </w:r>
      <w:r>
        <w:rPr>
          <w:rStyle w:val="39"/>
          <w:rFonts w:hint="default" w:ascii="Times New Roman" w:hAnsi="Times New Roman" w:eastAsia="仿宋" w:cs="Times New Roman"/>
          <w:b w:val="0"/>
          <w:i w:val="0"/>
          <w:caps w:val="0"/>
          <w:color w:val="auto"/>
          <w:spacing w:val="0"/>
          <w:w w:val="100"/>
          <w:kern w:val="2"/>
          <w:sz w:val="32"/>
          <w:szCs w:val="32"/>
          <w:lang w:val="en-US" w:eastAsia="zh-CN" w:bidi="ar-SA"/>
        </w:rPr>
        <w:t>一是积极开展“腾讯99公益日”活动。倡议辖区内的各医疗机构、机关团体、各企事业单位及社会各界爱心人士，积极参与“博爱之光.情暖花城”活动。共募得善款25048.59元。二是</w:t>
      </w:r>
      <w:r>
        <w:rPr>
          <w:rFonts w:hint="default" w:ascii="Times New Roman" w:hAnsi="Times New Roman" w:eastAsia="仿宋" w:cs="Times New Roman"/>
          <w:sz w:val="32"/>
          <w:szCs w:val="32"/>
        </w:rPr>
        <w:t>积极争取社会爱心企业、爱心人士捐款捐资</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截止11月7日，收到8笔定向物资捐赠，价值45900元；收到9笔货币捐赠230500元（含定向捐赠190500元）。</w:t>
      </w:r>
    </w:p>
    <w:p>
      <w:pPr>
        <w:ind w:firstLine="643"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b/>
          <w:bCs/>
          <w:sz w:val="32"/>
          <w:szCs w:val="32"/>
          <w:lang w:val="en-US" w:eastAsia="zh-CN"/>
        </w:rPr>
        <w:t>5.志愿服务助力疫情防控。</w:t>
      </w:r>
      <w:r>
        <w:rPr>
          <w:rFonts w:hint="default" w:ascii="Times New Roman" w:hAnsi="Times New Roman" w:eastAsia="仿宋" w:cs="Times New Roman"/>
          <w:color w:val="auto"/>
          <w:sz w:val="32"/>
          <w:szCs w:val="32"/>
          <w:lang w:val="en-US" w:eastAsia="zh-CN"/>
        </w:rPr>
        <w:t>一是</w:t>
      </w:r>
      <w:r>
        <w:rPr>
          <w:rFonts w:hint="default" w:ascii="Times New Roman" w:hAnsi="Times New Roman" w:eastAsia="仿宋" w:cs="Times New Roman"/>
          <w:color w:val="auto"/>
          <w:sz w:val="32"/>
          <w:szCs w:val="32"/>
        </w:rPr>
        <w:t>仁和区红十字会与区卫健局、团委共同组织志愿者参与疫情防控开展志愿服务</w:t>
      </w:r>
      <w:r>
        <w:rPr>
          <w:rFonts w:hint="default" w:ascii="Times New Roman" w:hAnsi="Times New Roman" w:eastAsia="仿宋" w:cs="Times New Roman"/>
          <w:color w:val="auto"/>
          <w:sz w:val="32"/>
          <w:szCs w:val="32"/>
          <w:lang w:val="en-US" w:eastAsia="zh-CN"/>
        </w:rPr>
        <w:t>1600</w:t>
      </w:r>
      <w:r>
        <w:rPr>
          <w:rFonts w:hint="default" w:ascii="Times New Roman" w:hAnsi="Times New Roman" w:eastAsia="仿宋" w:cs="Times New Roman"/>
          <w:color w:val="auto"/>
          <w:sz w:val="32"/>
          <w:szCs w:val="32"/>
        </w:rPr>
        <w:t>余人次。</w:t>
      </w:r>
      <w:r>
        <w:rPr>
          <w:rFonts w:hint="default" w:ascii="Times New Roman" w:hAnsi="Times New Roman" w:eastAsia="仿宋" w:cs="Times New Roman"/>
          <w:color w:val="auto"/>
          <w:sz w:val="32"/>
          <w:szCs w:val="32"/>
          <w:lang w:val="en-US" w:eastAsia="zh-CN"/>
        </w:rPr>
        <w:t>二</w:t>
      </w:r>
      <w:r>
        <w:rPr>
          <w:rFonts w:hint="default" w:ascii="Times New Roman" w:hAnsi="Times New Roman" w:eastAsia="仿宋" w:cs="Times New Roman"/>
          <w:color w:val="auto"/>
          <w:sz w:val="32"/>
          <w:szCs w:val="32"/>
        </w:rPr>
        <w:t>是加强募捐服务工作，助力基层抗疫。3月4日，攀枝花市同泰生石业有限公司捐赠了一万只医用防护口罩</w:t>
      </w:r>
      <w:r>
        <w:rPr>
          <w:rFonts w:hint="default" w:ascii="Times New Roman" w:hAnsi="Times New Roman" w:eastAsia="仿宋" w:cs="Times New Roman"/>
          <w:color w:val="auto"/>
          <w:sz w:val="32"/>
          <w:szCs w:val="32"/>
          <w:lang w:val="en-US" w:eastAsia="zh-CN"/>
        </w:rPr>
        <w:t>定向捐赠</w:t>
      </w:r>
      <w:r>
        <w:rPr>
          <w:rFonts w:hint="default" w:ascii="Times New Roman" w:hAnsi="Times New Roman" w:eastAsia="仿宋" w:cs="Times New Roman"/>
          <w:color w:val="auto"/>
          <w:sz w:val="32"/>
          <w:szCs w:val="32"/>
        </w:rPr>
        <w:t>平地镇，为奋斗在一线的抗疫人员提供保障。</w:t>
      </w:r>
      <w:r>
        <w:rPr>
          <w:rFonts w:hint="default" w:ascii="Times New Roman" w:hAnsi="Times New Roman" w:eastAsia="仿宋" w:cs="Times New Roman"/>
          <w:color w:val="auto"/>
          <w:sz w:val="32"/>
          <w:szCs w:val="32"/>
          <w:lang w:val="en-US" w:eastAsia="zh-CN"/>
        </w:rPr>
        <w:t>三是爱心企业和爱心人士定向向仁和区教体系统捐赠物资，助力主城区学校抗击疫情。物资调拨到主城区的仁和区民族初级中学、攀枝花市大河中学校等学校。</w:t>
      </w:r>
    </w:p>
    <w:p>
      <w:pPr>
        <w:ind w:firstLine="643"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b/>
          <w:bCs/>
          <w:color w:val="auto"/>
          <w:sz w:val="32"/>
          <w:szCs w:val="32"/>
          <w:lang w:val="en-US" w:eastAsia="zh-CN"/>
        </w:rPr>
        <w:t>6.</w:t>
      </w:r>
      <w:r>
        <w:rPr>
          <w:rFonts w:hint="default" w:ascii="Times New Roman" w:hAnsi="Times New Roman" w:eastAsia="仿宋" w:cs="Times New Roman"/>
          <w:b/>
          <w:bCs/>
          <w:sz w:val="32"/>
          <w:szCs w:val="32"/>
          <w:lang w:val="en-US" w:eastAsia="zh-CN"/>
        </w:rPr>
        <w:t>加强会员发展和志愿者招募工作。</w:t>
      </w:r>
      <w:r>
        <w:rPr>
          <w:rFonts w:hint="default" w:ascii="Times New Roman" w:hAnsi="Times New Roman" w:eastAsia="仿宋" w:cs="Times New Roman"/>
          <w:sz w:val="32"/>
          <w:szCs w:val="32"/>
          <w:lang w:val="en-US" w:eastAsia="zh-CN"/>
        </w:rPr>
        <w:t>面向全社会发展会员，</w:t>
      </w:r>
      <w:r>
        <w:rPr>
          <w:rFonts w:hint="default" w:ascii="Times New Roman" w:hAnsi="Times New Roman" w:eastAsia="仿宋" w:cs="Times New Roman"/>
          <w:sz w:val="32"/>
          <w:szCs w:val="32"/>
        </w:rPr>
        <w:t>注重在</w:t>
      </w:r>
      <w:r>
        <w:rPr>
          <w:rFonts w:hint="default" w:ascii="Times New Roman" w:hAnsi="Times New Roman" w:eastAsia="仿宋" w:cs="Times New Roman"/>
          <w:sz w:val="32"/>
          <w:szCs w:val="32"/>
          <w:lang w:val="en-US" w:eastAsia="zh-CN"/>
        </w:rPr>
        <w:t>机关、企事业单位中发展团体会员，在</w:t>
      </w:r>
      <w:r>
        <w:rPr>
          <w:rFonts w:hint="default" w:ascii="Times New Roman" w:hAnsi="Times New Roman" w:eastAsia="仿宋" w:cs="Times New Roman"/>
          <w:sz w:val="32"/>
          <w:szCs w:val="32"/>
        </w:rPr>
        <w:t>应急救护培训中大力发展红十字志愿者。</w:t>
      </w:r>
      <w:r>
        <w:rPr>
          <w:rFonts w:hint="default" w:ascii="Times New Roman" w:hAnsi="Times New Roman" w:eastAsia="仿宋" w:cs="Times New Roman"/>
          <w:sz w:val="32"/>
          <w:szCs w:val="32"/>
          <w:lang w:val="en-US" w:eastAsia="zh-CN"/>
        </w:rPr>
        <w:t>截止11月7日，已发展个人</w:t>
      </w:r>
      <w:r>
        <w:rPr>
          <w:rFonts w:hint="default" w:ascii="Times New Roman" w:hAnsi="Times New Roman" w:eastAsia="仿宋" w:cs="Times New Roman"/>
          <w:sz w:val="32"/>
          <w:szCs w:val="32"/>
        </w:rPr>
        <w:t>会员</w:t>
      </w:r>
      <w:r>
        <w:rPr>
          <w:rFonts w:hint="default" w:ascii="Times New Roman" w:hAnsi="Times New Roman" w:eastAsia="仿宋" w:cs="Times New Roman"/>
          <w:sz w:val="32"/>
          <w:szCs w:val="32"/>
          <w:lang w:val="en-US" w:eastAsia="zh-CN"/>
        </w:rPr>
        <w:t>1048</w:t>
      </w:r>
      <w:r>
        <w:rPr>
          <w:rFonts w:hint="default" w:ascii="Times New Roman" w:hAnsi="Times New Roman" w:eastAsia="仿宋" w:cs="Times New Roman"/>
          <w:sz w:val="32"/>
          <w:szCs w:val="32"/>
        </w:rPr>
        <w:t>名、</w:t>
      </w:r>
      <w:r>
        <w:rPr>
          <w:rFonts w:hint="default" w:ascii="Times New Roman" w:hAnsi="Times New Roman" w:eastAsia="仿宋" w:cs="Times New Roman"/>
          <w:sz w:val="32"/>
          <w:szCs w:val="32"/>
          <w:lang w:val="en-US" w:eastAsia="zh-CN"/>
        </w:rPr>
        <w:t>团体会员27个，</w:t>
      </w:r>
      <w:r>
        <w:rPr>
          <w:rFonts w:hint="default" w:ascii="Times New Roman" w:hAnsi="Times New Roman" w:eastAsia="仿宋" w:cs="Times New Roman"/>
          <w:sz w:val="32"/>
          <w:szCs w:val="32"/>
        </w:rPr>
        <w:t>志愿者</w:t>
      </w:r>
      <w:r>
        <w:rPr>
          <w:rFonts w:hint="default" w:ascii="Times New Roman" w:hAnsi="Times New Roman" w:eastAsia="仿宋" w:cs="Times New Roman"/>
          <w:sz w:val="32"/>
          <w:szCs w:val="32"/>
          <w:lang w:val="en-US" w:eastAsia="zh-CN"/>
        </w:rPr>
        <w:t>123</w:t>
      </w:r>
      <w:r>
        <w:rPr>
          <w:rFonts w:hint="default" w:ascii="Times New Roman" w:hAnsi="Times New Roman" w:eastAsia="仿宋" w:cs="Times New Roman"/>
          <w:sz w:val="32"/>
          <w:szCs w:val="32"/>
        </w:rPr>
        <w:t>名</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规范</w:t>
      </w:r>
      <w:r>
        <w:rPr>
          <w:rFonts w:hint="default" w:ascii="Times New Roman" w:hAnsi="Times New Roman" w:eastAsia="仿宋" w:cs="Times New Roman"/>
          <w:sz w:val="32"/>
          <w:szCs w:val="32"/>
          <w:lang w:val="en-US" w:eastAsia="zh-CN"/>
        </w:rPr>
        <w:t>会员和志愿者队伍</w:t>
      </w:r>
      <w:r>
        <w:rPr>
          <w:rFonts w:hint="default" w:ascii="Times New Roman" w:hAnsi="Times New Roman" w:eastAsia="仿宋" w:cs="Times New Roman"/>
          <w:sz w:val="32"/>
          <w:szCs w:val="32"/>
        </w:rPr>
        <w:t>管理，定期组织开展志愿服务活动。</w:t>
      </w:r>
    </w:p>
    <w:p>
      <w:pPr>
        <w:ind w:firstLine="643" w:firstLineChars="200"/>
        <w:jc w:val="both"/>
        <w:rPr>
          <w:rFonts w:hint="default" w:ascii="Times New Roman" w:hAnsi="Times New Roman" w:eastAsia="仿宋" w:cs="Times New Roman"/>
          <w:sz w:val="32"/>
          <w:szCs w:val="32"/>
          <w:lang w:val="zh-CN"/>
        </w:rPr>
      </w:pPr>
      <w:r>
        <w:rPr>
          <w:rFonts w:hint="default" w:ascii="Times New Roman" w:hAnsi="Times New Roman" w:eastAsia="仿宋" w:cs="Times New Roman"/>
          <w:b/>
          <w:bCs/>
          <w:sz w:val="32"/>
          <w:szCs w:val="32"/>
          <w:lang w:val="en-US" w:eastAsia="zh-CN"/>
        </w:rPr>
        <w:t>7.加强红十字基层组织建设。</w:t>
      </w:r>
      <w:r>
        <w:rPr>
          <w:rFonts w:hint="default" w:ascii="Times New Roman" w:hAnsi="Times New Roman" w:eastAsia="仿宋" w:cs="Times New Roman"/>
          <w:sz w:val="32"/>
          <w:szCs w:val="32"/>
          <w:lang w:val="en-US" w:eastAsia="zh-CN"/>
        </w:rPr>
        <w:t>根据《四川省红十字会基层组织成立</w:t>
      </w:r>
      <w:r>
        <w:rPr>
          <w:rFonts w:hint="default" w:ascii="Times New Roman" w:hAnsi="Times New Roman" w:eastAsia="仿宋" w:cs="Times New Roman"/>
          <w:sz w:val="32"/>
          <w:szCs w:val="32"/>
        </w:rPr>
        <w:t>工作</w:t>
      </w:r>
      <w:r>
        <w:rPr>
          <w:rFonts w:hint="default" w:ascii="Times New Roman" w:hAnsi="Times New Roman" w:eastAsia="仿宋" w:cs="Times New Roman"/>
          <w:sz w:val="32"/>
          <w:szCs w:val="32"/>
          <w:lang w:val="en-US" w:eastAsia="zh-CN"/>
        </w:rPr>
        <w:t>规范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r>
        <w:rPr>
          <w:rFonts w:hint="default" w:ascii="Times New Roman" w:hAnsi="Times New Roman" w:eastAsia="仿宋" w:cs="Times New Roman"/>
          <w:i w:val="0"/>
          <w:iCs w:val="0"/>
          <w:caps w:val="0"/>
          <w:color w:val="474747"/>
          <w:spacing w:val="0"/>
          <w:kern w:val="0"/>
          <w:sz w:val="32"/>
          <w:szCs w:val="32"/>
          <w:shd w:val="clear" w:color="auto" w:fill="FFFFFF"/>
          <w:lang w:val="en-US" w:eastAsia="zh-CN" w:bidi="ar-SA"/>
        </w:rPr>
        <w:t>成立务本乡、大河中路街道红十字会、大河中学红十字会。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color w:val="auto"/>
          <w:kern w:val="0"/>
          <w:sz w:val="32"/>
          <w:szCs w:val="32"/>
          <w:highlight w:val="none"/>
          <w:shd w:val="clear" w:color="auto" w:fill="FFFFFF"/>
        </w:rPr>
      </w:pPr>
      <w:r>
        <w:rPr>
          <w:rFonts w:hint="default" w:ascii="Times New Roman" w:hAnsi="Times New Roman" w:eastAsia="黑体" w:cs="Times New Roman"/>
          <w:color w:val="auto"/>
          <w:kern w:val="0"/>
          <w:sz w:val="32"/>
          <w:szCs w:val="32"/>
          <w:highlight w:val="none"/>
          <w:shd w:val="clear" w:color="auto" w:fill="FFFFFF"/>
        </w:rPr>
        <w:t>二、</w:t>
      </w:r>
      <w:r>
        <w:rPr>
          <w:rFonts w:hint="default" w:ascii="Times New Roman" w:hAnsi="Times New Roman" w:eastAsia="黑体" w:cs="Times New Roman"/>
          <w:color w:val="auto"/>
          <w:kern w:val="0"/>
          <w:sz w:val="32"/>
          <w:szCs w:val="32"/>
          <w:highlight w:val="none"/>
          <w:shd w:val="clear" w:color="auto" w:fill="FFFFFF"/>
          <w:lang w:eastAsia="zh-CN"/>
        </w:rPr>
        <w:t>部门</w:t>
      </w:r>
      <w:r>
        <w:rPr>
          <w:rFonts w:hint="default" w:ascii="Times New Roman" w:hAnsi="Times New Roman" w:eastAsia="黑体" w:cs="Times New Roman"/>
          <w:color w:val="auto"/>
          <w:kern w:val="0"/>
          <w:sz w:val="32"/>
          <w:szCs w:val="32"/>
          <w:highlight w:val="none"/>
          <w:shd w:val="clear" w:color="auto" w:fill="FFFFFF"/>
        </w:rPr>
        <w:t>资金收支情况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（一）部门总体收支情况。</w:t>
      </w:r>
    </w:p>
    <w:p>
      <w:pPr>
        <w:widowControl/>
        <w:adjustRightInd w:val="0"/>
        <w:snapToGrid w:val="0"/>
        <w:spacing w:line="580" w:lineRule="exact"/>
        <w:ind w:firstLine="640" w:firstLineChars="200"/>
        <w:contextualSpacing/>
        <w:jc w:val="left"/>
        <w:rPr>
          <w:rFonts w:hint="default" w:ascii="Times New Roman" w:hAnsi="Times New Roman" w:eastAsia="仿宋" w:cs="Times New Roman"/>
          <w:b w:val="0"/>
          <w:bCs w:val="0"/>
          <w:color w:val="auto"/>
          <w:kern w:val="0"/>
          <w:sz w:val="32"/>
          <w:szCs w:val="32"/>
          <w:highlight w:val="none"/>
          <w:shd w:val="clear" w:color="auto" w:fill="FFFFFF"/>
          <w:lang w:val="en-US" w:eastAsia="zh-CN"/>
        </w:rPr>
      </w:pPr>
      <w:r>
        <w:rPr>
          <w:rFonts w:hint="default" w:ascii="Times New Roman" w:hAnsi="Times New Roman" w:eastAsia="仿宋" w:cs="Times New Roman"/>
          <w:b w:val="0"/>
          <w:bCs w:val="0"/>
          <w:color w:val="auto"/>
          <w:kern w:val="0"/>
          <w:sz w:val="32"/>
          <w:szCs w:val="32"/>
          <w:highlight w:val="none"/>
          <w:shd w:val="clear" w:color="auto" w:fill="FFFFFF"/>
          <w:lang w:val="en-US" w:eastAsia="zh-CN"/>
        </w:rPr>
        <w:t>1.部门总体收入情况</w:t>
      </w:r>
    </w:p>
    <w:p>
      <w:pPr>
        <w:widowControl/>
        <w:adjustRightInd w:val="0"/>
        <w:snapToGrid w:val="0"/>
        <w:spacing w:line="580" w:lineRule="exact"/>
        <w:ind w:firstLine="640" w:firstLineChars="200"/>
        <w:contextualSpacing/>
        <w:jc w:val="left"/>
        <w:rPr>
          <w:rFonts w:hint="default" w:ascii="Times New Roman" w:hAnsi="Times New Roman" w:eastAsia="仿宋" w:cs="Times New Roman"/>
          <w:b w:val="0"/>
          <w:bCs w:val="0"/>
          <w:color w:val="auto"/>
          <w:kern w:val="0"/>
          <w:sz w:val="32"/>
          <w:szCs w:val="32"/>
          <w:highlight w:val="none"/>
          <w:shd w:val="clear" w:color="auto" w:fill="FFFFFF"/>
          <w:lang w:val="en-US" w:eastAsia="zh-CN"/>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年本年收入合计</w:t>
      </w:r>
      <w:r>
        <w:rPr>
          <w:rFonts w:hint="default" w:ascii="Times New Roman" w:hAnsi="Times New Roman" w:eastAsia="仿宋" w:cs="Times New Roman"/>
          <w:sz w:val="32"/>
          <w:szCs w:val="32"/>
          <w:lang w:val="en-US" w:eastAsia="zh-CN"/>
        </w:rPr>
        <w:t>11.11</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w:t>
      </w:r>
    </w:p>
    <w:p>
      <w:pPr>
        <w:widowControl/>
        <w:numPr>
          <w:ilvl w:val="0"/>
          <w:numId w:val="0"/>
        </w:numPr>
        <w:adjustRightInd w:val="0"/>
        <w:snapToGrid w:val="0"/>
        <w:spacing w:line="580" w:lineRule="exact"/>
        <w:ind w:firstLine="640" w:firstLineChars="200"/>
        <w:contextualSpacing/>
        <w:jc w:val="left"/>
        <w:rPr>
          <w:rFonts w:hint="default" w:ascii="Times New Roman" w:hAnsi="Times New Roman" w:eastAsia="仿宋" w:cs="Times New Roman"/>
          <w:color w:val="000000"/>
          <w:kern w:val="0"/>
          <w:sz w:val="32"/>
          <w:szCs w:val="32"/>
          <w:highlight w:val="none"/>
          <w:shd w:val="clear" w:color="auto" w:fill="FFFFFF"/>
          <w:lang w:val="en-US" w:eastAsia="zh-CN"/>
        </w:rPr>
      </w:pPr>
      <w:r>
        <w:rPr>
          <w:rFonts w:hint="default" w:ascii="Times New Roman" w:hAnsi="Times New Roman" w:eastAsia="仿宋" w:cs="Times New Roman"/>
          <w:b w:val="0"/>
          <w:bCs w:val="0"/>
          <w:color w:val="auto"/>
          <w:kern w:val="0"/>
          <w:sz w:val="32"/>
          <w:szCs w:val="32"/>
          <w:highlight w:val="none"/>
          <w:shd w:val="clear" w:color="auto" w:fill="FFFFFF"/>
          <w:lang w:val="en-US" w:eastAsia="zh-CN"/>
        </w:rPr>
        <w:t>2.部门总体支出情况</w:t>
      </w:r>
      <w:r>
        <w:rPr>
          <w:rFonts w:hint="default" w:ascii="Times New Roman" w:hAnsi="Times New Roman" w:eastAsia="仿宋" w:cs="Times New Roman"/>
          <w:color w:val="000000"/>
          <w:kern w:val="0"/>
          <w:sz w:val="32"/>
          <w:szCs w:val="32"/>
          <w:highlight w:val="none"/>
          <w:shd w:val="clear" w:color="auto" w:fill="FFFFFF"/>
          <w:lang w:val="en-US" w:eastAsia="zh-CN"/>
        </w:rPr>
        <w:t xml:space="preserve"> </w:t>
      </w:r>
    </w:p>
    <w:p>
      <w:pPr>
        <w:widowControl/>
        <w:numPr>
          <w:ilvl w:val="0"/>
          <w:numId w:val="0"/>
        </w:numPr>
        <w:adjustRightInd w:val="0"/>
        <w:snapToGrid w:val="0"/>
        <w:spacing w:line="580" w:lineRule="exact"/>
        <w:ind w:firstLine="640" w:firstLineChars="200"/>
        <w:contextualSpacing/>
        <w:jc w:val="left"/>
        <w:rPr>
          <w:rFonts w:hint="default" w:ascii="Times New Roman" w:hAnsi="Times New Roman" w:eastAsia="仿宋" w:cs="Times New Roman"/>
          <w:b w:val="0"/>
          <w:bCs w:val="0"/>
          <w:color w:val="auto"/>
          <w:kern w:val="0"/>
          <w:sz w:val="32"/>
          <w:szCs w:val="32"/>
          <w:highlight w:val="none"/>
          <w:shd w:val="clear" w:color="auto" w:fill="FFFFFF"/>
          <w:lang w:val="en-US" w:eastAsia="zh-CN"/>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年本年支出合计</w:t>
      </w:r>
      <w:r>
        <w:rPr>
          <w:rFonts w:hint="default" w:ascii="Times New Roman" w:hAnsi="Times New Roman" w:eastAsia="仿宋" w:cs="Times New Roman"/>
          <w:sz w:val="32"/>
          <w:szCs w:val="32"/>
          <w:lang w:val="en-US" w:eastAsia="zh-CN"/>
        </w:rPr>
        <w:t>11.11</w:t>
      </w:r>
      <w:r>
        <w:rPr>
          <w:rFonts w:hint="default" w:ascii="Times New Roman" w:hAnsi="Times New Roman" w:eastAsia="仿宋" w:cs="Times New Roman"/>
          <w:color w:val="000000"/>
          <w:sz w:val="32"/>
          <w:szCs w:val="32"/>
        </w:rPr>
        <w:t>万元</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 w:cs="Times New Roman"/>
          <w:b w:val="0"/>
          <w:bCs w:val="0"/>
          <w:color w:val="auto"/>
          <w:kern w:val="0"/>
          <w:sz w:val="32"/>
          <w:szCs w:val="32"/>
          <w:highlight w:val="none"/>
          <w:shd w:val="clear" w:color="auto" w:fill="FFFFFF"/>
          <w:lang w:val="en-US" w:eastAsia="zh-CN"/>
        </w:rPr>
      </w:pPr>
      <w:r>
        <w:rPr>
          <w:rFonts w:hint="default" w:ascii="Times New Roman" w:hAnsi="Times New Roman" w:eastAsia="仿宋" w:cs="Times New Roman"/>
          <w:b w:val="0"/>
          <w:bCs w:val="0"/>
          <w:color w:val="auto"/>
          <w:kern w:val="0"/>
          <w:sz w:val="32"/>
          <w:szCs w:val="32"/>
          <w:highlight w:val="none"/>
          <w:shd w:val="clear" w:color="auto" w:fill="FFFFFF"/>
          <w:lang w:val="en-US" w:eastAsia="zh-CN"/>
        </w:rPr>
        <w:t>3.部门总体结转结余情况</w:t>
      </w:r>
    </w:p>
    <w:p>
      <w:pPr>
        <w:pStyle w:val="20"/>
        <w:numPr>
          <w:ilvl w:val="0"/>
          <w:numId w:val="0"/>
        </w:numPr>
        <w:rPr>
          <w:rFonts w:hint="default" w:ascii="Times New Roman" w:hAnsi="Times New Roman" w:eastAsia="仿宋" w:cs="Times New Roman"/>
          <w:color w:val="000000"/>
          <w:kern w:val="2"/>
          <w:sz w:val="32"/>
          <w:szCs w:val="32"/>
          <w:lang w:val="en-US" w:eastAsia="zh-CN" w:bidi="ar-SA"/>
        </w:rPr>
      </w:pPr>
      <w:r>
        <w:rPr>
          <w:rFonts w:hint="default" w:ascii="Times New Roman" w:hAnsi="Times New Roman" w:eastAsia="仿宋" w:cs="Times New Roman"/>
          <w:lang w:val="en-US" w:eastAsia="zh-CN"/>
        </w:rPr>
        <w:t xml:space="preserve"> </w:t>
      </w:r>
      <w:r>
        <w:rPr>
          <w:rFonts w:hint="default" w:ascii="Times New Roman" w:hAnsi="Times New Roman" w:eastAsia="仿宋" w:cs="Times New Roman"/>
          <w:color w:val="000000"/>
          <w:kern w:val="2"/>
          <w:sz w:val="32"/>
          <w:szCs w:val="32"/>
          <w:lang w:val="en-US" w:eastAsia="zh-CN" w:bidi="ar-SA"/>
        </w:rPr>
        <w:t xml:space="preserve">  2022年无结转结余。</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（二）部门财政拨款收支情况。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 w:cs="Times New Roman"/>
          <w:b w:val="0"/>
          <w:bCs w:val="0"/>
          <w:color w:val="auto"/>
          <w:kern w:val="0"/>
          <w:sz w:val="32"/>
          <w:szCs w:val="32"/>
          <w:highlight w:val="none"/>
          <w:shd w:val="clear" w:color="auto" w:fill="FFFFFF"/>
          <w:lang w:val="en-US" w:eastAsia="zh-CN"/>
        </w:rPr>
      </w:pPr>
      <w:r>
        <w:rPr>
          <w:rFonts w:hint="default" w:ascii="Times New Roman" w:hAnsi="Times New Roman" w:eastAsia="仿宋" w:cs="Times New Roman"/>
          <w:b w:val="0"/>
          <w:bCs w:val="0"/>
          <w:color w:val="auto"/>
          <w:kern w:val="0"/>
          <w:sz w:val="32"/>
          <w:szCs w:val="32"/>
          <w:highlight w:val="none"/>
          <w:shd w:val="clear" w:color="auto" w:fill="FFFFFF"/>
          <w:lang w:val="en-US" w:eastAsia="zh-CN"/>
        </w:rPr>
        <w:t>1.部门财政拨款收入情况</w:t>
      </w:r>
    </w:p>
    <w:p>
      <w:pPr>
        <w:widowControl/>
        <w:adjustRightInd w:val="0"/>
        <w:snapToGrid w:val="0"/>
        <w:spacing w:line="580" w:lineRule="exact"/>
        <w:ind w:firstLine="640" w:firstLineChars="200"/>
        <w:contextualSpacing/>
        <w:jc w:val="left"/>
        <w:rPr>
          <w:rFonts w:hint="default" w:ascii="Times New Roman" w:hAnsi="Times New Roman" w:eastAsia="仿宋" w:cs="Times New Roman"/>
          <w:lang w:val="en-US" w:eastAsia="zh-CN"/>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年本年</w:t>
      </w:r>
      <w:r>
        <w:rPr>
          <w:rFonts w:hint="default" w:ascii="Times New Roman" w:hAnsi="Times New Roman" w:eastAsia="仿宋" w:cs="Times New Roman"/>
          <w:b w:val="0"/>
          <w:bCs w:val="0"/>
          <w:color w:val="auto"/>
          <w:kern w:val="0"/>
          <w:sz w:val="32"/>
          <w:szCs w:val="32"/>
          <w:highlight w:val="none"/>
          <w:shd w:val="clear" w:color="auto" w:fill="FFFFFF"/>
          <w:lang w:val="en-US" w:eastAsia="zh-CN"/>
        </w:rPr>
        <w:t>部门财政拨款</w:t>
      </w:r>
      <w:r>
        <w:rPr>
          <w:rFonts w:hint="default" w:ascii="Times New Roman" w:hAnsi="Times New Roman" w:eastAsia="仿宋" w:cs="Times New Roman"/>
          <w:color w:val="000000"/>
          <w:sz w:val="32"/>
          <w:szCs w:val="32"/>
        </w:rPr>
        <w:t>收入合计</w:t>
      </w:r>
      <w:r>
        <w:rPr>
          <w:rFonts w:hint="default" w:ascii="Times New Roman" w:hAnsi="Times New Roman" w:eastAsia="仿宋" w:cs="Times New Roman"/>
          <w:sz w:val="32"/>
          <w:szCs w:val="32"/>
          <w:lang w:val="en-US" w:eastAsia="zh-CN"/>
        </w:rPr>
        <w:t>11.11</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 w:cs="Times New Roman"/>
          <w:b w:val="0"/>
          <w:bCs w:val="0"/>
          <w:color w:val="auto"/>
          <w:kern w:val="0"/>
          <w:sz w:val="32"/>
          <w:szCs w:val="32"/>
          <w:highlight w:val="none"/>
          <w:shd w:val="clear" w:color="auto" w:fill="FFFFFF"/>
          <w:lang w:val="en-US" w:eastAsia="zh-CN"/>
        </w:rPr>
      </w:pPr>
      <w:r>
        <w:rPr>
          <w:rFonts w:hint="default" w:ascii="Times New Roman" w:hAnsi="Times New Roman" w:eastAsia="仿宋" w:cs="Times New Roman"/>
          <w:b w:val="0"/>
          <w:bCs w:val="0"/>
          <w:color w:val="auto"/>
          <w:kern w:val="0"/>
          <w:sz w:val="32"/>
          <w:szCs w:val="32"/>
          <w:highlight w:val="none"/>
          <w:shd w:val="clear" w:color="auto" w:fill="FFFFFF"/>
          <w:lang w:val="en-US" w:eastAsia="zh-CN"/>
        </w:rPr>
        <w:t>2.部门财政拨款支出情况</w:t>
      </w:r>
    </w:p>
    <w:p>
      <w:pPr>
        <w:widowControl/>
        <w:adjustRightInd w:val="0"/>
        <w:snapToGrid w:val="0"/>
        <w:spacing w:line="580" w:lineRule="exact"/>
        <w:ind w:firstLine="640" w:firstLineChars="200"/>
        <w:contextualSpacing/>
        <w:jc w:val="left"/>
        <w:rPr>
          <w:rFonts w:hint="default" w:ascii="Times New Roman" w:hAnsi="Times New Roman" w:eastAsia="仿宋" w:cs="Times New Roman"/>
          <w:lang w:val="en-US" w:eastAsia="zh-CN"/>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年本年</w:t>
      </w:r>
      <w:r>
        <w:rPr>
          <w:rFonts w:hint="default" w:ascii="Times New Roman" w:hAnsi="Times New Roman" w:eastAsia="仿宋" w:cs="Times New Roman"/>
          <w:b w:val="0"/>
          <w:bCs w:val="0"/>
          <w:color w:val="auto"/>
          <w:kern w:val="0"/>
          <w:sz w:val="32"/>
          <w:szCs w:val="32"/>
          <w:highlight w:val="none"/>
          <w:shd w:val="clear" w:color="auto" w:fill="FFFFFF"/>
          <w:lang w:val="en-US" w:eastAsia="zh-CN"/>
        </w:rPr>
        <w:t>部门财政拨款</w:t>
      </w:r>
      <w:r>
        <w:rPr>
          <w:rFonts w:hint="default" w:ascii="Times New Roman" w:hAnsi="Times New Roman" w:eastAsia="仿宋" w:cs="Times New Roman"/>
          <w:color w:val="000000"/>
          <w:sz w:val="32"/>
          <w:szCs w:val="32"/>
          <w:lang w:val="en-US" w:eastAsia="zh-CN"/>
        </w:rPr>
        <w:t>支出</w:t>
      </w:r>
      <w:r>
        <w:rPr>
          <w:rFonts w:hint="default" w:ascii="Times New Roman" w:hAnsi="Times New Roman" w:eastAsia="仿宋" w:cs="Times New Roman"/>
          <w:color w:val="000000"/>
          <w:sz w:val="32"/>
          <w:szCs w:val="32"/>
        </w:rPr>
        <w:t>合计</w:t>
      </w:r>
      <w:r>
        <w:rPr>
          <w:rFonts w:hint="default" w:ascii="Times New Roman" w:hAnsi="Times New Roman" w:eastAsia="仿宋" w:cs="Times New Roman"/>
          <w:sz w:val="32"/>
          <w:szCs w:val="32"/>
          <w:lang w:val="en-US" w:eastAsia="zh-CN"/>
        </w:rPr>
        <w:t>11.11</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 w:cs="Times New Roman"/>
          <w:b w:val="0"/>
          <w:bCs w:val="0"/>
          <w:color w:val="auto"/>
          <w:kern w:val="0"/>
          <w:sz w:val="32"/>
          <w:szCs w:val="32"/>
          <w:highlight w:val="none"/>
          <w:shd w:val="clear" w:color="auto" w:fill="FFFFFF"/>
          <w:lang w:val="en-US" w:eastAsia="zh-CN"/>
        </w:rPr>
      </w:pPr>
      <w:r>
        <w:rPr>
          <w:rFonts w:hint="default" w:ascii="Times New Roman" w:hAnsi="Times New Roman" w:eastAsia="仿宋" w:cs="Times New Roman"/>
          <w:b w:val="0"/>
          <w:bCs w:val="0"/>
          <w:color w:val="auto"/>
          <w:kern w:val="0"/>
          <w:sz w:val="32"/>
          <w:szCs w:val="32"/>
          <w:highlight w:val="none"/>
          <w:shd w:val="clear" w:color="auto" w:fill="FFFFFF"/>
          <w:lang w:val="en-US" w:eastAsia="zh-CN"/>
        </w:rPr>
        <w:t>3.部门财政拨款结转结余情况</w:t>
      </w:r>
    </w:p>
    <w:p>
      <w:pPr>
        <w:pStyle w:val="20"/>
        <w:numPr>
          <w:ilvl w:val="0"/>
          <w:numId w:val="0"/>
        </w:numPr>
        <w:ind w:firstLine="640" w:firstLineChars="200"/>
        <w:rPr>
          <w:rFonts w:hint="default" w:ascii="Times New Roman" w:hAnsi="Times New Roman" w:eastAsia="仿宋" w:cs="Times New Roman"/>
          <w:lang w:val="en-US" w:eastAsia="zh-CN"/>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年本年</w:t>
      </w:r>
      <w:r>
        <w:rPr>
          <w:rFonts w:hint="default" w:ascii="Times New Roman" w:hAnsi="Times New Roman" w:eastAsia="仿宋" w:cs="Times New Roman"/>
          <w:b w:val="0"/>
          <w:bCs w:val="0"/>
          <w:color w:val="auto"/>
          <w:kern w:val="0"/>
          <w:sz w:val="32"/>
          <w:szCs w:val="32"/>
          <w:highlight w:val="none"/>
          <w:shd w:val="clear" w:color="auto" w:fill="FFFFFF"/>
          <w:lang w:val="en-US" w:eastAsia="zh-CN"/>
        </w:rPr>
        <w:t>部门财政拨款无结转结余。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color w:val="auto"/>
          <w:kern w:val="0"/>
          <w:sz w:val="32"/>
          <w:szCs w:val="32"/>
          <w:highlight w:val="none"/>
          <w:shd w:val="clear" w:color="auto" w:fill="FFFFFF"/>
        </w:rPr>
      </w:pPr>
      <w:r>
        <w:rPr>
          <w:rFonts w:hint="default" w:ascii="Times New Roman" w:hAnsi="Times New Roman" w:eastAsia="黑体" w:cs="Times New Roman"/>
          <w:color w:val="auto"/>
          <w:kern w:val="0"/>
          <w:sz w:val="32"/>
          <w:szCs w:val="32"/>
          <w:highlight w:val="none"/>
          <w:shd w:val="clear" w:color="auto" w:fill="FFFFFF"/>
        </w:rPr>
        <w:t>三、</w:t>
      </w:r>
      <w:r>
        <w:rPr>
          <w:rFonts w:hint="default" w:ascii="Times New Roman" w:hAnsi="Times New Roman" w:eastAsia="黑体" w:cs="Times New Roman"/>
          <w:color w:val="auto"/>
          <w:kern w:val="0"/>
          <w:sz w:val="32"/>
          <w:szCs w:val="32"/>
          <w:highlight w:val="none"/>
          <w:u w:val="none"/>
          <w:shd w:val="clear" w:color="auto" w:fill="FFFFFF"/>
        </w:rPr>
        <w:t>部门整体绩效</w:t>
      </w:r>
      <w:r>
        <w:rPr>
          <w:rFonts w:hint="default" w:ascii="Times New Roman" w:hAnsi="Times New Roman" w:eastAsia="黑体" w:cs="Times New Roman"/>
          <w:color w:val="auto"/>
          <w:kern w:val="0"/>
          <w:sz w:val="32"/>
          <w:szCs w:val="32"/>
          <w:highlight w:val="none"/>
          <w:u w:val="none"/>
          <w:shd w:val="clear" w:color="auto" w:fill="FFFFFF"/>
          <w:lang w:eastAsia="zh-CN"/>
        </w:rPr>
        <w:t>分析</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（一）部门预算项目绩效管理。</w:t>
      </w:r>
    </w:p>
    <w:p>
      <w:pPr>
        <w:widowControl/>
        <w:adjustRightInd w:val="0"/>
        <w:snapToGrid w:val="0"/>
        <w:spacing w:line="580" w:lineRule="exact"/>
        <w:ind w:firstLine="640" w:firstLineChars="200"/>
        <w:contextualSpacing/>
        <w:jc w:val="left"/>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因攀枝花市仁和区红十字会为新成立单位，2022年没有年初预算</w:t>
      </w:r>
      <w:r>
        <w:rPr>
          <w:rFonts w:hint="default" w:ascii="Times New Roman" w:hAnsi="Times New Roman" w:eastAsia="仿宋" w:cs="Times New Roman"/>
          <w:color w:val="000000"/>
          <w:sz w:val="32"/>
          <w:szCs w:val="32"/>
          <w:lang w:val="zh-CN" w:eastAsia="zh-CN"/>
        </w:rPr>
        <w:t>，</w:t>
      </w:r>
      <w:r>
        <w:rPr>
          <w:rFonts w:hint="default" w:ascii="Times New Roman" w:hAnsi="Times New Roman" w:eastAsia="仿宋" w:cs="Times New Roman"/>
          <w:color w:val="000000"/>
          <w:sz w:val="32"/>
          <w:szCs w:val="32"/>
          <w:lang w:val="en-US" w:eastAsia="zh-CN"/>
        </w:rPr>
        <w:t>年中所有人员和公用资金均为单位新增人员原单位调剂金额。2022年追加基本支出11.11万元，均按要求设置完善了绩效目标。年底基本支出11.11万元，预算执行率100%，无违规记录。</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（二）结果应用情况。</w:t>
      </w:r>
    </w:p>
    <w:p>
      <w:pPr>
        <w:widowControl/>
        <w:adjustRightInd w:val="0"/>
        <w:snapToGrid w:val="0"/>
        <w:spacing w:line="580" w:lineRule="exact"/>
        <w:ind w:firstLine="640" w:firstLineChars="200"/>
        <w:contextualSpacing/>
        <w:jc w:val="left"/>
        <w:rPr>
          <w:rFonts w:hint="default" w:ascii="Times New Roman" w:hAnsi="Times New Roman" w:eastAsia="仿宋" w:cs="Times New Roman"/>
          <w:color w:val="000000"/>
          <w:sz w:val="32"/>
          <w:szCs w:val="32"/>
          <w:lang w:val="zh-CN" w:eastAsia="zh-CN"/>
        </w:rPr>
      </w:pPr>
      <w:r>
        <w:rPr>
          <w:rFonts w:hint="default" w:ascii="Times New Roman" w:hAnsi="Times New Roman" w:eastAsia="仿宋" w:cs="Times New Roman"/>
          <w:color w:val="000000"/>
          <w:sz w:val="32"/>
          <w:szCs w:val="32"/>
          <w:lang w:val="en-US" w:eastAsia="zh-CN"/>
        </w:rPr>
        <w:t>因攀枝花市仁和区红十字会为新成立单位，中途追加预算项目后及时完成了当年预算绩效运行监控。并根据监控中发现的问题及时整改，根据情况及时调整使用资金。</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w:t>
      </w:r>
      <w:r>
        <w:rPr>
          <w:rFonts w:hint="default" w:ascii="Times New Roman" w:hAnsi="Times New Roman" w:eastAsia="楷体_GB2312" w:cs="Times New Roman"/>
          <w:b/>
          <w:bCs/>
          <w:color w:val="auto"/>
          <w:kern w:val="0"/>
          <w:sz w:val="32"/>
          <w:szCs w:val="32"/>
          <w:highlight w:val="none"/>
          <w:shd w:val="clear" w:color="auto" w:fill="FFFFFF"/>
          <w:lang w:val="en-US" w:eastAsia="zh-CN"/>
        </w:rPr>
        <w:t>三</w:t>
      </w:r>
      <w:r>
        <w:rPr>
          <w:rFonts w:hint="default" w:ascii="Times New Roman" w:hAnsi="Times New Roman" w:eastAsia="楷体_GB2312" w:cs="Times New Roman"/>
          <w:b/>
          <w:bCs/>
          <w:color w:val="auto"/>
          <w:kern w:val="0"/>
          <w:sz w:val="32"/>
          <w:szCs w:val="32"/>
          <w:highlight w:val="none"/>
          <w:shd w:val="clear" w:color="auto" w:fill="FFFFFF"/>
          <w:lang w:val="zh-CN"/>
        </w:rPr>
        <w:t>）自评质量。</w:t>
      </w:r>
    </w:p>
    <w:p>
      <w:pPr>
        <w:widowControl/>
        <w:adjustRightInd w:val="0"/>
        <w:snapToGrid w:val="0"/>
        <w:spacing w:line="580" w:lineRule="exact"/>
        <w:ind w:firstLine="640" w:firstLineChars="200"/>
        <w:contextualSpacing/>
        <w:jc w:val="left"/>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1.产出指标完成情况分析。数量指标完成情况：2022年完成应急救护普训2800人，救护员培训280人；完成机构改革并独立运行；质量指标、时效指标和成本指标均已完成。</w:t>
      </w:r>
    </w:p>
    <w:p>
      <w:pPr>
        <w:widowControl/>
        <w:adjustRightInd w:val="0"/>
        <w:snapToGrid w:val="0"/>
        <w:spacing w:line="580" w:lineRule="exact"/>
        <w:ind w:firstLine="640" w:firstLineChars="200"/>
        <w:contextualSpacing/>
        <w:jc w:val="left"/>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2.效益指标完成情况分析。设定目标无经济效益、生态效益指标，可持续影响指标已完成，社会效益指标已完成。</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 w:cs="Times New Roman"/>
          <w:color w:val="000000"/>
          <w:sz w:val="32"/>
          <w:szCs w:val="32"/>
          <w:lang w:val="en-US" w:eastAsia="zh-CN"/>
        </w:rPr>
        <w:t>3.满意度指标完成情况分析。2022年相关工作惠及人民群众，得到大家认可和肯定。受益对象满意度大于90%。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color w:val="auto"/>
          <w:kern w:val="0"/>
          <w:sz w:val="32"/>
          <w:szCs w:val="32"/>
          <w:highlight w:val="none"/>
          <w:shd w:val="clear" w:color="auto" w:fill="FFFFFF"/>
        </w:rPr>
      </w:pPr>
      <w:r>
        <w:rPr>
          <w:rFonts w:hint="default" w:ascii="Times New Roman" w:hAnsi="Times New Roman" w:eastAsia="黑体" w:cs="Times New Roman"/>
          <w:color w:val="auto"/>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2022年攀枝花市仁和区红十字会严格按照《预算法》规定编制部门预算，加强预算管理，认真执行各项财经纪律，不断完善内控制度，规范收支行为，预算执行情况良好，节能降耗成效明显，较好的完成了项目资金预算，实现经济和社会效益双丰收，为确保社会稳定做出了积极贡献。</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w:t>
      </w:r>
      <w:r>
        <w:rPr>
          <w:rFonts w:hint="default" w:ascii="Times New Roman" w:hAnsi="Times New Roman" w:eastAsia="楷体_GB2312" w:cs="Times New Roman"/>
          <w:b/>
          <w:bCs/>
          <w:color w:val="auto"/>
          <w:kern w:val="0"/>
          <w:sz w:val="32"/>
          <w:szCs w:val="32"/>
          <w:highlight w:val="none"/>
          <w:shd w:val="clear" w:color="auto" w:fill="FFFFFF"/>
          <w:lang w:val="en-US" w:eastAsia="zh-CN"/>
        </w:rPr>
        <w:t>二</w:t>
      </w:r>
      <w:r>
        <w:rPr>
          <w:rFonts w:hint="default" w:ascii="Times New Roman" w:hAnsi="Times New Roman" w:eastAsia="楷体_GB2312" w:cs="Times New Roman"/>
          <w:b/>
          <w:bCs/>
          <w:color w:val="auto"/>
          <w:kern w:val="0"/>
          <w:sz w:val="32"/>
          <w:szCs w:val="32"/>
          <w:highlight w:val="none"/>
          <w:shd w:val="clear" w:color="auto" w:fill="FFFFFF"/>
          <w:lang w:val="zh-CN"/>
        </w:rPr>
        <w:t>）存在问题。</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部门整体支出相比专项支出而言，社会效益较好，经济效益不明显。业务工作分项需要更加清晰，不能很好的对比支出与成果，进而很难有针对性的发现问题，分析问题，提出解决方案。</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楷体_GB2312" w:cs="Times New Roman"/>
          <w:b/>
          <w:bCs/>
          <w:color w:val="auto"/>
          <w:kern w:val="0"/>
          <w:sz w:val="32"/>
          <w:szCs w:val="32"/>
          <w:highlight w:val="none"/>
          <w:shd w:val="clear" w:color="auto" w:fill="FFFFFF"/>
          <w:lang w:val="zh-CN"/>
        </w:rPr>
        <w:t>（</w:t>
      </w:r>
      <w:r>
        <w:rPr>
          <w:rFonts w:hint="default" w:ascii="Times New Roman" w:hAnsi="Times New Roman" w:eastAsia="楷体_GB2312" w:cs="Times New Roman"/>
          <w:b/>
          <w:bCs/>
          <w:color w:val="auto"/>
          <w:kern w:val="0"/>
          <w:sz w:val="32"/>
          <w:szCs w:val="32"/>
          <w:highlight w:val="none"/>
          <w:shd w:val="clear" w:color="auto" w:fill="FFFFFF"/>
          <w:lang w:val="en-US" w:eastAsia="zh-CN"/>
        </w:rPr>
        <w:t>三</w:t>
      </w:r>
      <w:r>
        <w:rPr>
          <w:rFonts w:hint="default" w:ascii="Times New Roman" w:hAnsi="Times New Roman" w:eastAsia="楷体_GB2312" w:cs="Times New Roman"/>
          <w:b/>
          <w:bCs/>
          <w:color w:val="auto"/>
          <w:kern w:val="0"/>
          <w:sz w:val="32"/>
          <w:szCs w:val="32"/>
          <w:highlight w:val="none"/>
          <w:shd w:val="clear" w:color="auto" w:fill="FFFFFF"/>
          <w:lang w:val="zh-CN"/>
        </w:rPr>
        <w:t>）改进建议。</w:t>
      </w:r>
    </w:p>
    <w:p>
      <w:pPr>
        <w:pStyle w:val="3"/>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加强财会知识学习，提高思想认识。组织单位财务人员及分管财务的领导认真学习《预算法》等相关法规、制度，提高领导对全面预算管理的重视程度，增强财务人员的预算意识，加强资金的使用效益和管理水平，提高预算资金执行率。根据实际情况编列预算，以提高资金使用水平，发挥财政资金的使用效益。</w:t>
      </w:r>
    </w:p>
    <w:p>
      <w:pPr>
        <w:pStyle w:val="3"/>
        <w:spacing w:line="60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2.保障预算执行进度。加快推进项目实施进度，加强项目开展进度的跟踪，开展项目绩效的跟踪和评价，确保项目绩效的完成，发挥资金的使用效益，提高预算完成率。</w:t>
      </w:r>
    </w:p>
    <w:p>
      <w:pPr>
        <w:pStyle w:val="30"/>
        <w:widowControl w:val="0"/>
        <w:numPr>
          <w:ilvl w:val="0"/>
          <w:numId w:val="0"/>
        </w:numPr>
        <w:autoSpaceDE w:val="0"/>
        <w:autoSpaceDN w:val="0"/>
        <w:adjustRightInd w:val="0"/>
        <w:rPr>
          <w:rFonts w:hint="eastAsia"/>
          <w:lang w:val="zh-CN"/>
        </w:rPr>
      </w:pPr>
    </w:p>
    <w:p>
      <w:pPr>
        <w:pStyle w:val="30"/>
        <w:widowControl w:val="0"/>
        <w:numPr>
          <w:ilvl w:val="0"/>
          <w:numId w:val="0"/>
        </w:numPr>
        <w:autoSpaceDE w:val="0"/>
        <w:autoSpaceDN w:val="0"/>
        <w:adjustRightInd w:val="0"/>
        <w:rPr>
          <w:rFonts w:hint="eastAsia"/>
          <w:lang w:val="zh-CN"/>
        </w:rPr>
      </w:pPr>
    </w:p>
    <w:p>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pPr>
        <w:pStyle w:val="15"/>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部门预算项目支出绩效自评表（2022年度）</w:t>
      </w:r>
    </w:p>
    <w:tbl>
      <w:tblPr>
        <w:tblStyle w:val="16"/>
        <w:tblpPr w:leftFromText="180" w:rightFromText="180" w:vertAnchor="text" w:horzAnchor="page" w:tblpX="1455" w:tblpY="256"/>
        <w:tblOverlap w:val="never"/>
        <w:tblW w:w="9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3"/>
        <w:gridCol w:w="1227"/>
        <w:gridCol w:w="1079"/>
        <w:gridCol w:w="1408"/>
        <w:gridCol w:w="465"/>
        <w:gridCol w:w="735"/>
        <w:gridCol w:w="495"/>
        <w:gridCol w:w="1019"/>
        <w:gridCol w:w="505"/>
        <w:gridCol w:w="456"/>
        <w:gridCol w:w="1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2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51041121R000000067709-工资性支出区级（行政）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攀枝花市仁和区红十字会部门</w:t>
            </w:r>
          </w:p>
        </w:tc>
        <w:tc>
          <w:tcPr>
            <w:tcW w:w="101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攀枝花市仁和区红十字会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保障红十字会在职人员的正常办公、生活秩序</w:t>
            </w:r>
          </w:p>
        </w:tc>
        <w:tc>
          <w:tcPr>
            <w:tcW w:w="3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保障红十字会在职人员的正常办公、生活秩序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7.01</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7.01</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保障在职人员的正常办公、生活秩序</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2022年度</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通过项目的实施，确保资金使用效率，保障各项工作进展顺利</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通过项目的实施，力争使服务对象对项目实施的满意度达到较高水平</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5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及时、足额发放工资，保证机关正常运转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5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5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3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2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2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51041121R000000067921-区级目标奖及年终一次性奖金（行政）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攀枝花市仁和区红十字会部门</w:t>
            </w:r>
          </w:p>
        </w:tc>
        <w:tc>
          <w:tcPr>
            <w:tcW w:w="101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攀枝花市仁和区红十字会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保障红十字会在职人员的正常办公、生活秩序</w:t>
            </w:r>
          </w:p>
        </w:tc>
        <w:tc>
          <w:tcPr>
            <w:tcW w:w="3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保障红十字会在职人员的正常办公、生活秩序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2.24</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2.24</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2.24</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2.24</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保障在职人员的正常办公、生活秩序</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2022年度</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通过项目的实施，确保资金使用效率，保障各项工作进展顺利</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通过项目的实施，力争使服务对象对项目实施的满意度达到较高水平</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5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及时、足额发放工资，保证机关正常运转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5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5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3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2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2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51041121R000000067978-医疗保险（行政）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攀枝花市仁和区红十字会部门</w:t>
            </w:r>
          </w:p>
        </w:tc>
        <w:tc>
          <w:tcPr>
            <w:tcW w:w="101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攀枝花市仁和区红十字会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保障红十字会在职人员的正常办公、生活秩序</w:t>
            </w:r>
          </w:p>
        </w:tc>
        <w:tc>
          <w:tcPr>
            <w:tcW w:w="3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保障红十字会在职人员的正常办公、生活秩序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0.73</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0.73</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0.73</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0.73</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保障在职人员的正常办公、生活秩序</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2022年度</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通过项目的实施，确保资金使用效率，保障各项工作进展顺利</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通过项目的实施，力争使服务对象对项目实施的满意度达到较高水平</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5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及时、足额缴纳了在职职工医疗保险，保障机关正常运转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5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5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3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2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2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51041121R000000067980-基本养老保险（行政）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攀枝花市仁和区红十字会部门</w:t>
            </w:r>
          </w:p>
        </w:tc>
        <w:tc>
          <w:tcPr>
            <w:tcW w:w="101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攀枝花市仁和区红十字会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保障红十字会在职人员的正常办公、生活秩序</w:t>
            </w:r>
          </w:p>
        </w:tc>
        <w:tc>
          <w:tcPr>
            <w:tcW w:w="3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保障红十字会在职人员的正常办公、生活秩序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保障在职人员的正常办公、生活秩序</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2022年度</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0.50 </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0.50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通过项目的实施，确保资金使用效率，保障各项工作进展顺利</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通过项目的实施，力争使服务对象对项目实施的满意度达到较高水平</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5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严格执行相关政策，保障职工保险缴纳，保证机关正常运转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5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5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3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2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2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51041121R000000067982-公务员医疗补助（行政）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攀枝花市仁和区红十字会部门</w:t>
            </w:r>
          </w:p>
        </w:tc>
        <w:tc>
          <w:tcPr>
            <w:tcW w:w="101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攀枝花市仁和区红十字会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保障红十字会在职人员的正常办公、生活秩序</w:t>
            </w:r>
          </w:p>
        </w:tc>
        <w:tc>
          <w:tcPr>
            <w:tcW w:w="3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保障红十字会在职人员的正常办公、生活秩序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0.08</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0.08</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0.08</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0.08</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保障在职人员的正常办公、生活秩序</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2022年度</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通过项目的实施，确保资金使用效率，保障各项工作进展顺利</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通过项目的实施，力争使服务对象对项目实施的满意度达到较高水平</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1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5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严格执行相关政策，保障职工保险缴纳，保证机关正常运转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5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5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3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2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0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6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2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51041121R000000067984-住房公积金（行政）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攀枝花市仁和区红十字会部门</w:t>
            </w:r>
          </w:p>
        </w:tc>
        <w:tc>
          <w:tcPr>
            <w:tcW w:w="101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攀枝花市仁和区红十字会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1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保障红十字会在职人员的正常办公、生活秩序</w:t>
            </w:r>
          </w:p>
        </w:tc>
        <w:tc>
          <w:tcPr>
            <w:tcW w:w="31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保障红十字会在职人员的正常办公、生活秩序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0.54</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0.54</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0.54</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0.54</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保障在职人员的正常办公、生活秩序</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2022年度</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通过项目的实施，确保资金使用效率，保障各项工作进展顺利</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通过项目的实施，力争使服务对象对项目实施的满意度达到较高水平</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11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5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5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5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8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3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15"/>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5"/>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5"/>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5"/>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5"/>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15"/>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2"/>
        <w:rPr>
          <w:rFonts w:hint="eastAsia" w:hAnsi="宋体" w:cs="宋体"/>
          <w:color w:val="auto"/>
          <w:kern w:val="0"/>
          <w:sz w:val="32"/>
          <w:szCs w:val="32"/>
          <w:highlight w:val="none"/>
          <w:shd w:val="clear" w:color="auto" w:fill="FFFFFF"/>
          <w:lang w:val="zh-CN"/>
        </w:rPr>
      </w:pPr>
    </w:p>
    <w:p>
      <w:pPr>
        <w:spacing w:line="580" w:lineRule="exact"/>
        <w:rPr>
          <w:rStyle w:val="32"/>
          <w:rFonts w:ascii="黑体" w:hAnsi="黑体" w:eastAsia="黑体"/>
          <w:b w:val="0"/>
          <w:color w:val="auto"/>
          <w:highlight w:val="none"/>
        </w:rPr>
      </w:pPr>
    </w:p>
    <w:p>
      <w:pPr>
        <w:widowControl/>
        <w:jc w:val="left"/>
        <w:rPr>
          <w:rStyle w:val="32"/>
          <w:rFonts w:ascii="黑体" w:hAnsi="黑体" w:eastAsia="黑体"/>
          <w:b w:val="0"/>
          <w:color w:val="auto"/>
          <w:highlight w:val="none"/>
        </w:rPr>
      </w:pPr>
      <w:r>
        <w:rPr>
          <w:rStyle w:val="32"/>
          <w:rFonts w:ascii="黑体" w:hAnsi="黑体" w:eastAsia="黑体"/>
          <w:b w:val="0"/>
          <w:color w:val="auto"/>
          <w:highlight w:val="none"/>
        </w:rPr>
        <w:br w:type="page"/>
      </w:r>
    </w:p>
    <w:p>
      <w:pPr>
        <w:spacing w:line="600" w:lineRule="exact"/>
        <w:jc w:val="center"/>
        <w:outlineLvl w:val="0"/>
        <w:rPr>
          <w:rFonts w:hint="eastAsia" w:ascii="仿宋" w:hAnsi="仿宋" w:eastAsia="仿宋"/>
          <w:b w:val="0"/>
          <w:color w:val="auto"/>
          <w:highlight w:val="none"/>
        </w:rPr>
      </w:pPr>
      <w:bookmarkStart w:id="53" w:name="_Toc15396618"/>
      <w:r>
        <w:rPr>
          <w:rFonts w:hint="eastAsia" w:ascii="黑体" w:hAnsi="黑体" w:eastAsia="黑体"/>
          <w:color w:val="auto"/>
          <w:sz w:val="44"/>
          <w:szCs w:val="44"/>
          <w:highlight w:val="none"/>
        </w:rPr>
        <w:t>第</w:t>
      </w:r>
      <w:r>
        <w:rPr>
          <w:rStyle w:val="32"/>
          <w:rFonts w:hint="eastAsia" w:ascii="黑体" w:hAnsi="黑体" w:eastAsia="黑体"/>
          <w:b w:val="0"/>
          <w:color w:val="auto"/>
          <w:highlight w:val="none"/>
        </w:rPr>
        <w:t>五部分 附表</w:t>
      </w:r>
      <w:bookmarkEnd w:id="51"/>
      <w:bookmarkEnd w:id="53"/>
      <w:bookmarkStart w:id="54" w:name="_Toc15396619"/>
    </w:p>
    <w:p>
      <w:pPr>
        <w:pStyle w:val="5"/>
        <w:rPr>
          <w:rFonts w:ascii="仿宋" w:hAnsi="仿宋" w:eastAsia="仿宋"/>
          <w:color w:val="auto"/>
          <w:highlight w:val="none"/>
        </w:rPr>
      </w:pPr>
      <w:r>
        <w:rPr>
          <w:rFonts w:hint="eastAsia" w:ascii="仿宋" w:hAnsi="仿宋" w:eastAsia="仿宋"/>
          <w:b w:val="0"/>
          <w:color w:val="auto"/>
          <w:highlight w:val="none"/>
        </w:rPr>
        <w:t>一、收</w:t>
      </w:r>
      <w:r>
        <w:rPr>
          <w:rStyle w:val="33"/>
          <w:rFonts w:hint="eastAsia" w:ascii="仿宋" w:hAnsi="仿宋" w:eastAsia="仿宋"/>
          <w:b w:val="0"/>
          <w:bCs w:val="0"/>
          <w:color w:val="auto"/>
          <w:highlight w:val="none"/>
        </w:rPr>
        <w:t>入支出决算总表</w:t>
      </w:r>
      <w:bookmarkEnd w:id="54"/>
    </w:p>
    <w:p>
      <w:pPr>
        <w:pStyle w:val="5"/>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33"/>
          <w:rFonts w:hint="eastAsia" w:ascii="仿宋" w:hAnsi="仿宋" w:eastAsia="仿宋"/>
          <w:b w:val="0"/>
          <w:bCs w:val="0"/>
          <w:color w:val="auto"/>
          <w:highlight w:val="none"/>
        </w:rPr>
        <w:t>入决算表</w:t>
      </w:r>
      <w:bookmarkEnd w:id="55"/>
    </w:p>
    <w:p>
      <w:pPr>
        <w:pStyle w:val="5"/>
        <w:rPr>
          <w:rFonts w:ascii="仿宋" w:hAnsi="仿宋" w:eastAsia="仿宋"/>
          <w:color w:val="auto"/>
          <w:highlight w:val="none"/>
        </w:rPr>
      </w:pPr>
      <w:bookmarkStart w:id="56" w:name="_Toc15396621"/>
      <w:r>
        <w:rPr>
          <w:rStyle w:val="33"/>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3"/>
          <w:rFonts w:hint="eastAsia" w:ascii="仿宋" w:hAnsi="仿宋" w:eastAsia="仿宋"/>
          <w:b w:val="0"/>
          <w:bCs w:val="0"/>
          <w:color w:val="auto"/>
          <w:highlight w:val="none"/>
        </w:rPr>
        <w:t>出决算表</w:t>
      </w:r>
      <w:bookmarkEnd w:id="56"/>
    </w:p>
    <w:p>
      <w:pPr>
        <w:pStyle w:val="5"/>
        <w:rPr>
          <w:rFonts w:ascii="仿宋" w:hAnsi="仿宋" w:eastAsia="仿宋"/>
          <w:b w:val="0"/>
          <w:color w:val="auto"/>
          <w:highlight w:val="none"/>
        </w:rPr>
      </w:pPr>
      <w:bookmarkStart w:id="57" w:name="_Toc15396622"/>
      <w:r>
        <w:rPr>
          <w:rStyle w:val="33"/>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3"/>
          <w:rFonts w:hint="eastAsia" w:ascii="仿宋" w:hAnsi="仿宋" w:eastAsia="仿宋"/>
          <w:b w:val="0"/>
          <w:bCs w:val="0"/>
          <w:color w:val="auto"/>
          <w:highlight w:val="none"/>
        </w:rPr>
        <w:t>政拨款收入支出决算总表</w:t>
      </w:r>
      <w:bookmarkEnd w:id="57"/>
    </w:p>
    <w:p>
      <w:pPr>
        <w:pStyle w:val="5"/>
        <w:rPr>
          <w:rStyle w:val="33"/>
          <w:rFonts w:ascii="仿宋" w:hAnsi="仿宋" w:eastAsia="仿宋"/>
          <w:b w:val="0"/>
          <w:bCs w:val="0"/>
          <w:color w:val="auto"/>
          <w:highlight w:val="none"/>
        </w:rPr>
      </w:pPr>
      <w:bookmarkStart w:id="58" w:name="_Toc15396623"/>
      <w:r>
        <w:rPr>
          <w:rStyle w:val="33"/>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3"/>
          <w:rFonts w:hint="eastAsia" w:ascii="仿宋" w:hAnsi="仿宋" w:eastAsia="仿宋"/>
          <w:b w:val="0"/>
          <w:bCs w:val="0"/>
          <w:color w:val="auto"/>
          <w:highlight w:val="none"/>
        </w:rPr>
        <w:t>政拨款支出决算明细表</w:t>
      </w:r>
      <w:bookmarkEnd w:id="58"/>
      <w:bookmarkStart w:id="59" w:name="_Toc15396624"/>
    </w:p>
    <w:p>
      <w:pPr>
        <w:pStyle w:val="5"/>
        <w:rPr>
          <w:rFonts w:ascii="仿宋" w:hAnsi="仿宋" w:eastAsia="仿宋"/>
          <w:color w:val="auto"/>
          <w:highlight w:val="none"/>
        </w:rPr>
      </w:pPr>
      <w:r>
        <w:rPr>
          <w:rStyle w:val="33"/>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3"/>
          <w:rFonts w:hint="eastAsia" w:ascii="仿宋" w:hAnsi="仿宋" w:eastAsia="仿宋"/>
          <w:b w:val="0"/>
          <w:bCs w:val="0"/>
          <w:color w:val="auto"/>
          <w:highlight w:val="none"/>
        </w:rPr>
        <w:t>般公共预算财政拨款支出决算表</w:t>
      </w:r>
      <w:bookmarkEnd w:id="59"/>
    </w:p>
    <w:p>
      <w:pPr>
        <w:pStyle w:val="5"/>
        <w:rPr>
          <w:rFonts w:ascii="仿宋" w:hAnsi="仿宋" w:eastAsia="仿宋"/>
          <w:color w:val="auto"/>
          <w:highlight w:val="none"/>
        </w:rPr>
      </w:pPr>
      <w:bookmarkStart w:id="60" w:name="_Toc15396625"/>
      <w:r>
        <w:rPr>
          <w:rStyle w:val="33"/>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3"/>
          <w:rFonts w:hint="eastAsia" w:ascii="仿宋" w:hAnsi="仿宋" w:eastAsia="仿宋"/>
          <w:b w:val="0"/>
          <w:bCs w:val="0"/>
          <w:color w:val="auto"/>
          <w:highlight w:val="none"/>
        </w:rPr>
        <w:t>般公共预算财政拨款支出决算明细表</w:t>
      </w:r>
      <w:bookmarkEnd w:id="60"/>
    </w:p>
    <w:p>
      <w:pPr>
        <w:pStyle w:val="5"/>
        <w:rPr>
          <w:rFonts w:ascii="仿宋" w:hAnsi="仿宋" w:eastAsia="仿宋"/>
          <w:color w:val="auto"/>
          <w:highlight w:val="none"/>
        </w:rPr>
      </w:pPr>
      <w:bookmarkStart w:id="61" w:name="_Toc15396626"/>
      <w:r>
        <w:rPr>
          <w:rStyle w:val="33"/>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3"/>
          <w:rFonts w:hint="eastAsia" w:ascii="仿宋" w:hAnsi="仿宋" w:eastAsia="仿宋"/>
          <w:b w:val="0"/>
          <w:bCs w:val="0"/>
          <w:color w:val="auto"/>
          <w:highlight w:val="none"/>
        </w:rPr>
        <w:t>般公共预算财政拨款基本支出决算表</w:t>
      </w:r>
      <w:bookmarkEnd w:id="61"/>
    </w:p>
    <w:p>
      <w:pPr>
        <w:pStyle w:val="5"/>
        <w:rPr>
          <w:rFonts w:ascii="仿宋" w:hAnsi="仿宋" w:eastAsia="仿宋"/>
          <w:color w:val="auto"/>
          <w:highlight w:val="none"/>
        </w:rPr>
      </w:pPr>
      <w:bookmarkStart w:id="62" w:name="_Toc15396627"/>
      <w:r>
        <w:rPr>
          <w:rStyle w:val="33"/>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3"/>
          <w:rFonts w:hint="eastAsia" w:ascii="仿宋" w:hAnsi="仿宋" w:eastAsia="仿宋"/>
          <w:b w:val="0"/>
          <w:bCs w:val="0"/>
          <w:color w:val="auto"/>
          <w:highlight w:val="none"/>
        </w:rPr>
        <w:t>般公共预算财政拨款项目支出决算表</w:t>
      </w:r>
      <w:bookmarkEnd w:id="62"/>
    </w:p>
    <w:p>
      <w:pPr>
        <w:pStyle w:val="5"/>
        <w:rPr>
          <w:rFonts w:ascii="仿宋" w:hAnsi="仿宋" w:eastAsia="仿宋"/>
          <w:color w:val="auto"/>
          <w:highlight w:val="none"/>
        </w:rPr>
      </w:pPr>
      <w:bookmarkStart w:id="63" w:name="_Toc15396628"/>
      <w:r>
        <w:rPr>
          <w:rStyle w:val="33"/>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33"/>
          <w:rFonts w:hint="eastAsia" w:ascii="仿宋" w:hAnsi="仿宋" w:eastAsia="仿宋"/>
          <w:b w:val="0"/>
          <w:bCs w:val="0"/>
          <w:color w:val="auto"/>
          <w:highlight w:val="none"/>
        </w:rPr>
        <w:t>府性基金预算财政拨款收入支出决算表</w:t>
      </w:r>
    </w:p>
    <w:p>
      <w:pPr>
        <w:pStyle w:val="5"/>
        <w:rPr>
          <w:rFonts w:ascii="仿宋" w:hAnsi="仿宋" w:eastAsia="仿宋"/>
          <w:color w:val="auto"/>
          <w:highlight w:val="none"/>
        </w:rPr>
      </w:pPr>
      <w:bookmarkStart w:id="64" w:name="_Toc15396629"/>
      <w:r>
        <w:rPr>
          <w:rStyle w:val="33"/>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33"/>
          <w:rFonts w:hint="eastAsia" w:ascii="仿宋" w:hAnsi="仿宋" w:eastAsia="仿宋"/>
          <w:b w:val="0"/>
          <w:bCs w:val="0"/>
          <w:color w:val="auto"/>
          <w:highlight w:val="none"/>
        </w:rPr>
        <w:t>有资本经营预算</w:t>
      </w:r>
      <w:r>
        <w:rPr>
          <w:rStyle w:val="33"/>
          <w:rFonts w:hint="eastAsia" w:ascii="仿宋" w:hAnsi="仿宋" w:eastAsia="仿宋"/>
          <w:b w:val="0"/>
          <w:bCs w:val="0"/>
          <w:color w:val="auto"/>
          <w:highlight w:val="none"/>
          <w:lang w:eastAsia="zh-CN"/>
        </w:rPr>
        <w:t>财政拨款收入</w:t>
      </w:r>
      <w:r>
        <w:rPr>
          <w:rStyle w:val="33"/>
          <w:rFonts w:hint="eastAsia" w:ascii="仿宋" w:hAnsi="仿宋" w:eastAsia="仿宋"/>
          <w:b w:val="0"/>
          <w:bCs w:val="0"/>
          <w:color w:val="auto"/>
          <w:highlight w:val="none"/>
        </w:rPr>
        <w:t>支出决算表</w:t>
      </w:r>
    </w:p>
    <w:p>
      <w:pPr>
        <w:pStyle w:val="5"/>
        <w:rPr>
          <w:rFonts w:ascii="仿宋" w:hAnsi="仿宋" w:eastAsia="仿宋"/>
          <w:color w:val="auto"/>
          <w:highlight w:val="none"/>
        </w:rPr>
      </w:pPr>
      <w:bookmarkStart w:id="65" w:name="_Toc15396630"/>
      <w:r>
        <w:rPr>
          <w:rStyle w:val="33"/>
          <w:rFonts w:hint="eastAsia" w:ascii="仿宋" w:hAnsi="仿宋" w:eastAsia="仿宋"/>
          <w:b w:val="0"/>
          <w:bCs w:val="0"/>
          <w:color w:val="auto"/>
          <w:highlight w:val="none"/>
        </w:rPr>
        <w:t>十二、</w:t>
      </w:r>
      <w:bookmarkEnd w:id="65"/>
      <w:r>
        <w:rPr>
          <w:rStyle w:val="33"/>
          <w:rFonts w:hint="eastAsia" w:ascii="仿宋" w:hAnsi="仿宋" w:eastAsia="仿宋"/>
          <w:b w:val="0"/>
          <w:bCs w:val="0"/>
          <w:color w:val="auto"/>
          <w:highlight w:val="none"/>
          <w:lang w:eastAsia="zh-CN"/>
        </w:rPr>
        <w:t>国有资本经营预算财政拨款支出决算表</w:t>
      </w:r>
    </w:p>
    <w:p>
      <w:pPr>
        <w:pStyle w:val="5"/>
        <w:rPr>
          <w:rFonts w:hint="eastAsia" w:eastAsia="仿宋"/>
          <w:color w:val="auto"/>
          <w:highlight w:val="none"/>
          <w:lang w:eastAsia="zh-CN"/>
        </w:rPr>
      </w:pPr>
      <w:bookmarkStart w:id="66" w:name="_Toc15396631"/>
      <w:r>
        <w:rPr>
          <w:rStyle w:val="33"/>
          <w:rFonts w:hint="eastAsia" w:ascii="仿宋" w:hAnsi="仿宋" w:eastAsia="仿宋"/>
          <w:b w:val="0"/>
          <w:bCs w:val="0"/>
          <w:color w:val="auto"/>
          <w:highlight w:val="none"/>
        </w:rPr>
        <w:t>十三、</w:t>
      </w:r>
      <w:bookmarkEnd w:id="66"/>
      <w:r>
        <w:rPr>
          <w:rStyle w:val="33"/>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FFF674BC"/>
    <w:multiLevelType w:val="singleLevel"/>
    <w:tmpl w:val="FFF674BC"/>
    <w:lvl w:ilvl="0" w:tentative="0">
      <w:start w:val="1"/>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32291"/>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73B6F"/>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75141"/>
    <w:rsid w:val="015975B8"/>
    <w:rsid w:val="016731DD"/>
    <w:rsid w:val="017E2E02"/>
    <w:rsid w:val="02143E91"/>
    <w:rsid w:val="021C1A07"/>
    <w:rsid w:val="021E1686"/>
    <w:rsid w:val="02813929"/>
    <w:rsid w:val="02C57005"/>
    <w:rsid w:val="036A712A"/>
    <w:rsid w:val="039C537B"/>
    <w:rsid w:val="0442138C"/>
    <w:rsid w:val="045D79B7"/>
    <w:rsid w:val="056F17EE"/>
    <w:rsid w:val="064268D3"/>
    <w:rsid w:val="066E0107"/>
    <w:rsid w:val="07996F6E"/>
    <w:rsid w:val="07B0452B"/>
    <w:rsid w:val="07F20818"/>
    <w:rsid w:val="081233EB"/>
    <w:rsid w:val="08154250"/>
    <w:rsid w:val="08830107"/>
    <w:rsid w:val="08BF46E8"/>
    <w:rsid w:val="09196711"/>
    <w:rsid w:val="09C87119"/>
    <w:rsid w:val="0A2032A3"/>
    <w:rsid w:val="0B7F09E9"/>
    <w:rsid w:val="0C154760"/>
    <w:rsid w:val="0C953DB4"/>
    <w:rsid w:val="0DAC357C"/>
    <w:rsid w:val="0DD91BFD"/>
    <w:rsid w:val="0E552710"/>
    <w:rsid w:val="0E8841E4"/>
    <w:rsid w:val="0EBA5CB8"/>
    <w:rsid w:val="0EE31171"/>
    <w:rsid w:val="0F46331D"/>
    <w:rsid w:val="0F98263C"/>
    <w:rsid w:val="0FD41C88"/>
    <w:rsid w:val="0FE75425"/>
    <w:rsid w:val="101860EC"/>
    <w:rsid w:val="10557C57"/>
    <w:rsid w:val="10BE733F"/>
    <w:rsid w:val="10C055FF"/>
    <w:rsid w:val="118107EC"/>
    <w:rsid w:val="11BD17A8"/>
    <w:rsid w:val="11D413CD"/>
    <w:rsid w:val="122172CE"/>
    <w:rsid w:val="132754F7"/>
    <w:rsid w:val="13640BDF"/>
    <w:rsid w:val="13AF1F58"/>
    <w:rsid w:val="13CA3E07"/>
    <w:rsid w:val="13D50BC4"/>
    <w:rsid w:val="148C1946"/>
    <w:rsid w:val="149B08DC"/>
    <w:rsid w:val="15756040"/>
    <w:rsid w:val="15BF44EA"/>
    <w:rsid w:val="15D45246"/>
    <w:rsid w:val="164300E4"/>
    <w:rsid w:val="16BB723D"/>
    <w:rsid w:val="17253EB1"/>
    <w:rsid w:val="180453F5"/>
    <w:rsid w:val="183539C6"/>
    <w:rsid w:val="1872382B"/>
    <w:rsid w:val="19BC6CC5"/>
    <w:rsid w:val="1A2E1582"/>
    <w:rsid w:val="1B722B13"/>
    <w:rsid w:val="1BE8440E"/>
    <w:rsid w:val="1CA62F10"/>
    <w:rsid w:val="1CAC455A"/>
    <w:rsid w:val="1D155CEE"/>
    <w:rsid w:val="1D2264A9"/>
    <w:rsid w:val="1DEC1F22"/>
    <w:rsid w:val="1DF42BB2"/>
    <w:rsid w:val="1E443C36"/>
    <w:rsid w:val="1E9004B2"/>
    <w:rsid w:val="1E9239B5"/>
    <w:rsid w:val="1EE559BD"/>
    <w:rsid w:val="1F0813F5"/>
    <w:rsid w:val="1F345F2A"/>
    <w:rsid w:val="1F3C358B"/>
    <w:rsid w:val="1F4934E4"/>
    <w:rsid w:val="1F913F5F"/>
    <w:rsid w:val="1FF35744"/>
    <w:rsid w:val="20CE32DF"/>
    <w:rsid w:val="2137748C"/>
    <w:rsid w:val="21836286"/>
    <w:rsid w:val="227B299A"/>
    <w:rsid w:val="22A83E6A"/>
    <w:rsid w:val="22F92970"/>
    <w:rsid w:val="236271B7"/>
    <w:rsid w:val="23860B96"/>
    <w:rsid w:val="240371BF"/>
    <w:rsid w:val="240772AA"/>
    <w:rsid w:val="242D74E9"/>
    <w:rsid w:val="247A3D65"/>
    <w:rsid w:val="25053949"/>
    <w:rsid w:val="255B7450"/>
    <w:rsid w:val="25772983"/>
    <w:rsid w:val="25D105C8"/>
    <w:rsid w:val="25FD3EE1"/>
    <w:rsid w:val="26D0553E"/>
    <w:rsid w:val="271A0E36"/>
    <w:rsid w:val="27263895"/>
    <w:rsid w:val="27A95222"/>
    <w:rsid w:val="28792077"/>
    <w:rsid w:val="28B66659"/>
    <w:rsid w:val="28CA0B7C"/>
    <w:rsid w:val="294626C4"/>
    <w:rsid w:val="296D0386"/>
    <w:rsid w:val="29FD04D3"/>
    <w:rsid w:val="2AC32EB5"/>
    <w:rsid w:val="2B305A68"/>
    <w:rsid w:val="2B467C0B"/>
    <w:rsid w:val="2B675BC2"/>
    <w:rsid w:val="2BAC2E33"/>
    <w:rsid w:val="2C1B476C"/>
    <w:rsid w:val="2C8A61B5"/>
    <w:rsid w:val="2D4973DC"/>
    <w:rsid w:val="2DD4153F"/>
    <w:rsid w:val="2DF04E50"/>
    <w:rsid w:val="2E1135A2"/>
    <w:rsid w:val="2E650E2E"/>
    <w:rsid w:val="2E755845"/>
    <w:rsid w:val="2F040D46"/>
    <w:rsid w:val="2F176141"/>
    <w:rsid w:val="2FF624BE"/>
    <w:rsid w:val="30443121"/>
    <w:rsid w:val="30622E72"/>
    <w:rsid w:val="310600FC"/>
    <w:rsid w:val="31300B2E"/>
    <w:rsid w:val="31455663"/>
    <w:rsid w:val="319F7F4E"/>
    <w:rsid w:val="31A74402"/>
    <w:rsid w:val="31B7469D"/>
    <w:rsid w:val="31EF007A"/>
    <w:rsid w:val="3304709D"/>
    <w:rsid w:val="33365E13"/>
    <w:rsid w:val="33396D97"/>
    <w:rsid w:val="33603535"/>
    <w:rsid w:val="338F55A8"/>
    <w:rsid w:val="34AC369B"/>
    <w:rsid w:val="34E34BD5"/>
    <w:rsid w:val="355E0C9B"/>
    <w:rsid w:val="35FB7C20"/>
    <w:rsid w:val="36AA5135"/>
    <w:rsid w:val="376D39B2"/>
    <w:rsid w:val="37E16F03"/>
    <w:rsid w:val="386A541B"/>
    <w:rsid w:val="388075BE"/>
    <w:rsid w:val="38D469F0"/>
    <w:rsid w:val="396B2A3F"/>
    <w:rsid w:val="39EC65B8"/>
    <w:rsid w:val="3A2B2E7D"/>
    <w:rsid w:val="3A6E5DEB"/>
    <w:rsid w:val="3AD562C5"/>
    <w:rsid w:val="3B612EFA"/>
    <w:rsid w:val="3B643E7F"/>
    <w:rsid w:val="3B8F132C"/>
    <w:rsid w:val="3C277440"/>
    <w:rsid w:val="3C9654F5"/>
    <w:rsid w:val="3CBC1EB2"/>
    <w:rsid w:val="3D325373"/>
    <w:rsid w:val="3D461E16"/>
    <w:rsid w:val="3D98207C"/>
    <w:rsid w:val="3DA63134"/>
    <w:rsid w:val="3E340419"/>
    <w:rsid w:val="3E78745D"/>
    <w:rsid w:val="3EB16816"/>
    <w:rsid w:val="3ED72E88"/>
    <w:rsid w:val="3ED92C0F"/>
    <w:rsid w:val="3F210422"/>
    <w:rsid w:val="3F93711E"/>
    <w:rsid w:val="40017BAE"/>
    <w:rsid w:val="40D47A68"/>
    <w:rsid w:val="41837C0C"/>
    <w:rsid w:val="42143C78"/>
    <w:rsid w:val="42C46A8C"/>
    <w:rsid w:val="42E40ACD"/>
    <w:rsid w:val="44703AD7"/>
    <w:rsid w:val="44E268DA"/>
    <w:rsid w:val="45053FCB"/>
    <w:rsid w:val="45277812"/>
    <w:rsid w:val="45456005"/>
    <w:rsid w:val="461F4717"/>
    <w:rsid w:val="46CF6AB9"/>
    <w:rsid w:val="47051512"/>
    <w:rsid w:val="475A449F"/>
    <w:rsid w:val="478F3FCD"/>
    <w:rsid w:val="47E75388"/>
    <w:rsid w:val="4875266D"/>
    <w:rsid w:val="493F7B37"/>
    <w:rsid w:val="49D1292A"/>
    <w:rsid w:val="4A0D148A"/>
    <w:rsid w:val="4A49386D"/>
    <w:rsid w:val="4A627F82"/>
    <w:rsid w:val="4AB3549B"/>
    <w:rsid w:val="4AC431B7"/>
    <w:rsid w:val="4B0E749A"/>
    <w:rsid w:val="4B2D7363"/>
    <w:rsid w:val="4B4F25DA"/>
    <w:rsid w:val="4B560527"/>
    <w:rsid w:val="4BE068DB"/>
    <w:rsid w:val="4BE72014"/>
    <w:rsid w:val="4C6A3C60"/>
    <w:rsid w:val="4C947BAF"/>
    <w:rsid w:val="4D4077C7"/>
    <w:rsid w:val="4D577224"/>
    <w:rsid w:val="4E4E414A"/>
    <w:rsid w:val="4E7E67D5"/>
    <w:rsid w:val="4E856160"/>
    <w:rsid w:val="4EAB059E"/>
    <w:rsid w:val="4EAB630A"/>
    <w:rsid w:val="4ECE2238"/>
    <w:rsid w:val="4F362701"/>
    <w:rsid w:val="4FB542D4"/>
    <w:rsid w:val="4FEA34A9"/>
    <w:rsid w:val="50067556"/>
    <w:rsid w:val="5069507C"/>
    <w:rsid w:val="51324AC5"/>
    <w:rsid w:val="51524FFA"/>
    <w:rsid w:val="51532A7B"/>
    <w:rsid w:val="51797438"/>
    <w:rsid w:val="51D82CD4"/>
    <w:rsid w:val="52023B18"/>
    <w:rsid w:val="522A39D8"/>
    <w:rsid w:val="52F037A1"/>
    <w:rsid w:val="53252976"/>
    <w:rsid w:val="537E6D0A"/>
    <w:rsid w:val="5425031B"/>
    <w:rsid w:val="5476326F"/>
    <w:rsid w:val="54CF4F30"/>
    <w:rsid w:val="55160F28"/>
    <w:rsid w:val="556B0632"/>
    <w:rsid w:val="566F245E"/>
    <w:rsid w:val="57260908"/>
    <w:rsid w:val="57381EA7"/>
    <w:rsid w:val="575539D5"/>
    <w:rsid w:val="57E22379"/>
    <w:rsid w:val="58D45ADA"/>
    <w:rsid w:val="591A203C"/>
    <w:rsid w:val="5A1225D4"/>
    <w:rsid w:val="5A3E691C"/>
    <w:rsid w:val="5A761891"/>
    <w:rsid w:val="5A7F7385"/>
    <w:rsid w:val="5AF92295"/>
    <w:rsid w:val="5B251198"/>
    <w:rsid w:val="5B34012D"/>
    <w:rsid w:val="5B692B86"/>
    <w:rsid w:val="5BD9413E"/>
    <w:rsid w:val="5C45126F"/>
    <w:rsid w:val="5CD71FC4"/>
    <w:rsid w:val="5D8366F8"/>
    <w:rsid w:val="5E0F1B60"/>
    <w:rsid w:val="5E284C88"/>
    <w:rsid w:val="5E4B06C0"/>
    <w:rsid w:val="5E5025C9"/>
    <w:rsid w:val="5E5C1C5F"/>
    <w:rsid w:val="5F6D531F"/>
    <w:rsid w:val="601D05BB"/>
    <w:rsid w:val="607A0954"/>
    <w:rsid w:val="61B970E2"/>
    <w:rsid w:val="61E97C32"/>
    <w:rsid w:val="62934847"/>
    <w:rsid w:val="63E91EF8"/>
    <w:rsid w:val="640C6632"/>
    <w:rsid w:val="64B51049"/>
    <w:rsid w:val="657C1D0C"/>
    <w:rsid w:val="6670389E"/>
    <w:rsid w:val="668D6097"/>
    <w:rsid w:val="669811DF"/>
    <w:rsid w:val="66AD5901"/>
    <w:rsid w:val="678D29F1"/>
    <w:rsid w:val="687A3023"/>
    <w:rsid w:val="68B327D3"/>
    <w:rsid w:val="68C462F1"/>
    <w:rsid w:val="69112B6D"/>
    <w:rsid w:val="69282792"/>
    <w:rsid w:val="69480AC8"/>
    <w:rsid w:val="69862953"/>
    <w:rsid w:val="6C4A05C8"/>
    <w:rsid w:val="6C6F5A72"/>
    <w:rsid w:val="6C7034F3"/>
    <w:rsid w:val="6CB674EB"/>
    <w:rsid w:val="6CB94BEC"/>
    <w:rsid w:val="6CC30D7F"/>
    <w:rsid w:val="6CD23598"/>
    <w:rsid w:val="6D5B21F7"/>
    <w:rsid w:val="6D8619B1"/>
    <w:rsid w:val="6DF8446C"/>
    <w:rsid w:val="6E112C1F"/>
    <w:rsid w:val="6E7E3605"/>
    <w:rsid w:val="6EDD1095"/>
    <w:rsid w:val="6F6A1F57"/>
    <w:rsid w:val="6F992AA6"/>
    <w:rsid w:val="6FF5CC65"/>
    <w:rsid w:val="70065659"/>
    <w:rsid w:val="70920AC0"/>
    <w:rsid w:val="715C0E4B"/>
    <w:rsid w:val="72734D90"/>
    <w:rsid w:val="7293150A"/>
    <w:rsid w:val="729E4018"/>
    <w:rsid w:val="72C96161"/>
    <w:rsid w:val="73445AAB"/>
    <w:rsid w:val="735E6655"/>
    <w:rsid w:val="73A070BE"/>
    <w:rsid w:val="73AD73D5"/>
    <w:rsid w:val="73B6EB34"/>
    <w:rsid w:val="744731E5"/>
    <w:rsid w:val="751759A6"/>
    <w:rsid w:val="75A07E88"/>
    <w:rsid w:val="75BC19B7"/>
    <w:rsid w:val="765A3553"/>
    <w:rsid w:val="76E3355F"/>
    <w:rsid w:val="772B0DDE"/>
    <w:rsid w:val="7732281D"/>
    <w:rsid w:val="778769C8"/>
    <w:rsid w:val="77BD2910"/>
    <w:rsid w:val="782E39BA"/>
    <w:rsid w:val="78EE0575"/>
    <w:rsid w:val="790A79BA"/>
    <w:rsid w:val="791C5BC1"/>
    <w:rsid w:val="79597C24"/>
    <w:rsid w:val="79802062"/>
    <w:rsid w:val="79EE5BA4"/>
    <w:rsid w:val="7A894339"/>
    <w:rsid w:val="7B1C0B89"/>
    <w:rsid w:val="7B6C638A"/>
    <w:rsid w:val="7B7934A2"/>
    <w:rsid w:val="7D987C19"/>
    <w:rsid w:val="7DA1632A"/>
    <w:rsid w:val="7DA60233"/>
    <w:rsid w:val="7E9319A6"/>
    <w:rsid w:val="7EEF11D3"/>
    <w:rsid w:val="7F695915"/>
    <w:rsid w:val="7FA30C79"/>
    <w:rsid w:val="7FB7269E"/>
    <w:rsid w:val="7FC96657"/>
    <w:rsid w:val="7FDB01D3"/>
    <w:rsid w:val="7FE71A6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9"/>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qFormat/>
    <w:uiPriority w:val="99"/>
    <w:pPr>
      <w:spacing w:beforeLines="30"/>
    </w:pPr>
    <w:rPr>
      <w:rFonts w:ascii="仿宋_GB2312" w:eastAsia="仿宋_GB2312"/>
      <w:kern w:val="0"/>
      <w:sz w:val="30"/>
    </w:rPr>
  </w:style>
  <w:style w:type="paragraph" w:styleId="3">
    <w:name w:val="Plain Text"/>
    <w:basedOn w:val="1"/>
    <w:unhideWhenUsed/>
    <w:qFormat/>
    <w:uiPriority w:val="99"/>
    <w:rPr>
      <w:rFonts w:hint="eastAsia" w:ascii="宋体" w:hAnsi="Courier New"/>
      <w:sz w:val="24"/>
      <w:szCs w:val="24"/>
    </w:rPr>
  </w:style>
  <w:style w:type="paragraph" w:styleId="7">
    <w:name w:val="Body Text Indent"/>
    <w:basedOn w:val="1"/>
    <w:qFormat/>
    <w:uiPriority w:val="0"/>
    <w:pPr>
      <w:spacing w:after="120"/>
      <w:ind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5"/>
    <w:semiHidden/>
    <w:unhideWhenUsed/>
    <w:qFormat/>
    <w:uiPriority w:val="99"/>
    <w:rPr>
      <w:sz w:val="18"/>
      <w:szCs w:val="18"/>
    </w:rPr>
  </w:style>
  <w:style w:type="paragraph" w:styleId="10">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BodyText"/>
    <w:basedOn w:val="1"/>
    <w:next w:val="21"/>
    <w:qFormat/>
    <w:uiPriority w:val="0"/>
    <w:pPr>
      <w:textAlignment w:val="baseline"/>
    </w:pPr>
    <w:rPr>
      <w:sz w:val="44"/>
    </w:rPr>
  </w:style>
  <w:style w:type="paragraph" w:customStyle="1" w:styleId="21">
    <w:name w:val="PlainText"/>
    <w:basedOn w:val="1"/>
    <w:next w:val="22"/>
    <w:qFormat/>
    <w:uiPriority w:val="0"/>
    <w:pPr>
      <w:ind w:left="200" w:leftChars="200"/>
      <w:textAlignment w:val="baseline"/>
    </w:pPr>
    <w:rPr>
      <w:rFonts w:ascii="宋体" w:hAnsi="宋体" w:eastAsia="方正黑体_GBK"/>
      <w:sz w:val="33"/>
      <w:szCs w:val="21"/>
    </w:rPr>
  </w:style>
  <w:style w:type="paragraph" w:customStyle="1" w:styleId="22">
    <w:name w:val="Heading1"/>
    <w:basedOn w:val="1"/>
    <w:next w:val="1"/>
    <w:qFormat/>
    <w:uiPriority w:val="0"/>
    <w:pPr>
      <w:keepNext/>
      <w:keepLines/>
      <w:spacing w:before="340" w:after="330" w:line="576" w:lineRule="auto"/>
      <w:textAlignment w:val="baseline"/>
    </w:pPr>
    <w:rPr>
      <w:b/>
      <w:kern w:val="44"/>
      <w:sz w:val="44"/>
    </w:rPr>
  </w:style>
  <w:style w:type="paragraph" w:customStyle="1" w:styleId="23">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4">
    <w:name w:val="Header Char"/>
    <w:basedOn w:val="17"/>
    <w:semiHidden/>
    <w:qFormat/>
    <w:uiPriority w:val="99"/>
    <w:rPr>
      <w:rFonts w:ascii="Times New Roman" w:hAnsi="Times New Roman"/>
      <w:sz w:val="18"/>
      <w:szCs w:val="18"/>
    </w:rPr>
  </w:style>
  <w:style w:type="character" w:customStyle="1" w:styleId="25">
    <w:name w:val="页眉 Char"/>
    <w:link w:val="11"/>
    <w:semiHidden/>
    <w:qFormat/>
    <w:locked/>
    <w:uiPriority w:val="99"/>
    <w:rPr>
      <w:sz w:val="18"/>
    </w:rPr>
  </w:style>
  <w:style w:type="character" w:customStyle="1" w:styleId="26">
    <w:name w:val="Footer Char"/>
    <w:basedOn w:val="17"/>
    <w:semiHidden/>
    <w:qFormat/>
    <w:uiPriority w:val="99"/>
    <w:rPr>
      <w:rFonts w:ascii="Times New Roman" w:hAnsi="Times New Roman"/>
      <w:sz w:val="18"/>
      <w:szCs w:val="18"/>
    </w:rPr>
  </w:style>
  <w:style w:type="character" w:customStyle="1" w:styleId="27">
    <w:name w:val="页脚 Char"/>
    <w:link w:val="10"/>
    <w:qFormat/>
    <w:locked/>
    <w:uiPriority w:val="99"/>
    <w:rPr>
      <w:sz w:val="18"/>
    </w:rPr>
  </w:style>
  <w:style w:type="character" w:customStyle="1" w:styleId="28">
    <w:name w:val="Body Text Char"/>
    <w:basedOn w:val="17"/>
    <w:semiHidden/>
    <w:qFormat/>
    <w:uiPriority w:val="99"/>
    <w:rPr>
      <w:rFonts w:ascii="Times New Roman" w:hAnsi="Times New Roman"/>
      <w:szCs w:val="24"/>
    </w:rPr>
  </w:style>
  <w:style w:type="character" w:customStyle="1" w:styleId="29">
    <w:name w:val="正文文本 Char"/>
    <w:link w:val="2"/>
    <w:qFormat/>
    <w:locked/>
    <w:uiPriority w:val="99"/>
    <w:rPr>
      <w:rFonts w:ascii="仿宋_GB2312" w:hAnsi="Times New Roman" w:eastAsia="仿宋_GB2312"/>
      <w:sz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1">
    <w:name w:val="List Paragraph"/>
    <w:basedOn w:val="1"/>
    <w:qFormat/>
    <w:uiPriority w:val="34"/>
    <w:pPr>
      <w:ind w:firstLine="420" w:firstLineChars="200"/>
    </w:pPr>
  </w:style>
  <w:style w:type="character" w:customStyle="1" w:styleId="32">
    <w:name w:val="标题 1 Char"/>
    <w:basedOn w:val="17"/>
    <w:link w:val="4"/>
    <w:qFormat/>
    <w:uiPriority w:val="9"/>
    <w:rPr>
      <w:rFonts w:ascii="Times New Roman" w:hAnsi="Times New Roman"/>
      <w:b/>
      <w:bCs/>
      <w:kern w:val="44"/>
      <w:sz w:val="44"/>
      <w:szCs w:val="44"/>
    </w:rPr>
  </w:style>
  <w:style w:type="character" w:customStyle="1" w:styleId="33">
    <w:name w:val="标题 2 Char"/>
    <w:basedOn w:val="17"/>
    <w:link w:val="5"/>
    <w:qFormat/>
    <w:uiPriority w:val="9"/>
    <w:rPr>
      <w:rFonts w:asciiTheme="majorHAnsi" w:hAnsiTheme="majorHAnsi" w:eastAsiaTheme="majorEastAsia" w:cstheme="majorBidi"/>
      <w:b/>
      <w:bCs/>
      <w:kern w:val="2"/>
      <w:sz w:val="32"/>
      <w:szCs w:val="32"/>
    </w:rPr>
  </w:style>
  <w:style w:type="paragraph" w:customStyle="1" w:styleId="34">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批注框文本 Char"/>
    <w:basedOn w:val="17"/>
    <w:link w:val="9"/>
    <w:semiHidden/>
    <w:qFormat/>
    <w:uiPriority w:val="99"/>
    <w:rPr>
      <w:rFonts w:ascii="Times New Roman" w:hAnsi="Times New Roman"/>
      <w:kern w:val="2"/>
      <w:sz w:val="18"/>
      <w:szCs w:val="18"/>
    </w:rPr>
  </w:style>
  <w:style w:type="character" w:customStyle="1" w:styleId="36">
    <w:name w:val="标题 3 Char"/>
    <w:basedOn w:val="17"/>
    <w:link w:val="6"/>
    <w:qFormat/>
    <w:uiPriority w:val="9"/>
    <w:rPr>
      <w:rFonts w:ascii="Times New Roman" w:hAnsi="Times New Roman"/>
      <w:b/>
      <w:bCs/>
      <w:kern w:val="2"/>
      <w:sz w:val="32"/>
      <w:szCs w:val="32"/>
    </w:rPr>
  </w:style>
  <w:style w:type="paragraph" w:customStyle="1" w:styleId="37">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8">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9">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收、支总计（万元）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0</c:v>
                </c:pt>
                <c:pt idx="1">
                  <c:v>11.11</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Sheet1!$C$2:$C$3</c:f>
              <c:numCache>
                <c:formatCode>General</c:formatCode>
                <c:ptCount val="2"/>
                <c:pt idx="0">
                  <c:v>0</c:v>
                </c:pt>
                <c:pt idx="1">
                  <c:v>11.11</c:v>
                </c:pt>
              </c:numCache>
            </c:numRef>
          </c:val>
        </c:ser>
        <c:dLbls>
          <c:showLegendKey val="0"/>
          <c:showVal val="1"/>
          <c:showCatName val="0"/>
          <c:showSerName val="0"/>
          <c:showPercent val="0"/>
          <c:showBubbleSize val="0"/>
        </c:dLbls>
        <c:gapWidth val="219"/>
        <c:overlap val="-27"/>
        <c:axId val="374298650"/>
        <c:axId val="688181091"/>
      </c:barChart>
      <c:catAx>
        <c:axId val="37429865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8181091"/>
        <c:crosses val="autoZero"/>
        <c:auto val="1"/>
        <c:lblAlgn val="ctr"/>
        <c:lblOffset val="100"/>
        <c:noMultiLvlLbl val="0"/>
      </c:catAx>
      <c:valAx>
        <c:axId val="6881810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4298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年</a:t>
            </a:r>
            <a:r>
              <a:t>收入（万元）</a:t>
            </a:r>
          </a:p>
        </c:rich>
      </c:tx>
      <c:layout>
        <c:manualLayout>
          <c:xMode val="edge"/>
          <c:yMode val="edge"/>
          <c:x val="0.327733158498607"/>
          <c:y val="0.0278486887909028"/>
        </c:manualLayout>
      </c:layout>
      <c:overlay val="0"/>
      <c:spPr>
        <a:noFill/>
        <a:ln>
          <a:noFill/>
        </a:ln>
        <a:effectLst/>
      </c:sp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c:v>
                </c:pt>
              </c:strCache>
            </c:strRef>
          </c:cat>
          <c:val>
            <c:numRef>
              <c:f>Sheet1!$B$2:$B$5</c:f>
              <c:numCache>
                <c:formatCode>General</c:formatCode>
                <c:ptCount val="4"/>
                <c:pt idx="0">
                  <c:v>11.11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年</a:t>
            </a:r>
            <a:r>
              <a:t>支出（万元）</a:t>
            </a:r>
          </a:p>
        </c:rich>
      </c:tx>
      <c:layout/>
      <c:overlay val="0"/>
      <c:spPr>
        <a:noFill/>
        <a:ln>
          <a:noFill/>
        </a:ln>
        <a:effectLst/>
      </c:spPr>
    </c:title>
    <c:autoTitleDeleted val="0"/>
    <c:plotArea>
      <c:layout>
        <c:manualLayout>
          <c:layoutTarget val="inner"/>
          <c:xMode val="edge"/>
          <c:yMode val="edge"/>
          <c:x val="0.253633604855454"/>
          <c:y val="0.174215246636771"/>
          <c:w val="0.483149656604376"/>
          <c:h val="0.678251121076233"/>
        </c:manualLayout>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strCache>
            </c:strRef>
          </c:cat>
          <c:val>
            <c:numRef>
              <c:f>Sheet1!$B$2:$B$5</c:f>
              <c:numCache>
                <c:formatCode>General</c:formatCode>
                <c:ptCount val="4"/>
                <c:pt idx="0">
                  <c:v>11.11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0</c:v>
                </c:pt>
                <c:pt idx="1">
                  <c:v>11.11</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Sheet1!$C$2:$C$3</c:f>
              <c:numCache>
                <c:formatCode>General</c:formatCode>
                <c:ptCount val="2"/>
                <c:pt idx="0">
                  <c:v>0</c:v>
                </c:pt>
                <c:pt idx="1">
                  <c:v>11.11</c:v>
                </c:pt>
              </c:numCache>
            </c:numRef>
          </c:val>
        </c:ser>
        <c:dLbls>
          <c:showLegendKey val="0"/>
          <c:showVal val="1"/>
          <c:showCatName val="0"/>
          <c:showSerName val="0"/>
          <c:showPercent val="0"/>
          <c:showBubbleSize val="0"/>
        </c:dLbls>
        <c:gapWidth val="219"/>
        <c:overlap val="-27"/>
        <c:axId val="374298650"/>
        <c:axId val="688181091"/>
      </c:barChart>
      <c:catAx>
        <c:axId val="37429865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8181091"/>
        <c:crosses val="autoZero"/>
        <c:auto val="1"/>
        <c:lblAlgn val="ctr"/>
        <c:lblOffset val="100"/>
        <c:noMultiLvlLbl val="0"/>
      </c:catAx>
      <c:valAx>
        <c:axId val="6881810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4298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0</c:v>
                </c:pt>
                <c:pt idx="1">
                  <c:v>11.11</c:v>
                </c:pt>
              </c:numCache>
            </c:numRef>
          </c:val>
        </c:ser>
        <c:dLbls>
          <c:showLegendKey val="0"/>
          <c:showVal val="1"/>
          <c:showCatName val="0"/>
          <c:showSerName val="0"/>
          <c:showPercent val="0"/>
          <c:showBubbleSize val="0"/>
        </c:dLbls>
        <c:gapWidth val="219"/>
        <c:overlap val="-27"/>
        <c:axId val="891395043"/>
        <c:axId val="66948525"/>
      </c:barChart>
      <c:catAx>
        <c:axId val="89139504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948525"/>
        <c:crosses val="autoZero"/>
        <c:auto val="1"/>
        <c:lblAlgn val="ctr"/>
        <c:lblOffset val="100"/>
        <c:noMultiLvlLbl val="0"/>
      </c:catAx>
      <c:valAx>
        <c:axId val="6694852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139504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一般公共预算财政拨款支出（万元）</a:t>
            </a:r>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社会保障和就业支出</c:v>
                </c:pt>
                <c:pt idx="1">
                  <c:v>卫生健康支出</c:v>
                </c:pt>
                <c:pt idx="2">
                  <c:v>住房保障支出</c:v>
                </c:pt>
              </c:strCache>
            </c:strRef>
          </c:cat>
          <c:val>
            <c:numRef>
              <c:f>Sheet1!$B$2:$B$4</c:f>
              <c:numCache>
                <c:formatCode>General</c:formatCode>
                <c:ptCount val="3"/>
                <c:pt idx="0">
                  <c:v>0.5</c:v>
                </c:pt>
                <c:pt idx="1">
                  <c:v>10.07</c:v>
                </c:pt>
                <c:pt idx="2">
                  <c:v>0.54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a:t>
            </a:r>
            <a:r>
              <a:rPr altLang="en-US"/>
              <a:t>三公</a:t>
            </a:r>
            <a:r>
              <a:rPr lang="en-US" altLang="zh-CN"/>
              <a:t>”</a:t>
            </a:r>
            <a:r>
              <a:rPr altLang="en-US"/>
              <a:t>经费财政拨款支出（万元）</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列2</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7</TotalTime>
  <ScaleCrop>false</ScaleCrop>
  <LinksUpToDate>false</LinksUpToDate>
  <CharactersWithSpaces>8692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陶筱萱</cp:lastModifiedBy>
  <cp:lastPrinted>2023-09-26T07:36:00Z</cp:lastPrinted>
  <dcterms:modified xsi:type="dcterms:W3CDTF">2023-10-23T10:08:11Z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1DFC6195DB96441B97E2DD2DE421A8FE</vt:lpwstr>
  </property>
</Properties>
</file>