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0"/>
        <w:jc w:val="center"/>
        <w:rPr>
          <w:rFonts w:ascii="微软雅黑" w:hAnsi="微软雅黑" w:eastAsia="微软雅黑" w:cs="微软雅黑"/>
          <w:i w:val="0"/>
          <w:iCs w:val="0"/>
          <w:caps w:val="0"/>
          <w:color w:val="333333"/>
          <w:spacing w:val="0"/>
          <w:sz w:val="24"/>
          <w:szCs w:val="24"/>
        </w:rPr>
      </w:pPr>
      <w:bookmarkStart w:id="0" w:name="_Toc15378441"/>
      <w:r>
        <w:rPr>
          <w:rFonts w:ascii="黑体" w:hAnsi="宋体" w:eastAsia="黑体" w:cs="黑体"/>
          <w:i w:val="0"/>
          <w:iCs w:val="0"/>
          <w:caps w:val="0"/>
          <w:color w:val="000000"/>
          <w:spacing w:val="0"/>
          <w:sz w:val="72"/>
          <w:szCs w:val="72"/>
          <w:bdr w:val="none" w:color="auto" w:sz="0" w:space="0"/>
          <w:shd w:val="clear" w:fill="FFFFFF"/>
        </w:rPr>
        <w:t>2019</w:t>
      </w:r>
      <w:bookmarkEnd w:id="0"/>
      <w:r>
        <w:rPr>
          <w:rFonts w:ascii="方正小标宋简体" w:hAnsi="方正小标宋简体" w:eastAsia="方正小标宋简体" w:cs="方正小标宋简体"/>
          <w:i w:val="0"/>
          <w:iCs w:val="0"/>
          <w:caps w:val="0"/>
          <w:color w:val="000000"/>
          <w:spacing w:val="0"/>
          <w:sz w:val="72"/>
          <w:szCs w:val="72"/>
          <w:bdr w:val="none" w:color="auto" w:sz="0" w:space="0"/>
          <w:shd w:val="clear" w:fill="FFFFFF"/>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1" w:name="_Toc15377426"/>
      <w:bookmarkEnd w:id="1"/>
      <w:bookmarkStart w:id="2" w:name="_Toc15396476"/>
      <w:bookmarkEnd w:id="2"/>
      <w:bookmarkStart w:id="3" w:name="_Toc15378442"/>
      <w:bookmarkEnd w:id="3"/>
      <w:bookmarkStart w:id="4" w:name="_Toc15396598"/>
      <w:bookmarkEnd w:id="4"/>
      <w:bookmarkStart w:id="5" w:name="_Toc15377194"/>
      <w:r>
        <w:rPr>
          <w:rFonts w:hint="eastAsia" w:ascii="方正小标宋简体" w:hAnsi="方正小标宋简体" w:eastAsia="方正小标宋简体" w:cs="方正小标宋简体"/>
          <w:i w:val="0"/>
          <w:iCs w:val="0"/>
          <w:caps w:val="0"/>
          <w:color w:val="000000"/>
          <w:spacing w:val="0"/>
          <w:sz w:val="72"/>
          <w:szCs w:val="72"/>
          <w:bdr w:val="none" w:color="auto" w:sz="0" w:space="0"/>
          <w:shd w:val="clear" w:fill="FFFFFF"/>
        </w:rPr>
        <w:t>四川省</w:t>
      </w:r>
      <w:bookmarkEnd w:id="5"/>
      <w:bookmarkStart w:id="6" w:name="_Toc15306268"/>
      <w:bookmarkEnd w:id="6"/>
      <w:r>
        <w:rPr>
          <w:rFonts w:hint="eastAsia" w:ascii="方正小标宋简体" w:hAnsi="方正小标宋简体" w:eastAsia="方正小标宋简体" w:cs="方正小标宋简体"/>
          <w:i w:val="0"/>
          <w:iCs w:val="0"/>
          <w:caps w:val="0"/>
          <w:color w:val="000000"/>
          <w:spacing w:val="0"/>
          <w:sz w:val="72"/>
          <w:szCs w:val="72"/>
          <w:bdr w:val="none" w:color="auto" w:sz="0" w:space="0"/>
          <w:shd w:val="clear" w:fill="FFFFFF"/>
        </w:rPr>
        <w:t>攀枝花市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000000"/>
          <w:spacing w:val="0"/>
          <w:sz w:val="72"/>
          <w:szCs w:val="72"/>
          <w:bdr w:val="none" w:color="auto" w:sz="0" w:space="0"/>
          <w:shd w:val="clear" w:fill="FFFFFF"/>
        </w:rPr>
        <w:t>仁和区财政局部门决算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center"/>
        <w:rPr>
          <w:rFonts w:hint="eastAsia" w:ascii="微软雅黑" w:hAnsi="微软雅黑" w:eastAsia="微软雅黑" w:cs="微软雅黑"/>
          <w:i w:val="0"/>
          <w:iCs w:val="0"/>
          <w:caps w:val="0"/>
          <w:color w:val="333333"/>
          <w:spacing w:val="0"/>
          <w:sz w:val="24"/>
          <w:szCs w:val="24"/>
        </w:rPr>
      </w:pPr>
      <w:bookmarkStart w:id="7" w:name="_Toc15377196"/>
      <w:bookmarkEnd w:id="7"/>
      <w:bookmarkStart w:id="8" w:name="_Toc15396599"/>
      <w:r>
        <w:rPr>
          <w:rFonts w:hint="eastAsia" w:ascii="黑体" w:hAnsi="宋体" w:eastAsia="黑体" w:cs="黑体"/>
          <w:i w:val="0"/>
          <w:iCs w:val="0"/>
          <w:caps w:val="0"/>
          <w:color w:val="000000"/>
          <w:spacing w:val="0"/>
          <w:sz w:val="48"/>
          <w:szCs w:val="48"/>
          <w:bdr w:val="none" w:color="auto" w:sz="0" w:space="0"/>
          <w:shd w:val="clear" w:fill="FFFFFF"/>
        </w:rPr>
        <w:t>目录</w:t>
      </w:r>
      <w:bookmarkEnd w:id="8"/>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公开时间：2020年10月28日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"_Toc15396599"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0155BD"/>
          <w:spacing w:val="0"/>
          <w:sz w:val="30"/>
          <w:szCs w:val="30"/>
          <w:u w:val="single"/>
          <w:bdr w:val="none" w:color="auto" w:sz="0" w:space="0"/>
          <w:shd w:val="clear" w:fill="FFFFFF"/>
        </w:rPr>
        <w:t>第一部分 部门概况</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"_Toc15396600"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ascii="仿宋" w:hAnsi="仿宋" w:eastAsia="仿宋" w:cs="仿宋"/>
          <w:i w:val="0"/>
          <w:iCs w:val="0"/>
          <w:caps w:val="0"/>
          <w:color w:val="auto"/>
          <w:spacing w:val="0"/>
          <w:sz w:val="30"/>
          <w:szCs w:val="30"/>
          <w:u w:val="single"/>
          <w:bdr w:val="none" w:color="auto" w:sz="0" w:space="0"/>
          <w:shd w:val="clear" w:fill="FFFFFF"/>
        </w:rPr>
        <w:t>...................................</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"_Toc15396599"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auto"/>
          <w:spacing w:val="0"/>
          <w:sz w:val="30"/>
          <w:szCs w:val="30"/>
          <w:u w:val="none"/>
          <w:bdr w:val="none" w:color="auto" w:sz="0" w:space="0"/>
          <w:shd w:val="clear" w:fill="FFFFFF"/>
        </w:rPr>
        <w:t>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"_Toc15396600"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一、基本职能及主要工作</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"_Toc15396601"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二、机构设置</w:t>
      </w:r>
      <w:r>
        <w:rPr>
          <w:rStyle w:val="8"/>
          <w:rFonts w:hint="eastAsia" w:ascii="仿宋" w:hAnsi="仿宋" w:eastAsia="仿宋" w:cs="仿宋"/>
          <w:i w:val="0"/>
          <w:iCs w:val="0"/>
          <w:caps w:val="0"/>
          <w:color w:val="auto"/>
          <w:spacing w:val="0"/>
          <w:sz w:val="30"/>
          <w:szCs w:val="30"/>
          <w:u w:val="none"/>
          <w:bdr w:val="none" w:color="auto" w:sz="0" w:space="0"/>
          <w:shd w:val="clear" w:fill="FFFFFF"/>
        </w:rPr>
        <w:t>...................................... 1</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"_Toc15396602"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0155BD"/>
          <w:spacing w:val="0"/>
          <w:sz w:val="30"/>
          <w:szCs w:val="30"/>
          <w:u w:val="single"/>
          <w:bdr w:val="none" w:color="auto" w:sz="0" w:space="0"/>
          <w:shd w:val="clear" w:fill="FFFFFF"/>
        </w:rPr>
        <w:t>第二部分 2019年度部门决算情况说明</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"_Toc15396600"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auto"/>
          <w:spacing w:val="0"/>
          <w:sz w:val="30"/>
          <w:szCs w:val="30"/>
          <w:u w:val="single"/>
          <w:bdr w:val="none" w:color="auto" w:sz="0" w:space="0"/>
          <w:shd w:val="clear" w:fill="FFFFFF"/>
        </w:rPr>
        <w:t>..................</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"_Toc15396602"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auto"/>
          <w:spacing w:val="0"/>
          <w:sz w:val="30"/>
          <w:szCs w:val="30"/>
          <w:u w:val="none"/>
          <w:bdr w:val="none" w:color="auto" w:sz="0" w:space="0"/>
          <w:shd w:val="clear" w:fill="FFFFFF"/>
        </w:rPr>
        <w:t>1</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微软雅黑" w:hAnsi="微软雅黑" w:eastAsia="微软雅黑" w:cs="微软雅黑"/>
          <w:i w:val="0"/>
          <w:iCs w:val="0"/>
          <w:caps w:val="0"/>
          <w:color w:val="333333"/>
          <w:spacing w:val="0"/>
          <w:sz w:val="30"/>
          <w:szCs w:val="30"/>
          <w:bdr w:val="none" w:color="auto" w:sz="0" w:space="0"/>
          <w:shd w:val="clear" w:fill="FFFFFF"/>
        </w:rPr>
        <w:t>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"_Toc15396603"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一、收入支出决算总体情况说明</w:t>
      </w:r>
      <w:r>
        <w:rPr>
          <w:rStyle w:val="8"/>
          <w:rFonts w:hint="eastAsia" w:ascii="仿宋" w:hAnsi="仿宋" w:eastAsia="仿宋" w:cs="仿宋"/>
          <w:i w:val="0"/>
          <w:iCs w:val="0"/>
          <w:caps w:val="0"/>
          <w:color w:val="auto"/>
          <w:spacing w:val="0"/>
          <w:sz w:val="30"/>
          <w:szCs w:val="30"/>
          <w:u w:val="none"/>
          <w:bdr w:val="none" w:color="auto" w:sz="0" w:space="0"/>
          <w:shd w:val="clear" w:fill="FFFFFF"/>
        </w:rPr>
        <w:t>...................... 1</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"_Toc15396604"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二、收入决算情况说明</w:t>
      </w:r>
      <w:r>
        <w:rPr>
          <w:rStyle w:val="8"/>
          <w:rFonts w:hint="eastAsia" w:ascii="仿宋" w:hAnsi="仿宋" w:eastAsia="仿宋" w:cs="仿宋"/>
          <w:i w:val="0"/>
          <w:iCs w:val="0"/>
          <w:caps w:val="0"/>
          <w:color w:val="auto"/>
          <w:spacing w:val="0"/>
          <w:sz w:val="30"/>
          <w:szCs w:val="30"/>
          <w:u w:val="none"/>
          <w:bdr w:val="none" w:color="auto" w:sz="0" w:space="0"/>
          <w:shd w:val="clear" w:fill="FFFFFF"/>
        </w:rPr>
        <w:t>.............................. 1</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"_Toc15396605"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三、支出决算情况说明</w:t>
      </w:r>
      <w:r>
        <w:rPr>
          <w:rStyle w:val="8"/>
          <w:rFonts w:hint="eastAsia" w:ascii="仿宋" w:hAnsi="仿宋" w:eastAsia="仿宋" w:cs="仿宋"/>
          <w:i w:val="0"/>
          <w:iCs w:val="0"/>
          <w:caps w:val="0"/>
          <w:color w:val="auto"/>
          <w:spacing w:val="0"/>
          <w:sz w:val="30"/>
          <w:szCs w:val="30"/>
          <w:u w:val="none"/>
          <w:bdr w:val="none" w:color="auto" w:sz="0" w:space="0"/>
          <w:shd w:val="clear" w:fill="FFFFFF"/>
        </w:rPr>
        <w:t>.............................. 1</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"_Toc15396606"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四、财政拨款收入支出决算总体情况说明</w:t>
      </w:r>
      <w:r>
        <w:rPr>
          <w:rStyle w:val="8"/>
          <w:rFonts w:hint="eastAsia" w:ascii="仿宋" w:hAnsi="仿宋" w:eastAsia="仿宋" w:cs="仿宋"/>
          <w:i w:val="0"/>
          <w:iCs w:val="0"/>
          <w:caps w:val="0"/>
          <w:color w:val="auto"/>
          <w:spacing w:val="0"/>
          <w:sz w:val="30"/>
          <w:szCs w:val="30"/>
          <w:u w:val="none"/>
          <w:bdr w:val="none" w:color="auto" w:sz="0" w:space="0"/>
          <w:shd w:val="clear" w:fill="FFFFFF"/>
        </w:rPr>
        <w:t>.............. 16</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"_Toc15396607"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五、一般公共预算财政拨款支出决算情况说明</w:t>
      </w:r>
      <w:r>
        <w:rPr>
          <w:rStyle w:val="8"/>
          <w:rFonts w:hint="eastAsia" w:ascii="仿宋" w:hAnsi="仿宋" w:eastAsia="仿宋" w:cs="仿宋"/>
          <w:i w:val="0"/>
          <w:iCs w:val="0"/>
          <w:caps w:val="0"/>
          <w:color w:val="auto"/>
          <w:spacing w:val="0"/>
          <w:sz w:val="30"/>
          <w:szCs w:val="30"/>
          <w:u w:val="none"/>
          <w:bdr w:val="none" w:color="auto" w:sz="0" w:space="0"/>
          <w:shd w:val="clear" w:fill="FFFFFF"/>
        </w:rPr>
        <w:t>.......... 16</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"_Toc15396608"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六、一般公共预算财政拨款基本支出决算情况说明</w:t>
      </w:r>
      <w:r>
        <w:rPr>
          <w:rStyle w:val="8"/>
          <w:rFonts w:hint="eastAsia" w:ascii="仿宋" w:hAnsi="仿宋" w:eastAsia="仿宋" w:cs="仿宋"/>
          <w:i w:val="0"/>
          <w:iCs w:val="0"/>
          <w:caps w:val="0"/>
          <w:color w:val="auto"/>
          <w:spacing w:val="0"/>
          <w:sz w:val="30"/>
          <w:szCs w:val="30"/>
          <w:u w:val="none"/>
          <w:bdr w:val="none" w:color="auto" w:sz="0" w:space="0"/>
          <w:shd w:val="clear" w:fill="FFFFFF"/>
        </w:rPr>
        <w:t>...... 19</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"_Toc15396609"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七、“三公”经费财政拨款支出决算情况说明</w:t>
      </w:r>
      <w:r>
        <w:rPr>
          <w:rStyle w:val="8"/>
          <w:rFonts w:hint="eastAsia" w:ascii="仿宋" w:hAnsi="仿宋" w:eastAsia="仿宋" w:cs="仿宋"/>
          <w:i w:val="0"/>
          <w:iCs w:val="0"/>
          <w:caps w:val="0"/>
          <w:color w:val="auto"/>
          <w:spacing w:val="0"/>
          <w:sz w:val="30"/>
          <w:szCs w:val="30"/>
          <w:u w:val="none"/>
          <w:bdr w:val="none" w:color="auto" w:sz="0" w:space="0"/>
          <w:shd w:val="clear" w:fill="FFFFFF"/>
        </w:rPr>
        <w:t>.......... 20</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"_Toc15396610"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八、政府性基金预算支出决算情况说明</w:t>
      </w:r>
      <w:r>
        <w:rPr>
          <w:rStyle w:val="8"/>
          <w:rFonts w:hint="eastAsia" w:ascii="仿宋" w:hAnsi="仿宋" w:eastAsia="仿宋" w:cs="仿宋"/>
          <w:i w:val="0"/>
          <w:iCs w:val="0"/>
          <w:caps w:val="0"/>
          <w:color w:val="auto"/>
          <w:spacing w:val="0"/>
          <w:sz w:val="30"/>
          <w:szCs w:val="30"/>
          <w:u w:val="none"/>
          <w:bdr w:val="none" w:color="auto" w:sz="0" w:space="0"/>
          <w:shd w:val="clear" w:fill="FFFFFF"/>
        </w:rPr>
        <w:t>................ 22</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"_Toc15396611"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九、国有资本经营预算支出决算情况说明</w:t>
      </w:r>
      <w:r>
        <w:rPr>
          <w:rStyle w:val="8"/>
          <w:rFonts w:hint="eastAsia" w:ascii="仿宋" w:hAnsi="仿宋" w:eastAsia="仿宋" w:cs="仿宋"/>
          <w:i w:val="0"/>
          <w:iCs w:val="0"/>
          <w:caps w:val="0"/>
          <w:color w:val="auto"/>
          <w:spacing w:val="0"/>
          <w:sz w:val="30"/>
          <w:szCs w:val="30"/>
          <w:u w:val="none"/>
          <w:bdr w:val="none" w:color="auto" w:sz="0" w:space="0"/>
          <w:shd w:val="clear" w:fill="FFFFFF"/>
        </w:rPr>
        <w:t>.............. 22</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"_Toc15396612"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十、其他重要事项的情况说明</w:t>
      </w:r>
      <w:r>
        <w:rPr>
          <w:rStyle w:val="8"/>
          <w:rFonts w:hint="eastAsia" w:ascii="仿宋" w:hAnsi="仿宋" w:eastAsia="仿宋" w:cs="仿宋"/>
          <w:i w:val="0"/>
          <w:iCs w:val="0"/>
          <w:caps w:val="0"/>
          <w:color w:val="auto"/>
          <w:spacing w:val="0"/>
          <w:sz w:val="30"/>
          <w:szCs w:val="30"/>
          <w:u w:val="none"/>
          <w:bdr w:val="none" w:color="auto" w:sz="0" w:space="0"/>
          <w:shd w:val="clear" w:fill="FFFFFF"/>
        </w:rPr>
        <w:t>........................ 22</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"_Toc15396613"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0155BD"/>
          <w:spacing w:val="0"/>
          <w:sz w:val="30"/>
          <w:szCs w:val="30"/>
          <w:u w:val="single"/>
          <w:bdr w:val="none" w:color="auto" w:sz="0" w:space="0"/>
          <w:shd w:val="clear" w:fill="FFFFFF"/>
        </w:rPr>
        <w:t>第三部分 名词解释</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"_Toc15396600"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auto"/>
          <w:spacing w:val="0"/>
          <w:sz w:val="30"/>
          <w:szCs w:val="30"/>
          <w:u w:val="single"/>
          <w:bdr w:val="none" w:color="auto" w:sz="0" w:space="0"/>
          <w:shd w:val="clear" w:fill="FFFFFF"/>
        </w:rPr>
        <w:t>..................................</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"_Toc15396613"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auto"/>
          <w:spacing w:val="0"/>
          <w:sz w:val="30"/>
          <w:szCs w:val="30"/>
          <w:u w:val="none"/>
          <w:bdr w:val="none" w:color="auto" w:sz="0" w:space="0"/>
          <w:shd w:val="clear" w:fill="FFFFFF"/>
        </w:rPr>
        <w:t>31</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"_Toc15396614"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0155BD"/>
          <w:spacing w:val="0"/>
          <w:sz w:val="30"/>
          <w:szCs w:val="30"/>
          <w:u w:val="single"/>
          <w:bdr w:val="none" w:color="auto" w:sz="0" w:space="0"/>
          <w:shd w:val="clear" w:fill="FFFFFF"/>
        </w:rPr>
        <w:t>第四部 分附件</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0155BD"/>
          <w:spacing w:val="0"/>
          <w:sz w:val="30"/>
          <w:szCs w:val="30"/>
          <w:u w:val="single"/>
          <w:bdr w:val="none" w:color="auto" w:sz="0" w:space="0"/>
          <w:shd w:val="clear" w:fill="FFFFFF"/>
        </w:rPr>
        <w:fldChar w:fldCharType="begin"/>
      </w:r>
      <w:r>
        <w:rPr>
          <w:rFonts w:hint="eastAsia" w:ascii="仿宋" w:hAnsi="仿宋" w:eastAsia="仿宋" w:cs="仿宋"/>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"_Toc15396600" </w:instrText>
      </w:r>
      <w:r>
        <w:rPr>
          <w:rFonts w:hint="eastAsia" w:ascii="仿宋" w:hAnsi="仿宋" w:eastAsia="仿宋" w:cs="仿宋"/>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w:t>
      </w:r>
      <w:r>
        <w:rPr>
          <w:rFonts w:hint="eastAsia" w:ascii="仿宋" w:hAnsi="仿宋" w:eastAsia="仿宋" w:cs="仿宋"/>
          <w:i w:val="0"/>
          <w:iCs w:val="0"/>
          <w:caps w:val="0"/>
          <w:color w:val="0155BD"/>
          <w:spacing w:val="0"/>
          <w:sz w:val="30"/>
          <w:szCs w:val="30"/>
          <w:u w:val="single"/>
          <w:bdr w:val="none" w:color="auto" w:sz="0" w:space="0"/>
          <w:shd w:val="clear" w:fill="FFFFFF"/>
        </w:rPr>
        <w:fldChar w:fldCharType="end"/>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"_Toc15396614"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auto"/>
          <w:spacing w:val="0"/>
          <w:sz w:val="30"/>
          <w:szCs w:val="30"/>
          <w:u w:val="none"/>
          <w:bdr w:val="none" w:color="auto" w:sz="0" w:space="0"/>
          <w:shd w:val="clear" w:fill="FFFFFF"/>
        </w:rPr>
        <w:t>35</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"_Toc15396618"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0155BD"/>
          <w:spacing w:val="0"/>
          <w:sz w:val="30"/>
          <w:szCs w:val="30"/>
          <w:u w:val="single"/>
          <w:bdr w:val="none" w:color="auto" w:sz="0" w:space="0"/>
          <w:shd w:val="clear" w:fill="FFFFFF"/>
        </w:rPr>
        <w:t>第五部 分附表</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"_Toc15396600"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auto"/>
          <w:spacing w:val="0"/>
          <w:sz w:val="30"/>
          <w:szCs w:val="30"/>
          <w:u w:val="single"/>
          <w:bdr w:val="none" w:color="auto" w:sz="0" w:space="0"/>
          <w:shd w:val="clear" w:fill="FFFFFF"/>
        </w:rPr>
        <w:t>......................................</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"_Toc15396618"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auto"/>
          <w:spacing w:val="0"/>
          <w:sz w:val="30"/>
          <w:szCs w:val="30"/>
          <w:u w:val="none"/>
          <w:bdr w:val="none" w:color="auto" w:sz="0" w:space="0"/>
          <w:shd w:val="clear" w:fill="FFFFFF"/>
        </w:rPr>
        <w:t>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微软雅黑" w:hAnsi="微软雅黑" w:eastAsia="微软雅黑" w:cs="微软雅黑"/>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一、</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"_Toc15396619"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收入支出决算总表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二、</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"_Toc15396620"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收入总表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三、</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"_Toc15396621"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支出总表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四、</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"_Toc15396622"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财政拨款收入支出决算总表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五、</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"_Toc15396623"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auto"/>
          <w:spacing w:val="0"/>
          <w:sz w:val="30"/>
          <w:szCs w:val="30"/>
          <w:u w:val="none"/>
          <w:bdr w:val="none" w:color="auto" w:sz="0" w:space="0"/>
          <w:shd w:val="clear" w:fill="FFFFFF"/>
        </w:rPr>
        <w:t>财政拨款支出决算明细表（政府经济分类科目）....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六、</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"_Toc15396624"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一般公共预算财政拨款支出决算表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七、</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"_Toc15396625"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一般公共预算财政拨款支出决算明细表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八、</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"_Toc15396626"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一般公共预算财政拨款基本支出决算表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九、</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"_Toc15396627"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一般公共预算财政拨款项目支出决算表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十、</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"_Toc15396628"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一般公共预算财政拨款“三公”经费支出决算表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十一、</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"_Toc15396629"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政府性基金预算财政拨款收入支出决算表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十二、</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"_Toc15396630"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政府性基金预算财政拨款“三公”经费支出决算表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十三、</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begin"/>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instrText xml:space="preserve"> HYPERLINK "http://www.screnhe.gov.cn/zwgk/zdxxgk/czxx/bmyjs/qjysdw/qczj/4407505.shtml" \l "_Toc15396631" </w:instrTex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separate"/>
      </w:r>
      <w:r>
        <w:rPr>
          <w:rStyle w:val="8"/>
          <w:rFonts w:hint="eastAsia" w:ascii="仿宋" w:hAnsi="仿宋" w:eastAsia="仿宋" w:cs="仿宋"/>
          <w:i w:val="0"/>
          <w:iCs w:val="0"/>
          <w:caps w:val="0"/>
          <w:color w:val="0155BD"/>
          <w:spacing w:val="0"/>
          <w:sz w:val="30"/>
          <w:szCs w:val="30"/>
          <w:u w:val="single"/>
          <w:bdr w:val="none" w:color="auto" w:sz="0" w:space="0"/>
          <w:shd w:val="clear" w:fill="FFFFFF"/>
        </w:rPr>
        <w:t>国有资本经营预算支出决算表</w:t>
      </w:r>
      <w:r>
        <w:rPr>
          <w:rStyle w:val="8"/>
          <w:rFonts w:hint="eastAsia" w:ascii="仿宋" w:hAnsi="仿宋" w:eastAsia="仿宋" w:cs="仿宋"/>
          <w:i w:val="0"/>
          <w:iCs w:val="0"/>
          <w:caps w:val="0"/>
          <w:color w:val="auto"/>
          <w:spacing w:val="0"/>
          <w:sz w:val="30"/>
          <w:szCs w:val="30"/>
          <w:u w:val="none"/>
          <w:bdr w:val="none" w:color="auto" w:sz="0" w:space="0"/>
          <w:shd w:val="clear" w:fill="FFFFFF"/>
        </w:rPr>
        <w:t>.................. 4</w:t>
      </w:r>
      <w:r>
        <w:rPr>
          <w:rFonts w:hint="eastAsia" w:ascii="微软雅黑" w:hAnsi="微软雅黑" w:eastAsia="微软雅黑" w:cs="微软雅黑"/>
          <w:i w:val="0"/>
          <w:iCs w:val="0"/>
          <w:caps w:val="0"/>
          <w:color w:val="0155BD"/>
          <w:spacing w:val="0"/>
          <w:sz w:val="30"/>
          <w:szCs w:val="30"/>
          <w:u w:val="single"/>
          <w:bdr w:val="none" w:color="auto" w:sz="0" w:space="0"/>
          <w:shd w:val="clear" w:fill="FFFFFF"/>
        </w:rPr>
        <w:fldChar w:fldCharType="end"/>
      </w:r>
      <w:r>
        <w:rPr>
          <w:rFonts w:hint="eastAsia" w:ascii="仿宋" w:hAnsi="仿宋" w:eastAsia="仿宋" w:cs="仿宋"/>
          <w:i w:val="0"/>
          <w:iCs w:val="0"/>
          <w:caps w:val="0"/>
          <w:color w:val="333333"/>
          <w:spacing w:val="0"/>
          <w:sz w:val="30"/>
          <w:szCs w:val="30"/>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4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375" w:afterAutospacing="0"/>
        <w:ind w:left="0" w:right="0" w:firstLine="0"/>
        <w:jc w:val="center"/>
        <w:rPr>
          <w:rFonts w:ascii="微软雅黑" w:hAnsi="微软雅黑" w:eastAsia="微软雅黑" w:cs="微软雅黑"/>
          <w:b w:val="0"/>
          <w:bCs w:val="0"/>
          <w:i w:val="0"/>
          <w:iCs w:val="0"/>
          <w:caps w:val="0"/>
          <w:color w:val="2270AC"/>
          <w:spacing w:val="0"/>
          <w:sz w:val="45"/>
          <w:szCs w:val="45"/>
        </w:rPr>
      </w:pPr>
      <w:r>
        <w:rPr>
          <w:rFonts w:hint="eastAsia" w:ascii="黑体" w:hAnsi="宋体" w:eastAsia="黑体" w:cs="黑体"/>
          <w:b w:val="0"/>
          <w:bCs w:val="0"/>
          <w:i w:val="0"/>
          <w:iCs w:val="0"/>
          <w:caps w:val="0"/>
          <w:color w:val="2270AC"/>
          <w:spacing w:val="0"/>
          <w:sz w:val="45"/>
          <w:szCs w:val="45"/>
          <w:bdr w:val="none" w:color="auto" w:sz="0" w:space="0"/>
          <w:shd w:val="clear" w:fill="FFFFFF"/>
        </w:rPr>
        <w:t>第一部分 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9" w:name="_Toc15377197"/>
      <w:bookmarkEnd w:id="9"/>
      <w:bookmarkStart w:id="10" w:name="_Toc15396600"/>
      <w:r>
        <w:rPr>
          <w:rFonts w:hint="eastAsia" w:ascii="黑体" w:hAnsi="宋体" w:eastAsia="黑体" w:cs="黑体"/>
          <w:b w:val="0"/>
          <w:bCs w:val="0"/>
          <w:i w:val="0"/>
          <w:iCs w:val="0"/>
          <w:caps w:val="0"/>
          <w:color w:val="000000"/>
          <w:spacing w:val="0"/>
          <w:sz w:val="36"/>
          <w:szCs w:val="36"/>
          <w:bdr w:val="none" w:color="auto" w:sz="0" w:space="0"/>
          <w:shd w:val="clear" w:fill="FFFFFF"/>
        </w:rPr>
        <w:t>一、基</w:t>
      </w:r>
      <w:bookmarkEnd w:id="10"/>
      <w:r>
        <w:rPr>
          <w:rFonts w:hint="eastAsia" w:ascii="黑体" w:hAnsi="宋体" w:eastAsia="黑体" w:cs="黑体"/>
          <w:b w:val="0"/>
          <w:bCs w:val="0"/>
          <w:i w:val="0"/>
          <w:iCs w:val="0"/>
          <w:caps w:val="0"/>
          <w:color w:val="333333"/>
          <w:spacing w:val="0"/>
          <w:sz w:val="36"/>
          <w:szCs w:val="36"/>
          <w:bdr w:val="none" w:color="auto" w:sz="0" w:space="0"/>
          <w:shd w:val="clear" w:fill="FFFFFF"/>
        </w:rPr>
        <w:t>本职能及主要工作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255" w:afterAutospacing="0" w:line="600" w:lineRule="atLeast"/>
        <w:ind w:left="0" w:right="0" w:firstLine="675"/>
        <w:jc w:val="left"/>
        <w:rPr>
          <w:rFonts w:hint="eastAsia" w:ascii="微软雅黑" w:hAnsi="微软雅黑" w:eastAsia="微软雅黑" w:cs="微软雅黑"/>
          <w:i w:val="0"/>
          <w:iCs w:val="0"/>
          <w:caps w:val="0"/>
          <w:color w:val="333333"/>
          <w:spacing w:val="0"/>
          <w:sz w:val="24"/>
          <w:szCs w:val="24"/>
        </w:rPr>
      </w:pPr>
      <w:bookmarkStart w:id="11" w:name="_Toc15377198"/>
      <w:bookmarkEnd w:id="11"/>
      <w:bookmarkStart w:id="12" w:name="_Toc15378445"/>
      <w:r>
        <w:rPr>
          <w:rStyle w:val="7"/>
          <w:rFonts w:ascii="楷体" w:hAnsi="楷体" w:eastAsia="楷体" w:cs="楷体"/>
          <w:i w:val="0"/>
          <w:iCs w:val="0"/>
          <w:caps w:val="0"/>
          <w:color w:val="000000"/>
          <w:spacing w:val="0"/>
          <w:sz w:val="32"/>
          <w:szCs w:val="32"/>
          <w:bdr w:val="none" w:color="auto" w:sz="0" w:space="0"/>
          <w:shd w:val="clear" w:fill="FFFFFF"/>
        </w:rPr>
        <w:t>（一）主要职能</w:t>
      </w:r>
      <w:bookmarkEnd w:id="12"/>
      <w:bookmarkStart w:id="13" w:name="_Toc15378446"/>
      <w:bookmarkEnd w:id="13"/>
      <w:bookmarkStart w:id="14" w:name="_Toc15377199"/>
      <w:bookmarkEnd w:id="14"/>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000000"/>
          <w:spacing w:val="2"/>
          <w:sz w:val="32"/>
          <w:szCs w:val="32"/>
          <w:bdr w:val="none" w:color="auto" w:sz="0" w:space="0"/>
          <w:shd w:val="clear" w:fill="FFFFFF"/>
        </w:rPr>
        <w:t>区财政局贯彻落实党中央关于财经工作、国有资产管理工作和金融工作的方针政策和省、市、区委的决策部署，在履行职责过程中坚持和加强党对财政工作的集中统一领导。主要职责是：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1</w:t>
      </w:r>
      <w:r>
        <w:rPr>
          <w:rFonts w:hint="eastAsia" w:ascii="仿宋_GB2312" w:hAnsi="仿宋_GB2312" w:eastAsia="仿宋_GB2312" w:cs="仿宋_GB2312"/>
          <w:i w:val="0"/>
          <w:iCs w:val="0"/>
          <w:caps w:val="0"/>
          <w:color w:val="000000"/>
          <w:spacing w:val="2"/>
          <w:sz w:val="32"/>
          <w:szCs w:val="32"/>
          <w:bdr w:val="none" w:color="auto" w:sz="0" w:space="0"/>
          <w:shd w:val="clear" w:fill="FFFFFF"/>
        </w:rPr>
        <w:t>、拟订全区财税发展战略、规划、政策和改革方案并组织实施。分析预测宏观经济形势，参与制定各项经济政策，提出运用财税政策实施宏观调控和综合平衡社会财力的建议。拟订区与乡</w:t>
      </w:r>
      <w:r>
        <w:rPr>
          <w:rFonts w:hint="eastAsia" w:ascii="微软雅黑" w:hAnsi="微软雅黑" w:eastAsia="微软雅黑" w:cs="微软雅黑"/>
          <w:i w:val="0"/>
          <w:iCs w:val="0"/>
          <w:caps w:val="0"/>
          <w:color w:val="000000"/>
          <w:spacing w:val="2"/>
          <w:sz w:val="32"/>
          <w:szCs w:val="32"/>
          <w:bdr w:val="none" w:color="auto" w:sz="0" w:space="0"/>
          <w:shd w:val="clear" w:fill="FFFFFF"/>
        </w:rPr>
        <w:t>(</w:t>
      </w:r>
      <w:r>
        <w:rPr>
          <w:rFonts w:hint="eastAsia" w:ascii="仿宋_GB2312" w:hAnsi="仿宋_GB2312" w:eastAsia="仿宋_GB2312" w:cs="仿宋_GB2312"/>
          <w:i w:val="0"/>
          <w:iCs w:val="0"/>
          <w:caps w:val="0"/>
          <w:color w:val="000000"/>
          <w:spacing w:val="2"/>
          <w:sz w:val="32"/>
          <w:szCs w:val="32"/>
          <w:bdr w:val="none" w:color="auto" w:sz="0" w:space="0"/>
          <w:shd w:val="clear" w:fill="FFFFFF"/>
        </w:rPr>
        <w:t>镇</w:t>
      </w:r>
      <w:r>
        <w:rPr>
          <w:rFonts w:hint="eastAsia" w:ascii="微软雅黑" w:hAnsi="微软雅黑" w:eastAsia="微软雅黑" w:cs="微软雅黑"/>
          <w:i w:val="0"/>
          <w:iCs w:val="0"/>
          <w:caps w:val="0"/>
          <w:color w:val="000000"/>
          <w:spacing w:val="2"/>
          <w:sz w:val="32"/>
          <w:szCs w:val="32"/>
          <w:bdr w:val="none" w:color="auto" w:sz="0" w:space="0"/>
          <w:shd w:val="clear" w:fill="FFFFFF"/>
        </w:rPr>
        <w:t>)</w:t>
      </w:r>
      <w:r>
        <w:rPr>
          <w:rFonts w:hint="eastAsia" w:ascii="仿宋_GB2312" w:hAnsi="仿宋_GB2312" w:eastAsia="仿宋_GB2312" w:cs="仿宋_GB2312"/>
          <w:i w:val="0"/>
          <w:iCs w:val="0"/>
          <w:caps w:val="0"/>
          <w:color w:val="000000"/>
          <w:spacing w:val="2"/>
          <w:sz w:val="32"/>
          <w:szCs w:val="32"/>
          <w:bdr w:val="none" w:color="auto" w:sz="0" w:space="0"/>
          <w:shd w:val="clear" w:fill="FFFFFF"/>
        </w:rPr>
        <w:t>政府、政府与企业的分配政策，完善鼓励公益事业发展的财税政策。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2</w:t>
      </w:r>
      <w:r>
        <w:rPr>
          <w:rFonts w:hint="eastAsia" w:ascii="仿宋_GB2312" w:hAnsi="仿宋_GB2312" w:eastAsia="仿宋_GB2312" w:cs="仿宋_GB2312"/>
          <w:i w:val="0"/>
          <w:iCs w:val="0"/>
          <w:caps w:val="0"/>
          <w:color w:val="000000"/>
          <w:spacing w:val="2"/>
          <w:sz w:val="32"/>
          <w:szCs w:val="32"/>
          <w:bdr w:val="none" w:color="auto" w:sz="0" w:space="0"/>
          <w:shd w:val="clear" w:fill="FFFFFF"/>
        </w:rPr>
        <w:t>、贯彻执行财政、税收、财务、会计管理的法律法规和规章。负责组织起草地方性财政政策、规范性文件和规章制度并组织实施。按照管理权限管理全区税政事项。承办国务院关税税则委员会办公室要求区一级承担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3</w:t>
      </w:r>
      <w:r>
        <w:rPr>
          <w:rFonts w:hint="eastAsia" w:ascii="仿宋_GB2312" w:hAnsi="仿宋_GB2312" w:eastAsia="仿宋_GB2312" w:cs="仿宋_GB2312"/>
          <w:i w:val="0"/>
          <w:iCs w:val="0"/>
          <w:caps w:val="0"/>
          <w:color w:val="000000"/>
          <w:spacing w:val="2"/>
          <w:sz w:val="32"/>
          <w:szCs w:val="32"/>
          <w:bdr w:val="none" w:color="auto" w:sz="0" w:space="0"/>
          <w:shd w:val="clear" w:fill="FFFFFF"/>
        </w:rPr>
        <w:t>、负责管理各项财政收支。编制年度区级预决算草案并组织执行。组织制定经费开支标准、定额，审核批复部门</w:t>
      </w:r>
      <w:r>
        <w:rPr>
          <w:rFonts w:hint="eastAsia" w:ascii="微软雅黑" w:hAnsi="微软雅黑" w:eastAsia="微软雅黑" w:cs="微软雅黑"/>
          <w:i w:val="0"/>
          <w:iCs w:val="0"/>
          <w:caps w:val="0"/>
          <w:color w:val="000000"/>
          <w:spacing w:val="2"/>
          <w:sz w:val="32"/>
          <w:szCs w:val="32"/>
          <w:bdr w:val="none" w:color="auto" w:sz="0" w:space="0"/>
          <w:shd w:val="clear" w:fill="FFFFFF"/>
        </w:rPr>
        <w:t>(</w:t>
      </w:r>
      <w:r>
        <w:rPr>
          <w:rFonts w:hint="eastAsia" w:ascii="仿宋_GB2312" w:hAnsi="仿宋_GB2312" w:eastAsia="仿宋_GB2312" w:cs="仿宋_GB2312"/>
          <w:i w:val="0"/>
          <w:iCs w:val="0"/>
          <w:caps w:val="0"/>
          <w:color w:val="000000"/>
          <w:spacing w:val="2"/>
          <w:sz w:val="32"/>
          <w:szCs w:val="32"/>
          <w:bdr w:val="none" w:color="auto" w:sz="0" w:space="0"/>
          <w:shd w:val="clear" w:fill="FFFFFF"/>
        </w:rPr>
        <w:t>单位</w:t>
      </w:r>
      <w:r>
        <w:rPr>
          <w:rFonts w:hint="eastAsia" w:ascii="微软雅黑" w:hAnsi="微软雅黑" w:eastAsia="微软雅黑" w:cs="微软雅黑"/>
          <w:i w:val="0"/>
          <w:iCs w:val="0"/>
          <w:caps w:val="0"/>
          <w:color w:val="000000"/>
          <w:spacing w:val="2"/>
          <w:sz w:val="32"/>
          <w:szCs w:val="32"/>
          <w:bdr w:val="none" w:color="auto" w:sz="0" w:space="0"/>
          <w:shd w:val="clear" w:fill="FFFFFF"/>
        </w:rPr>
        <w:t>)</w:t>
      </w:r>
      <w:r>
        <w:rPr>
          <w:rFonts w:hint="eastAsia" w:ascii="仿宋_GB2312" w:hAnsi="仿宋_GB2312" w:eastAsia="仿宋_GB2312" w:cs="仿宋_GB2312"/>
          <w:i w:val="0"/>
          <w:iCs w:val="0"/>
          <w:caps w:val="0"/>
          <w:color w:val="000000"/>
          <w:spacing w:val="2"/>
          <w:sz w:val="32"/>
          <w:szCs w:val="32"/>
          <w:bdr w:val="none" w:color="auto" w:sz="0" w:space="0"/>
          <w:shd w:val="clear" w:fill="FFFFFF"/>
        </w:rPr>
        <w:t>年度预决算。受区政府委托，向区人大及其常委会报告财政预算、执行和决算等情况。负责政府建立的各类基金、风险金、分险金的监督管理。负责区级预决算公开。负责全面实施预算绩效管理。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4</w:t>
      </w:r>
      <w:r>
        <w:rPr>
          <w:rFonts w:hint="eastAsia" w:ascii="仿宋_GB2312" w:hAnsi="仿宋_GB2312" w:eastAsia="仿宋_GB2312" w:cs="仿宋_GB2312"/>
          <w:i w:val="0"/>
          <w:iCs w:val="0"/>
          <w:caps w:val="0"/>
          <w:color w:val="000000"/>
          <w:spacing w:val="2"/>
          <w:sz w:val="32"/>
          <w:szCs w:val="32"/>
          <w:bdr w:val="none" w:color="auto" w:sz="0" w:space="0"/>
          <w:shd w:val="clear" w:fill="FFFFFF"/>
        </w:rPr>
        <w:t>、按分工负责政府非税收入管理。负责政府性基金管理，按规定管理行政事业性收费等其他非税收入。管理财政票据。执行彩票管理政策，按规定管理彩票资金。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5</w:t>
      </w:r>
      <w:r>
        <w:rPr>
          <w:rFonts w:hint="eastAsia" w:ascii="仿宋_GB2312" w:hAnsi="仿宋_GB2312" w:eastAsia="仿宋_GB2312" w:cs="仿宋_GB2312"/>
          <w:i w:val="0"/>
          <w:iCs w:val="0"/>
          <w:caps w:val="0"/>
          <w:color w:val="000000"/>
          <w:spacing w:val="2"/>
          <w:sz w:val="32"/>
          <w:szCs w:val="32"/>
          <w:bdr w:val="none" w:color="auto" w:sz="0" w:space="0"/>
          <w:shd w:val="clear" w:fill="FFFFFF"/>
        </w:rPr>
        <w:t>、组织制定全区国库管理制度、国库集中收付制度，指导和监督国库业务，开展国库现金管理工作。贯彻执行政府财务报告编制办法并组织实施。监督管理全区政府采购工作。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6</w:t>
      </w:r>
      <w:r>
        <w:rPr>
          <w:rFonts w:hint="eastAsia" w:ascii="仿宋_GB2312" w:hAnsi="仿宋_GB2312" w:eastAsia="仿宋_GB2312" w:cs="仿宋_GB2312"/>
          <w:i w:val="0"/>
          <w:iCs w:val="0"/>
          <w:caps w:val="0"/>
          <w:color w:val="000000"/>
          <w:spacing w:val="2"/>
          <w:sz w:val="32"/>
          <w:szCs w:val="32"/>
          <w:bdr w:val="none" w:color="auto" w:sz="0" w:space="0"/>
          <w:shd w:val="clear" w:fill="FFFFFF"/>
        </w:rPr>
        <w:t>、贯彻执行地方政府债务管理制度和政策，制定具体管理办法，编制地方政府债务余额限额计划，统一管理政府外债，防范财政风险。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7</w:t>
      </w:r>
      <w:r>
        <w:rPr>
          <w:rFonts w:hint="eastAsia" w:ascii="仿宋_GB2312" w:hAnsi="仿宋_GB2312" w:eastAsia="仿宋_GB2312" w:cs="仿宋_GB2312"/>
          <w:i w:val="0"/>
          <w:iCs w:val="0"/>
          <w:caps w:val="0"/>
          <w:color w:val="000000"/>
          <w:spacing w:val="2"/>
          <w:sz w:val="32"/>
          <w:szCs w:val="32"/>
          <w:bdr w:val="none" w:color="auto" w:sz="0" w:space="0"/>
          <w:shd w:val="clear" w:fill="FFFFFF"/>
        </w:rPr>
        <w:t>、牵头编制全区国有资产管理情况报告。根据区政府授权，集中统一履行区级国有金融资本出资人职责。制定区级国有金融资本管理制度。拟订全区行政事业单位国有资产管理制度并组织实施。制定和监督执行统一规定的开支标准和支出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8</w:t>
      </w:r>
      <w:r>
        <w:rPr>
          <w:rFonts w:hint="eastAsia" w:ascii="仿宋_GB2312" w:hAnsi="仿宋_GB2312" w:eastAsia="仿宋_GB2312" w:cs="仿宋_GB2312"/>
          <w:i w:val="0"/>
          <w:iCs w:val="0"/>
          <w:caps w:val="0"/>
          <w:color w:val="000000"/>
          <w:spacing w:val="2"/>
          <w:sz w:val="32"/>
          <w:szCs w:val="32"/>
          <w:bdr w:val="none" w:color="auto" w:sz="0" w:space="0"/>
          <w:shd w:val="clear" w:fill="FFFFFF"/>
        </w:rPr>
        <w:t>、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9</w:t>
      </w:r>
      <w:r>
        <w:rPr>
          <w:rFonts w:hint="eastAsia" w:ascii="仿宋_GB2312" w:hAnsi="仿宋_GB2312" w:eastAsia="仿宋_GB2312" w:cs="仿宋_GB2312"/>
          <w:i w:val="0"/>
          <w:iCs w:val="0"/>
          <w:caps w:val="0"/>
          <w:color w:val="000000"/>
          <w:spacing w:val="2"/>
          <w:sz w:val="32"/>
          <w:szCs w:val="32"/>
          <w:bdr w:val="none" w:color="auto" w:sz="0" w:space="0"/>
          <w:shd w:val="clear" w:fill="FFFFFF"/>
        </w:rPr>
        <w:t>、负责审核并汇总编制全区社会保险基金预决算草案，会同有关部门拟订有关资金</w:t>
      </w:r>
      <w:r>
        <w:rPr>
          <w:rFonts w:hint="eastAsia" w:ascii="微软雅黑" w:hAnsi="微软雅黑" w:eastAsia="微软雅黑" w:cs="微软雅黑"/>
          <w:i w:val="0"/>
          <w:iCs w:val="0"/>
          <w:caps w:val="0"/>
          <w:color w:val="000000"/>
          <w:spacing w:val="2"/>
          <w:sz w:val="32"/>
          <w:szCs w:val="32"/>
          <w:bdr w:val="none" w:color="auto" w:sz="0" w:space="0"/>
          <w:shd w:val="clear" w:fill="FFFFFF"/>
        </w:rPr>
        <w:t>(</w:t>
      </w:r>
      <w:r>
        <w:rPr>
          <w:rFonts w:hint="eastAsia" w:ascii="仿宋_GB2312" w:hAnsi="仿宋_GB2312" w:eastAsia="仿宋_GB2312" w:cs="仿宋_GB2312"/>
          <w:i w:val="0"/>
          <w:iCs w:val="0"/>
          <w:caps w:val="0"/>
          <w:color w:val="000000"/>
          <w:spacing w:val="2"/>
          <w:sz w:val="32"/>
          <w:szCs w:val="32"/>
          <w:bdr w:val="none" w:color="auto" w:sz="0" w:space="0"/>
          <w:shd w:val="clear" w:fill="FFFFFF"/>
        </w:rPr>
        <w:t>基金</w:t>
      </w:r>
      <w:r>
        <w:rPr>
          <w:rFonts w:hint="eastAsia" w:ascii="微软雅黑" w:hAnsi="微软雅黑" w:eastAsia="微软雅黑" w:cs="微软雅黑"/>
          <w:i w:val="0"/>
          <w:iCs w:val="0"/>
          <w:caps w:val="0"/>
          <w:color w:val="000000"/>
          <w:spacing w:val="2"/>
          <w:sz w:val="32"/>
          <w:szCs w:val="32"/>
          <w:bdr w:val="none" w:color="auto" w:sz="0" w:space="0"/>
          <w:shd w:val="clear" w:fill="FFFFFF"/>
        </w:rPr>
        <w:t>)</w:t>
      </w:r>
      <w:r>
        <w:rPr>
          <w:rFonts w:hint="eastAsia" w:ascii="仿宋_GB2312" w:hAnsi="仿宋_GB2312" w:eastAsia="仿宋_GB2312" w:cs="仿宋_GB2312"/>
          <w:i w:val="0"/>
          <w:iCs w:val="0"/>
          <w:caps w:val="0"/>
          <w:color w:val="000000"/>
          <w:spacing w:val="2"/>
          <w:sz w:val="32"/>
          <w:szCs w:val="32"/>
          <w:bdr w:val="none" w:color="auto" w:sz="0" w:space="0"/>
          <w:shd w:val="clear" w:fill="FFFFFF"/>
        </w:rPr>
        <w:t>财务管理制度，承担社会保险基金财政监管工作。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10</w:t>
      </w:r>
      <w:r>
        <w:rPr>
          <w:rFonts w:hint="eastAsia" w:ascii="仿宋_GB2312" w:hAnsi="仿宋_GB2312" w:eastAsia="仿宋_GB2312" w:cs="仿宋_GB2312"/>
          <w:i w:val="0"/>
          <w:iCs w:val="0"/>
          <w:caps w:val="0"/>
          <w:color w:val="000000"/>
          <w:spacing w:val="2"/>
          <w:sz w:val="32"/>
          <w:szCs w:val="32"/>
          <w:bdr w:val="none" w:color="auto" w:sz="0" w:space="0"/>
          <w:shd w:val="clear" w:fill="FFFFFF"/>
        </w:rPr>
        <w:t>、负责办理和监督区级财政的经济发展支出、区级政府性投资项目的财政拨款，负责投资评审管理工作，参与拟订区级基建投资有关政策，监督执行基建财务管理制度。负责政府性投资项目竣工决算、结算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11</w:t>
      </w:r>
      <w:r>
        <w:rPr>
          <w:rFonts w:hint="eastAsia" w:ascii="仿宋_GB2312" w:hAnsi="仿宋_GB2312" w:eastAsia="仿宋_GB2312" w:cs="仿宋_GB2312"/>
          <w:i w:val="0"/>
          <w:iCs w:val="0"/>
          <w:caps w:val="0"/>
          <w:color w:val="000000"/>
          <w:spacing w:val="2"/>
          <w:sz w:val="32"/>
          <w:szCs w:val="32"/>
          <w:bdr w:val="none" w:color="auto" w:sz="0" w:space="0"/>
          <w:shd w:val="clear" w:fill="FFFFFF"/>
        </w:rPr>
        <w:t>、管理外国政府和国际金融机构贷</w:t>
      </w:r>
      <w:r>
        <w:rPr>
          <w:rFonts w:hint="eastAsia" w:ascii="微软雅黑" w:hAnsi="微软雅黑" w:eastAsia="微软雅黑" w:cs="微软雅黑"/>
          <w:i w:val="0"/>
          <w:iCs w:val="0"/>
          <w:caps w:val="0"/>
          <w:color w:val="000000"/>
          <w:spacing w:val="2"/>
          <w:sz w:val="32"/>
          <w:szCs w:val="32"/>
          <w:bdr w:val="none" w:color="auto" w:sz="0" w:space="0"/>
          <w:shd w:val="clear" w:fill="FFFFFF"/>
        </w:rPr>
        <w:t>(</w:t>
      </w:r>
      <w:r>
        <w:rPr>
          <w:rFonts w:hint="eastAsia" w:ascii="仿宋_GB2312" w:hAnsi="仿宋_GB2312" w:eastAsia="仿宋_GB2312" w:cs="仿宋_GB2312"/>
          <w:i w:val="0"/>
          <w:iCs w:val="0"/>
          <w:caps w:val="0"/>
          <w:color w:val="000000"/>
          <w:spacing w:val="2"/>
          <w:sz w:val="32"/>
          <w:szCs w:val="32"/>
          <w:bdr w:val="none" w:color="auto" w:sz="0" w:space="0"/>
          <w:shd w:val="clear" w:fill="FFFFFF"/>
        </w:rPr>
        <w:t>赠</w:t>
      </w:r>
      <w:r>
        <w:rPr>
          <w:rFonts w:hint="eastAsia" w:ascii="微软雅黑" w:hAnsi="微软雅黑" w:eastAsia="微软雅黑" w:cs="微软雅黑"/>
          <w:i w:val="0"/>
          <w:iCs w:val="0"/>
          <w:caps w:val="0"/>
          <w:color w:val="000000"/>
          <w:spacing w:val="2"/>
          <w:sz w:val="32"/>
          <w:szCs w:val="32"/>
          <w:bdr w:val="none" w:color="auto" w:sz="0" w:space="0"/>
          <w:shd w:val="clear" w:fill="FFFFFF"/>
        </w:rPr>
        <w:t>)</w:t>
      </w:r>
      <w:r>
        <w:rPr>
          <w:rFonts w:hint="eastAsia" w:ascii="仿宋_GB2312" w:hAnsi="仿宋_GB2312" w:eastAsia="仿宋_GB2312" w:cs="仿宋_GB2312"/>
          <w:i w:val="0"/>
          <w:iCs w:val="0"/>
          <w:caps w:val="0"/>
          <w:color w:val="000000"/>
          <w:spacing w:val="2"/>
          <w:sz w:val="32"/>
          <w:szCs w:val="32"/>
          <w:bdr w:val="none" w:color="auto" w:sz="0" w:space="0"/>
          <w:shd w:val="clear" w:fill="FFFFFF"/>
        </w:rPr>
        <w:t>款项目的有关业务，参与财经领域的国际交流与合作。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12</w:t>
      </w:r>
      <w:r>
        <w:rPr>
          <w:rFonts w:hint="eastAsia" w:ascii="仿宋_GB2312" w:hAnsi="仿宋_GB2312" w:eastAsia="仿宋_GB2312" w:cs="仿宋_GB2312"/>
          <w:i w:val="0"/>
          <w:iCs w:val="0"/>
          <w:caps w:val="0"/>
          <w:color w:val="000000"/>
          <w:spacing w:val="2"/>
          <w:sz w:val="32"/>
          <w:szCs w:val="32"/>
          <w:bdr w:val="none" w:color="auto" w:sz="0" w:space="0"/>
          <w:shd w:val="clear" w:fill="FFFFFF"/>
        </w:rPr>
        <w:t>、负责管理全区会计工作，监督和规范会计行为，组织实施国家统一的会计制度，指导社会审计。依法管理资产评估有关工作。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13</w:t>
      </w:r>
      <w:r>
        <w:rPr>
          <w:rFonts w:hint="eastAsia" w:ascii="仿宋_GB2312" w:hAnsi="仿宋_GB2312" w:eastAsia="仿宋_GB2312" w:cs="仿宋_GB2312"/>
          <w:i w:val="0"/>
          <w:iCs w:val="0"/>
          <w:caps w:val="0"/>
          <w:color w:val="000000"/>
          <w:spacing w:val="2"/>
          <w:sz w:val="32"/>
          <w:szCs w:val="32"/>
          <w:bdr w:val="none" w:color="auto" w:sz="0" w:space="0"/>
          <w:shd w:val="clear" w:fill="FFFFFF"/>
        </w:rPr>
        <w:t>、拟定和执行国有资产管理的政策法规、规章制度和管理办法；负责全区行政事业单位国有资产及国有资产经营收益管理工作；组织实施行政事业单位、国有资产及区属企业资产的清产核资和绩效评价工作；组织实施区级行政事业单位及企业国有产权界定、企业国有资产产权界定和转让工作，监缴国有资产收益；负责国有资产及区属国有企业资产的统计、分析；指导和监督行政事业单位、区属国有企业资产的产权界定、清查登记等工作；指导和监督办理执行《企业财务通则》和相关财务会计制度，参与拟定企业国有资产管理相关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14</w:t>
      </w:r>
      <w:r>
        <w:rPr>
          <w:rFonts w:hint="eastAsia" w:ascii="仿宋_GB2312" w:hAnsi="仿宋_GB2312" w:eastAsia="仿宋_GB2312" w:cs="仿宋_GB2312"/>
          <w:i w:val="0"/>
          <w:iCs w:val="0"/>
          <w:caps w:val="0"/>
          <w:color w:val="000000"/>
          <w:spacing w:val="2"/>
          <w:sz w:val="32"/>
          <w:szCs w:val="32"/>
          <w:bdr w:val="none" w:color="auto" w:sz="0" w:space="0"/>
          <w:shd w:val="clear" w:fill="FFFFFF"/>
        </w:rPr>
        <w:t>、负责联系协调全区金融机构，推动地方政府与金融机构合作交流，防控金融风险、深化金融改革。负责全区小额贷款公司、融资担保公司、典当行、融资租赁公司等监管；维护地方金融秩序，牵头会同有关部门防范、化解和处置地方金融风险；牵头处置非法集资、协调配合有关部门打击其他非法金融活动；推进全区金融知识宣传普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199" w:right="0" w:firstLine="648"/>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2"/>
          <w:sz w:val="32"/>
          <w:szCs w:val="32"/>
          <w:bdr w:val="none" w:color="auto" w:sz="0" w:space="0"/>
          <w:shd w:val="clear" w:fill="FFFFFF"/>
        </w:rPr>
        <w:t>15</w:t>
      </w:r>
      <w:r>
        <w:rPr>
          <w:rFonts w:hint="eastAsia" w:ascii="仿宋_GB2312" w:hAnsi="仿宋_GB2312" w:eastAsia="仿宋_GB2312" w:cs="仿宋_GB2312"/>
          <w:i w:val="0"/>
          <w:iCs w:val="0"/>
          <w:caps w:val="0"/>
          <w:color w:val="000000"/>
          <w:spacing w:val="2"/>
          <w:sz w:val="32"/>
          <w:szCs w:val="32"/>
          <w:bdr w:val="none" w:color="auto" w:sz="0" w:space="0"/>
          <w:shd w:val="clear" w:fill="FFFFFF"/>
        </w:rPr>
        <w:t>、负责职责范围内的安全生产和职业健康、生态环境保护、审批服务便民化等工作。按省、市要求，指导推进相对集中行政许可权改革。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255" w:afterAutospacing="0" w:line="580" w:lineRule="atLeast"/>
        <w:ind w:left="0" w:right="0" w:firstLine="680"/>
        <w:jc w:val="left"/>
        <w:rPr>
          <w:rFonts w:hint="eastAsia" w:ascii="微软雅黑" w:hAnsi="微软雅黑" w:eastAsia="微软雅黑" w:cs="微软雅黑"/>
          <w:i w:val="0"/>
          <w:iCs w:val="0"/>
          <w:caps w:val="0"/>
          <w:color w:val="333333"/>
          <w:spacing w:val="0"/>
          <w:sz w:val="24"/>
          <w:szCs w:val="24"/>
        </w:rPr>
      </w:pPr>
      <w:r>
        <w:rPr>
          <w:rFonts w:ascii="Times New Roman" w:hAnsi="Times New Roman" w:eastAsia="微软雅黑" w:cs="Times New Roman"/>
          <w:i w:val="0"/>
          <w:iCs w:val="0"/>
          <w:caps w:val="0"/>
          <w:color w:val="000000"/>
          <w:spacing w:val="2"/>
          <w:sz w:val="32"/>
          <w:szCs w:val="32"/>
          <w:bdr w:val="none" w:color="auto" w:sz="0" w:space="0"/>
          <w:shd w:val="clear" w:fill="FFFFFF"/>
        </w:rPr>
        <w:t>16</w:t>
      </w:r>
      <w:r>
        <w:rPr>
          <w:rFonts w:hint="eastAsia" w:ascii="微软雅黑" w:hAnsi="微软雅黑" w:eastAsia="微软雅黑" w:cs="微软雅黑"/>
          <w:i w:val="0"/>
          <w:iCs w:val="0"/>
          <w:caps w:val="0"/>
          <w:color w:val="000000"/>
          <w:spacing w:val="2"/>
          <w:sz w:val="32"/>
          <w:szCs w:val="32"/>
          <w:bdr w:val="none" w:color="auto" w:sz="0" w:space="0"/>
          <w:shd w:val="clear" w:fill="FFFFFF"/>
        </w:rPr>
        <w:t>、完成区委、区政府交办的其他任务。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255" w:afterAutospacing="0" w:line="600" w:lineRule="atLeast"/>
        <w:ind w:left="0" w:right="0" w:firstLine="675"/>
        <w:jc w:val="left"/>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000000"/>
          <w:spacing w:val="0"/>
          <w:sz w:val="32"/>
          <w:szCs w:val="32"/>
          <w:bdr w:val="none" w:color="auto" w:sz="0" w:space="0"/>
          <w:shd w:val="clear" w:fill="FFFFFF"/>
        </w:rPr>
        <w:t>（二）2019年重点工作完成情况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2019</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年，财政部门全面贯彻执行《预算法》，全面落实减税降费政策，抢抓国务院基础设施领域补短板政策机遇，树立过紧日子的思想，财政总收入</w:t>
      </w:r>
      <w:r>
        <w:rPr>
          <w:rFonts w:hint="eastAsia" w:ascii="微软雅黑" w:hAnsi="微软雅黑" w:eastAsia="微软雅黑" w:cs="微软雅黑"/>
          <w:i w:val="0"/>
          <w:iCs w:val="0"/>
          <w:caps w:val="0"/>
          <w:color w:val="333333"/>
          <w:spacing w:val="0"/>
          <w:sz w:val="32"/>
          <w:szCs w:val="32"/>
          <w:bdr w:val="none" w:color="auto" w:sz="0" w:space="0"/>
          <w:shd w:val="clear" w:fill="FFFFFF"/>
        </w:rPr>
        <w:t>409,741</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万元、总支出</w:t>
      </w:r>
      <w:r>
        <w:rPr>
          <w:rFonts w:hint="eastAsia" w:ascii="微软雅黑" w:hAnsi="微软雅黑" w:eastAsia="微软雅黑" w:cs="微软雅黑"/>
          <w:i w:val="0"/>
          <w:iCs w:val="0"/>
          <w:caps w:val="0"/>
          <w:color w:val="333333"/>
          <w:spacing w:val="0"/>
          <w:sz w:val="32"/>
          <w:szCs w:val="32"/>
          <w:bdr w:val="none" w:color="auto" w:sz="0" w:space="0"/>
          <w:shd w:val="clear" w:fill="FFFFFF"/>
        </w:rPr>
        <w:t>406,213</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万元，达历史最高水平，较好地发挥了财政对经济社会发展的支撑和保障作用。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30"/>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1、强抓财源建设，厉行勤俭节约，推动经济平稳发展。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强化收入征管，提高收入质量。</w:t>
      </w:r>
      <w:r>
        <w:rPr>
          <w:rFonts w:hint="eastAsia" w:ascii="仿宋_GB2312" w:hAnsi="仿宋_GB2312" w:eastAsia="仿宋_GB2312" w:cs="仿宋_GB2312"/>
          <w:i w:val="0"/>
          <w:iCs w:val="0"/>
          <w:caps w:val="0"/>
          <w:color w:val="333333"/>
          <w:spacing w:val="0"/>
          <w:sz w:val="32"/>
          <w:szCs w:val="32"/>
          <w:bdr w:val="none" w:color="auto" w:sz="0" w:space="0"/>
          <w:shd w:val="clear" w:fill="FFFFFF"/>
        </w:rPr>
        <w:t>以</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开源、节流、服务</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为工作总基调，抓好税源培植，积极协税护税。面对</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营改增</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带来的税收征管问题，大力加强各级各部门协税护税的主动性和责任意识，堵塞税收征管漏洞，财政收入圆满完成年初预算，实现稳步增收，区本级一般公共预算收入突破</w:t>
      </w:r>
      <w:r>
        <w:rPr>
          <w:rFonts w:hint="eastAsia" w:ascii="微软雅黑" w:hAnsi="微软雅黑" w:eastAsia="微软雅黑" w:cs="微软雅黑"/>
          <w:i w:val="0"/>
          <w:iCs w:val="0"/>
          <w:caps w:val="0"/>
          <w:color w:val="333333"/>
          <w:spacing w:val="0"/>
          <w:sz w:val="32"/>
          <w:szCs w:val="32"/>
          <w:bdr w:val="none" w:color="auto" w:sz="0" w:space="0"/>
          <w:shd w:val="clear" w:fill="FFFFFF"/>
        </w:rPr>
        <w:t>7</w:t>
      </w:r>
      <w:r>
        <w:rPr>
          <w:rFonts w:hint="eastAsia" w:ascii="仿宋_GB2312" w:hAnsi="仿宋_GB2312" w:eastAsia="仿宋_GB2312" w:cs="仿宋_GB2312"/>
          <w:i w:val="0"/>
          <w:iCs w:val="0"/>
          <w:caps w:val="0"/>
          <w:color w:val="333333"/>
          <w:spacing w:val="0"/>
          <w:sz w:val="32"/>
          <w:szCs w:val="32"/>
          <w:bdr w:val="none" w:color="auto" w:sz="0" w:space="0"/>
          <w:shd w:val="clear" w:fill="FFFFFF"/>
        </w:rPr>
        <w:t>亿元，迈上新台价。制定切实有效措施，狠抓省委巡视提出税收下降，质量不高的问题整改工作，</w:t>
      </w:r>
      <w:r>
        <w:rPr>
          <w:rFonts w:hint="eastAsia" w:ascii="微软雅黑" w:hAnsi="微软雅黑" w:eastAsia="微软雅黑" w:cs="微软雅黑"/>
          <w:i w:val="0"/>
          <w:iCs w:val="0"/>
          <w:caps w:val="0"/>
          <w:color w:val="333333"/>
          <w:spacing w:val="0"/>
          <w:sz w:val="32"/>
          <w:szCs w:val="32"/>
          <w:bdr w:val="none" w:color="auto" w:sz="0" w:space="0"/>
          <w:shd w:val="clear" w:fill="FFFFFF"/>
        </w:rPr>
        <w:t>2019</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年区本级税收收入完成</w:t>
      </w:r>
      <w:r>
        <w:rPr>
          <w:rFonts w:hint="eastAsia" w:ascii="微软雅黑" w:hAnsi="微软雅黑" w:eastAsia="微软雅黑" w:cs="微软雅黑"/>
          <w:i w:val="0"/>
          <w:iCs w:val="0"/>
          <w:caps w:val="0"/>
          <w:color w:val="333333"/>
          <w:spacing w:val="0"/>
          <w:sz w:val="32"/>
          <w:szCs w:val="32"/>
          <w:bdr w:val="none" w:color="auto" w:sz="0" w:space="0"/>
          <w:shd w:val="clear" w:fill="FFFFFF"/>
        </w:rPr>
        <w:t>4.93</w:t>
      </w:r>
      <w:r>
        <w:rPr>
          <w:rFonts w:hint="eastAsia" w:ascii="仿宋_GB2312" w:hAnsi="仿宋_GB2312" w:eastAsia="仿宋_GB2312" w:cs="仿宋_GB2312"/>
          <w:i w:val="0"/>
          <w:iCs w:val="0"/>
          <w:caps w:val="0"/>
          <w:color w:val="333333"/>
          <w:spacing w:val="0"/>
          <w:sz w:val="32"/>
          <w:szCs w:val="32"/>
          <w:bdr w:val="none" w:color="auto" w:sz="0" w:space="0"/>
          <w:shd w:val="clear" w:fill="FFFFFF"/>
        </w:rPr>
        <w:t>亿元，占一般公共预算收入的</w:t>
      </w:r>
      <w:r>
        <w:rPr>
          <w:rFonts w:hint="eastAsia" w:ascii="微软雅黑" w:hAnsi="微软雅黑" w:eastAsia="微软雅黑" w:cs="微软雅黑"/>
          <w:i w:val="0"/>
          <w:iCs w:val="0"/>
          <w:caps w:val="0"/>
          <w:color w:val="333333"/>
          <w:spacing w:val="0"/>
          <w:sz w:val="32"/>
          <w:szCs w:val="32"/>
          <w:bdr w:val="none" w:color="auto" w:sz="0" w:space="0"/>
          <w:shd w:val="clear" w:fill="FFFFFF"/>
        </w:rPr>
        <w:t>69.35%</w:t>
      </w:r>
      <w:r>
        <w:rPr>
          <w:rFonts w:hint="eastAsia" w:ascii="仿宋_GB2312" w:hAnsi="仿宋_GB2312" w:eastAsia="仿宋_GB2312" w:cs="仿宋_GB2312"/>
          <w:i w:val="0"/>
          <w:iCs w:val="0"/>
          <w:caps w:val="0"/>
          <w:color w:val="333333"/>
          <w:spacing w:val="0"/>
          <w:sz w:val="32"/>
          <w:szCs w:val="32"/>
          <w:bdr w:val="none" w:color="auto" w:sz="0" w:space="0"/>
          <w:shd w:val="clear" w:fill="FFFFFF"/>
        </w:rPr>
        <w:t>，同比增长</w:t>
      </w:r>
      <w:r>
        <w:rPr>
          <w:rFonts w:hint="eastAsia" w:ascii="微软雅黑" w:hAnsi="微软雅黑" w:eastAsia="微软雅黑" w:cs="微软雅黑"/>
          <w:i w:val="0"/>
          <w:iCs w:val="0"/>
          <w:caps w:val="0"/>
          <w:color w:val="333333"/>
          <w:spacing w:val="0"/>
          <w:sz w:val="32"/>
          <w:szCs w:val="32"/>
          <w:bdr w:val="none" w:color="auto" w:sz="0" w:space="0"/>
          <w:shd w:val="clear" w:fill="FFFFFF"/>
        </w:rPr>
        <w:t>9.35</w:t>
      </w:r>
      <w:r>
        <w:rPr>
          <w:rFonts w:hint="eastAsia" w:ascii="仿宋_GB2312" w:hAnsi="仿宋_GB2312" w:eastAsia="仿宋_GB2312" w:cs="仿宋_GB2312"/>
          <w:i w:val="0"/>
          <w:iCs w:val="0"/>
          <w:caps w:val="0"/>
          <w:color w:val="333333"/>
          <w:spacing w:val="0"/>
          <w:sz w:val="32"/>
          <w:szCs w:val="32"/>
          <w:bdr w:val="none" w:color="auto" w:sz="0" w:space="0"/>
          <w:shd w:val="clear" w:fill="FFFFFF"/>
        </w:rPr>
        <w:t>个百分点，收入质量明显提高。政府性基金收入实现</w:t>
      </w:r>
      <w:r>
        <w:rPr>
          <w:rFonts w:hint="eastAsia" w:ascii="微软雅黑" w:hAnsi="微软雅黑" w:eastAsia="微软雅黑" w:cs="微软雅黑"/>
          <w:i w:val="0"/>
          <w:iCs w:val="0"/>
          <w:caps w:val="0"/>
          <w:color w:val="333333"/>
          <w:spacing w:val="0"/>
          <w:sz w:val="32"/>
          <w:szCs w:val="32"/>
          <w:bdr w:val="none" w:color="auto" w:sz="0" w:space="0"/>
          <w:shd w:val="clear" w:fill="FFFFFF"/>
        </w:rPr>
        <w:t>10.7</w:t>
      </w:r>
      <w:r>
        <w:rPr>
          <w:rFonts w:hint="eastAsia" w:ascii="仿宋_GB2312" w:hAnsi="仿宋_GB2312" w:eastAsia="仿宋_GB2312" w:cs="仿宋_GB2312"/>
          <w:i w:val="0"/>
          <w:iCs w:val="0"/>
          <w:caps w:val="0"/>
          <w:color w:val="333333"/>
          <w:spacing w:val="0"/>
          <w:sz w:val="32"/>
          <w:szCs w:val="32"/>
          <w:bdr w:val="none" w:color="auto" w:sz="0" w:space="0"/>
          <w:shd w:val="clear" w:fill="FFFFFF"/>
        </w:rPr>
        <w:t>亿元，同比增长</w:t>
      </w:r>
      <w:r>
        <w:rPr>
          <w:rFonts w:hint="eastAsia" w:ascii="微软雅黑" w:hAnsi="微软雅黑" w:eastAsia="微软雅黑" w:cs="微软雅黑"/>
          <w:i w:val="0"/>
          <w:iCs w:val="0"/>
          <w:caps w:val="0"/>
          <w:color w:val="333333"/>
          <w:spacing w:val="0"/>
          <w:sz w:val="32"/>
          <w:szCs w:val="32"/>
          <w:bdr w:val="none" w:color="auto" w:sz="0" w:space="0"/>
          <w:shd w:val="clear" w:fill="FFFFFF"/>
        </w:rPr>
        <w:t>179.45%</w:t>
      </w:r>
      <w:r>
        <w:rPr>
          <w:rFonts w:hint="eastAsia" w:ascii="仿宋_GB2312" w:hAnsi="仿宋_GB2312" w:eastAsia="仿宋_GB2312" w:cs="仿宋_GB2312"/>
          <w:i w:val="0"/>
          <w:iCs w:val="0"/>
          <w:caps w:val="0"/>
          <w:color w:val="333333"/>
          <w:spacing w:val="0"/>
          <w:sz w:val="32"/>
          <w:szCs w:val="32"/>
          <w:bdr w:val="none" w:color="auto" w:sz="0" w:space="0"/>
          <w:shd w:val="clear" w:fill="FFFFFF"/>
        </w:rPr>
        <w:t>，创历史最高纪录，为全区</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稳增长、促改革、调结构、惠民生、防风险</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提供了重要财力保障。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30"/>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壮大财力规模，提高保障能力。</w:t>
      </w:r>
      <w:r>
        <w:rPr>
          <w:rFonts w:hint="eastAsia" w:ascii="仿宋_GB2312" w:hAnsi="仿宋_GB2312" w:eastAsia="仿宋_GB2312" w:cs="仿宋_GB2312"/>
          <w:i w:val="0"/>
          <w:iCs w:val="0"/>
          <w:caps w:val="0"/>
          <w:color w:val="333333"/>
          <w:spacing w:val="0"/>
          <w:sz w:val="32"/>
          <w:szCs w:val="32"/>
          <w:bdr w:val="none" w:color="auto" w:sz="0" w:space="0"/>
          <w:shd w:val="clear" w:fill="FFFFFF"/>
        </w:rPr>
        <w:t>全区各部门主动作为，积极向上争取各类资金</w:t>
      </w:r>
      <w:r>
        <w:rPr>
          <w:rFonts w:hint="eastAsia" w:ascii="微软雅黑" w:hAnsi="微软雅黑" w:eastAsia="微软雅黑" w:cs="微软雅黑"/>
          <w:i w:val="0"/>
          <w:iCs w:val="0"/>
          <w:caps w:val="0"/>
          <w:color w:val="333333"/>
          <w:spacing w:val="0"/>
          <w:sz w:val="32"/>
          <w:szCs w:val="32"/>
          <w:bdr w:val="none" w:color="auto" w:sz="0" w:space="0"/>
          <w:shd w:val="clear" w:fill="FFFFFF"/>
        </w:rPr>
        <w:t>220,485</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万元，其中：财力性转移支付资金</w:t>
      </w:r>
      <w:r>
        <w:rPr>
          <w:rFonts w:hint="eastAsia" w:ascii="微软雅黑" w:hAnsi="微软雅黑" w:eastAsia="微软雅黑" w:cs="微软雅黑"/>
          <w:i w:val="0"/>
          <w:iCs w:val="0"/>
          <w:caps w:val="0"/>
          <w:color w:val="333333"/>
          <w:spacing w:val="0"/>
          <w:sz w:val="32"/>
          <w:szCs w:val="32"/>
          <w:bdr w:val="none" w:color="auto" w:sz="0" w:space="0"/>
          <w:shd w:val="clear" w:fill="FFFFFF"/>
        </w:rPr>
        <w:t>47,776</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万元、专项转移支付资金</w:t>
      </w:r>
      <w:r>
        <w:rPr>
          <w:rFonts w:hint="eastAsia" w:ascii="微软雅黑" w:hAnsi="微软雅黑" w:eastAsia="微软雅黑" w:cs="微软雅黑"/>
          <w:i w:val="0"/>
          <w:iCs w:val="0"/>
          <w:caps w:val="0"/>
          <w:color w:val="333333"/>
          <w:spacing w:val="0"/>
          <w:sz w:val="32"/>
          <w:szCs w:val="32"/>
          <w:bdr w:val="none" w:color="auto" w:sz="0" w:space="0"/>
          <w:shd w:val="clear" w:fill="FFFFFF"/>
        </w:rPr>
        <w:t>48,211</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万元、债券资金</w:t>
      </w:r>
      <w:r>
        <w:rPr>
          <w:rFonts w:hint="eastAsia" w:ascii="微软雅黑" w:hAnsi="微软雅黑" w:eastAsia="微软雅黑" w:cs="微软雅黑"/>
          <w:i w:val="0"/>
          <w:iCs w:val="0"/>
          <w:caps w:val="0"/>
          <w:color w:val="333333"/>
          <w:spacing w:val="0"/>
          <w:sz w:val="32"/>
          <w:szCs w:val="32"/>
          <w:bdr w:val="none" w:color="auto" w:sz="0" w:space="0"/>
          <w:shd w:val="clear" w:fill="FFFFFF"/>
        </w:rPr>
        <w:t>108,496</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万元、直拨资金</w:t>
      </w:r>
      <w:r>
        <w:rPr>
          <w:rFonts w:hint="eastAsia" w:ascii="微软雅黑" w:hAnsi="微软雅黑" w:eastAsia="微软雅黑" w:cs="微软雅黑"/>
          <w:i w:val="0"/>
          <w:iCs w:val="0"/>
          <w:caps w:val="0"/>
          <w:color w:val="333333"/>
          <w:spacing w:val="0"/>
          <w:sz w:val="32"/>
          <w:szCs w:val="32"/>
          <w:bdr w:val="none" w:color="auto" w:sz="0" w:space="0"/>
          <w:shd w:val="clear" w:fill="FFFFFF"/>
        </w:rPr>
        <w:t>16,002</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万元，为促进经济社会全面发展和城市基础设施建设提供了坚实的资金保障，有效缓解财政压力。盘活存量资金</w:t>
      </w:r>
      <w:r>
        <w:rPr>
          <w:rFonts w:hint="eastAsia" w:ascii="微软雅黑" w:hAnsi="微软雅黑" w:eastAsia="微软雅黑" w:cs="微软雅黑"/>
          <w:i w:val="0"/>
          <w:iCs w:val="0"/>
          <w:caps w:val="0"/>
          <w:color w:val="333333"/>
          <w:spacing w:val="0"/>
          <w:sz w:val="32"/>
          <w:szCs w:val="32"/>
          <w:bdr w:val="none" w:color="auto" w:sz="0" w:space="0"/>
          <w:shd w:val="clear" w:fill="FFFFFF"/>
        </w:rPr>
        <w:t>59,668</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万元，统筹用于民生保障等领域，极大发挥资金使用效益。筹措重点建设项目资金</w:t>
      </w:r>
      <w:r>
        <w:rPr>
          <w:rFonts w:hint="eastAsia" w:ascii="微软雅黑" w:hAnsi="微软雅黑" w:eastAsia="微软雅黑" w:cs="微软雅黑"/>
          <w:i w:val="0"/>
          <w:iCs w:val="0"/>
          <w:caps w:val="0"/>
          <w:color w:val="333333"/>
          <w:spacing w:val="0"/>
          <w:sz w:val="32"/>
          <w:szCs w:val="32"/>
          <w:bdr w:val="none" w:color="auto" w:sz="0" w:space="0"/>
          <w:shd w:val="clear" w:fill="FFFFFF"/>
        </w:rPr>
        <w:t>10,963</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确保公安技侦用房、法院办公用房、大河法庭建成使用，沙贝路幼儿园、思源学校、四十九小学、高考综合改革、迤资园区污水处理、橄榄坪园区生活污水管网、主城区夜景亮化维护工程等项目的顺利推进。筹集重点区域土地收储资金</w:t>
      </w:r>
      <w:r>
        <w:rPr>
          <w:rFonts w:hint="eastAsia" w:ascii="微软雅黑" w:hAnsi="微软雅黑" w:eastAsia="微软雅黑" w:cs="微软雅黑"/>
          <w:i w:val="0"/>
          <w:iCs w:val="0"/>
          <w:caps w:val="0"/>
          <w:color w:val="333333"/>
          <w:spacing w:val="0"/>
          <w:sz w:val="32"/>
          <w:szCs w:val="32"/>
          <w:bdr w:val="none" w:color="auto" w:sz="0" w:space="0"/>
          <w:shd w:val="clear" w:fill="FFFFFF"/>
        </w:rPr>
        <w:t>130,000</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万元，确保普达阳光康养、宝灵寺周边、莲花村及大河流域水环境治理、主城区老旧小区改造、宝灵寺周边、工业园区渣场等项目的土地运营工作正常开展。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30"/>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厉行勤俭节约，落实</w:t>
      </w:r>
      <w:r>
        <w:rPr>
          <w:rStyle w:val="7"/>
          <w:rFonts w:hint="eastAsia" w:ascii="微软雅黑" w:hAnsi="微软雅黑" w:eastAsia="微软雅黑" w:cs="微软雅黑"/>
          <w:i w:val="0"/>
          <w:iCs w:val="0"/>
          <w:caps w:val="0"/>
          <w:color w:val="333333"/>
          <w:spacing w:val="0"/>
          <w:sz w:val="32"/>
          <w:szCs w:val="32"/>
          <w:bdr w:val="none" w:color="auto" w:sz="0" w:space="0"/>
          <w:shd w:val="clear" w:fill="FFFFFF"/>
        </w:rPr>
        <w:t>“</w:t>
      </w: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三保</w:t>
      </w:r>
      <w:r>
        <w:rPr>
          <w:rStyle w:val="7"/>
          <w:rFonts w:hint="eastAsia" w:ascii="微软雅黑" w:hAnsi="微软雅黑" w:eastAsia="微软雅黑" w:cs="微软雅黑"/>
          <w:i w:val="0"/>
          <w:iCs w:val="0"/>
          <w:caps w:val="0"/>
          <w:color w:val="333333"/>
          <w:spacing w:val="0"/>
          <w:sz w:val="32"/>
          <w:szCs w:val="32"/>
          <w:bdr w:val="none" w:color="auto" w:sz="0" w:space="0"/>
          <w:shd w:val="clear" w:fill="FFFFFF"/>
        </w:rPr>
        <w:t>”</w:t>
      </w: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责任。</w:t>
      </w:r>
      <w:r>
        <w:rPr>
          <w:rFonts w:hint="eastAsia" w:ascii="仿宋_GB2312" w:hAnsi="仿宋_GB2312" w:eastAsia="仿宋_GB2312" w:cs="仿宋_GB2312"/>
          <w:i w:val="0"/>
          <w:iCs w:val="0"/>
          <w:caps w:val="0"/>
          <w:color w:val="333333"/>
          <w:spacing w:val="0"/>
          <w:sz w:val="32"/>
          <w:szCs w:val="32"/>
          <w:bdr w:val="none" w:color="auto" w:sz="0" w:space="0"/>
          <w:shd w:val="clear" w:fill="FFFFFF"/>
        </w:rPr>
        <w:t>坚持</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三保</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支出在财政支出中的优先顺序，在金库设置</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工资专户</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和</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扶贫专户</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，认真落实</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三保</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支出区级保障的主体责任。全面落实加强预算管理的相关要求，严格压缩和控制一般性支出，公用经费同比下降</w:t>
      </w:r>
      <w:r>
        <w:rPr>
          <w:rFonts w:hint="eastAsia" w:ascii="微软雅黑" w:hAnsi="微软雅黑" w:eastAsia="微软雅黑" w:cs="微软雅黑"/>
          <w:i w:val="0"/>
          <w:iCs w:val="0"/>
          <w:caps w:val="0"/>
          <w:color w:val="333333"/>
          <w:spacing w:val="0"/>
          <w:sz w:val="32"/>
          <w:szCs w:val="32"/>
          <w:bdr w:val="none" w:color="auto" w:sz="0" w:space="0"/>
          <w:shd w:val="clear" w:fill="FFFFFF"/>
        </w:rPr>
        <w:t>20%</w:t>
      </w:r>
      <w:r>
        <w:rPr>
          <w:rFonts w:hint="eastAsia" w:ascii="仿宋_GB2312" w:hAnsi="仿宋_GB2312" w:eastAsia="仿宋_GB2312" w:cs="仿宋_GB2312"/>
          <w:i w:val="0"/>
          <w:iCs w:val="0"/>
          <w:caps w:val="0"/>
          <w:color w:val="333333"/>
          <w:spacing w:val="0"/>
          <w:sz w:val="32"/>
          <w:szCs w:val="32"/>
          <w:bdr w:val="none" w:color="auto" w:sz="0" w:space="0"/>
          <w:shd w:val="clear" w:fill="FFFFFF"/>
        </w:rPr>
        <w:t>，三公经费同比下降</w:t>
      </w:r>
      <w:r>
        <w:rPr>
          <w:rFonts w:hint="eastAsia" w:ascii="微软雅黑" w:hAnsi="微软雅黑" w:eastAsia="微软雅黑" w:cs="微软雅黑"/>
          <w:i w:val="0"/>
          <w:iCs w:val="0"/>
          <w:caps w:val="0"/>
          <w:color w:val="333333"/>
          <w:spacing w:val="0"/>
          <w:sz w:val="32"/>
          <w:szCs w:val="32"/>
          <w:bdr w:val="none" w:color="auto" w:sz="0" w:space="0"/>
          <w:shd w:val="clear" w:fill="FFFFFF"/>
        </w:rPr>
        <w:t>6%</w:t>
      </w:r>
      <w:r>
        <w:rPr>
          <w:rFonts w:hint="eastAsia" w:ascii="仿宋_GB2312" w:hAnsi="仿宋_GB2312" w:eastAsia="仿宋_GB2312" w:cs="仿宋_GB2312"/>
          <w:i w:val="0"/>
          <w:iCs w:val="0"/>
          <w:caps w:val="0"/>
          <w:color w:val="333333"/>
          <w:spacing w:val="0"/>
          <w:sz w:val="32"/>
          <w:szCs w:val="32"/>
          <w:bdr w:val="none" w:color="auto" w:sz="0" w:space="0"/>
          <w:shd w:val="clear" w:fill="FFFFFF"/>
        </w:rPr>
        <w:t>。财政投资评审项目</w:t>
      </w:r>
      <w:r>
        <w:rPr>
          <w:rFonts w:hint="eastAsia" w:ascii="微软雅黑" w:hAnsi="微软雅黑" w:eastAsia="微软雅黑" w:cs="微软雅黑"/>
          <w:i w:val="0"/>
          <w:iCs w:val="0"/>
          <w:caps w:val="0"/>
          <w:color w:val="333333"/>
          <w:spacing w:val="0"/>
          <w:sz w:val="32"/>
          <w:szCs w:val="32"/>
          <w:bdr w:val="none" w:color="auto" w:sz="0" w:space="0"/>
          <w:shd w:val="clear" w:fill="FFFFFF"/>
        </w:rPr>
        <w:t>224</w:t>
      </w:r>
      <w:r>
        <w:rPr>
          <w:rFonts w:hint="eastAsia" w:ascii="仿宋_GB2312" w:hAnsi="仿宋_GB2312" w:eastAsia="仿宋_GB2312" w:cs="仿宋_GB2312"/>
          <w:i w:val="0"/>
          <w:iCs w:val="0"/>
          <w:caps w:val="0"/>
          <w:color w:val="333333"/>
          <w:spacing w:val="0"/>
          <w:sz w:val="32"/>
          <w:szCs w:val="32"/>
          <w:bdr w:val="none" w:color="auto" w:sz="0" w:space="0"/>
          <w:shd w:val="clear" w:fill="FFFFFF"/>
        </w:rPr>
        <w:t>个，送审金额</w:t>
      </w:r>
      <w:r>
        <w:rPr>
          <w:rFonts w:hint="eastAsia" w:ascii="微软雅黑" w:hAnsi="微软雅黑" w:eastAsia="微软雅黑" w:cs="微软雅黑"/>
          <w:i w:val="0"/>
          <w:iCs w:val="0"/>
          <w:caps w:val="0"/>
          <w:color w:val="333333"/>
          <w:spacing w:val="0"/>
          <w:sz w:val="32"/>
          <w:szCs w:val="32"/>
          <w:bdr w:val="none" w:color="auto" w:sz="0" w:space="0"/>
          <w:shd w:val="clear" w:fill="FFFFFF"/>
        </w:rPr>
        <w:t>166,414</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万元，审减金额</w:t>
      </w:r>
      <w:r>
        <w:rPr>
          <w:rFonts w:hint="eastAsia" w:ascii="微软雅黑" w:hAnsi="微软雅黑" w:eastAsia="微软雅黑" w:cs="微软雅黑"/>
          <w:i w:val="0"/>
          <w:iCs w:val="0"/>
          <w:caps w:val="0"/>
          <w:color w:val="333333"/>
          <w:spacing w:val="0"/>
          <w:sz w:val="32"/>
          <w:szCs w:val="32"/>
          <w:bdr w:val="none" w:color="auto" w:sz="0" w:space="0"/>
          <w:shd w:val="clear" w:fill="FFFFFF"/>
        </w:rPr>
        <w:t>36,401</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万元，审减率</w:t>
      </w:r>
      <w:r>
        <w:rPr>
          <w:rFonts w:hint="eastAsia" w:ascii="微软雅黑" w:hAnsi="微软雅黑" w:eastAsia="微软雅黑" w:cs="微软雅黑"/>
          <w:i w:val="0"/>
          <w:iCs w:val="0"/>
          <w:caps w:val="0"/>
          <w:color w:val="333333"/>
          <w:spacing w:val="0"/>
          <w:sz w:val="32"/>
          <w:szCs w:val="32"/>
          <w:bdr w:val="none" w:color="auto" w:sz="0" w:space="0"/>
          <w:shd w:val="clear" w:fill="FFFFFF"/>
        </w:rPr>
        <w:t>21.87%</w:t>
      </w:r>
      <w:r>
        <w:rPr>
          <w:rFonts w:hint="eastAsia" w:ascii="仿宋_GB2312" w:hAnsi="仿宋_GB2312" w:eastAsia="仿宋_GB2312" w:cs="仿宋_GB2312"/>
          <w:i w:val="0"/>
          <w:iCs w:val="0"/>
          <w:caps w:val="0"/>
          <w:color w:val="333333"/>
          <w:spacing w:val="0"/>
          <w:sz w:val="32"/>
          <w:szCs w:val="32"/>
          <w:bdr w:val="none" w:color="auto" w:sz="0" w:space="0"/>
          <w:shd w:val="clear" w:fill="FFFFFF"/>
        </w:rPr>
        <w:t>。政府投资项目竣工结算审核项目</w:t>
      </w:r>
      <w:r>
        <w:rPr>
          <w:rFonts w:hint="eastAsia" w:ascii="微软雅黑" w:hAnsi="微软雅黑" w:eastAsia="微软雅黑" w:cs="微软雅黑"/>
          <w:i w:val="0"/>
          <w:iCs w:val="0"/>
          <w:caps w:val="0"/>
          <w:color w:val="333333"/>
          <w:spacing w:val="0"/>
          <w:sz w:val="32"/>
          <w:szCs w:val="32"/>
          <w:bdr w:val="none" w:color="auto" w:sz="0" w:space="0"/>
          <w:shd w:val="clear" w:fill="FFFFFF"/>
        </w:rPr>
        <w:t>161</w:t>
      </w:r>
      <w:r>
        <w:rPr>
          <w:rFonts w:hint="eastAsia" w:ascii="仿宋_GB2312" w:hAnsi="仿宋_GB2312" w:eastAsia="仿宋_GB2312" w:cs="仿宋_GB2312"/>
          <w:i w:val="0"/>
          <w:iCs w:val="0"/>
          <w:caps w:val="0"/>
          <w:color w:val="333333"/>
          <w:spacing w:val="0"/>
          <w:sz w:val="32"/>
          <w:szCs w:val="32"/>
          <w:bdr w:val="none" w:color="auto" w:sz="0" w:space="0"/>
          <w:shd w:val="clear" w:fill="FFFFFF"/>
        </w:rPr>
        <w:t>个，送审金额</w:t>
      </w:r>
      <w:r>
        <w:rPr>
          <w:rFonts w:hint="eastAsia" w:ascii="微软雅黑" w:hAnsi="微软雅黑" w:eastAsia="微软雅黑" w:cs="微软雅黑"/>
          <w:i w:val="0"/>
          <w:iCs w:val="0"/>
          <w:caps w:val="0"/>
          <w:color w:val="333333"/>
          <w:spacing w:val="0"/>
          <w:sz w:val="32"/>
          <w:szCs w:val="32"/>
          <w:bdr w:val="none" w:color="auto" w:sz="0" w:space="0"/>
          <w:shd w:val="clear" w:fill="FFFFFF"/>
        </w:rPr>
        <w:t>16,643</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万元，审减率</w:t>
      </w:r>
      <w:r>
        <w:rPr>
          <w:rFonts w:hint="eastAsia" w:ascii="微软雅黑" w:hAnsi="微软雅黑" w:eastAsia="微软雅黑" w:cs="微软雅黑"/>
          <w:i w:val="0"/>
          <w:iCs w:val="0"/>
          <w:caps w:val="0"/>
          <w:color w:val="333333"/>
          <w:spacing w:val="0"/>
          <w:sz w:val="32"/>
          <w:szCs w:val="32"/>
          <w:bdr w:val="none" w:color="auto" w:sz="0" w:space="0"/>
          <w:shd w:val="clear" w:fill="FFFFFF"/>
        </w:rPr>
        <w:t>5.04%</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30"/>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2、围绕民生福祉，聚焦群众所盼，增强群众获得感。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着力支持教育事业优先发展。</w:t>
      </w:r>
      <w:r>
        <w:rPr>
          <w:rFonts w:hint="eastAsia" w:ascii="仿宋_GB2312" w:hAnsi="仿宋_GB2312" w:eastAsia="仿宋_GB2312" w:cs="仿宋_GB2312"/>
          <w:i w:val="0"/>
          <w:iCs w:val="0"/>
          <w:caps w:val="0"/>
          <w:color w:val="333333"/>
          <w:spacing w:val="0"/>
          <w:sz w:val="32"/>
          <w:szCs w:val="32"/>
          <w:bdr w:val="none" w:color="auto" w:sz="0" w:space="0"/>
          <w:shd w:val="clear" w:fill="FFFFFF"/>
        </w:rPr>
        <w:t>全年投入资金</w:t>
      </w:r>
      <w:r>
        <w:rPr>
          <w:rFonts w:hint="eastAsia" w:ascii="微软雅黑" w:hAnsi="微软雅黑" w:eastAsia="微软雅黑" w:cs="微软雅黑"/>
          <w:i w:val="0"/>
          <w:iCs w:val="0"/>
          <w:caps w:val="0"/>
          <w:color w:val="333333"/>
          <w:spacing w:val="0"/>
          <w:sz w:val="32"/>
          <w:szCs w:val="32"/>
          <w:bdr w:val="none" w:color="auto" w:sz="0" w:space="0"/>
          <w:shd w:val="clear" w:fill="FFFFFF"/>
        </w:rPr>
        <w:t>40,203</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万元，新建公办幼儿园一所，改扩建</w:t>
      </w:r>
      <w:r>
        <w:rPr>
          <w:rFonts w:hint="eastAsia" w:ascii="微软雅黑" w:hAnsi="微软雅黑" w:eastAsia="微软雅黑" w:cs="微软雅黑"/>
          <w:i w:val="0"/>
          <w:iCs w:val="0"/>
          <w:caps w:val="0"/>
          <w:color w:val="333333"/>
          <w:spacing w:val="0"/>
          <w:sz w:val="32"/>
          <w:szCs w:val="32"/>
          <w:bdr w:val="none" w:color="auto" w:sz="0" w:space="0"/>
          <w:shd w:val="clear" w:fill="FFFFFF"/>
        </w:rPr>
        <w:t>2</w:t>
      </w:r>
      <w:r>
        <w:rPr>
          <w:rFonts w:hint="eastAsia" w:ascii="仿宋_GB2312" w:hAnsi="仿宋_GB2312" w:eastAsia="仿宋_GB2312" w:cs="仿宋_GB2312"/>
          <w:i w:val="0"/>
          <w:iCs w:val="0"/>
          <w:caps w:val="0"/>
          <w:color w:val="333333"/>
          <w:spacing w:val="0"/>
          <w:sz w:val="32"/>
          <w:szCs w:val="32"/>
          <w:bdr w:val="none" w:color="auto" w:sz="0" w:space="0"/>
          <w:shd w:val="clear" w:fill="FFFFFF"/>
        </w:rPr>
        <w:t>所农村幼儿园，继续化解义务教育</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大班额</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三年攻坚计划，落实新高考综合改革，继续完善思源学校、大河中学、仁和区幼儿园、仁和幼儿园沙坝路分园、四十九公里小学等学校基础设施建设和设备设施采购。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着力支持群众住房困难问题。</w:t>
      </w:r>
      <w:r>
        <w:rPr>
          <w:rFonts w:hint="eastAsia" w:ascii="仿宋_GB2312" w:hAnsi="仿宋_GB2312" w:eastAsia="仿宋_GB2312" w:cs="仿宋_GB2312"/>
          <w:i w:val="0"/>
          <w:iCs w:val="0"/>
          <w:caps w:val="0"/>
          <w:color w:val="333333"/>
          <w:spacing w:val="0"/>
          <w:sz w:val="32"/>
          <w:szCs w:val="32"/>
          <w:bdr w:val="none" w:color="auto" w:sz="0" w:space="0"/>
          <w:shd w:val="clear" w:fill="FFFFFF"/>
        </w:rPr>
        <w:t>投入农村危房改造补助资金</w:t>
      </w:r>
      <w:r>
        <w:rPr>
          <w:rFonts w:hint="eastAsia" w:ascii="微软雅黑" w:hAnsi="微软雅黑" w:eastAsia="微软雅黑" w:cs="微软雅黑"/>
          <w:i w:val="0"/>
          <w:iCs w:val="0"/>
          <w:caps w:val="0"/>
          <w:color w:val="333333"/>
          <w:spacing w:val="0"/>
          <w:sz w:val="32"/>
          <w:szCs w:val="32"/>
          <w:bdr w:val="none" w:color="auto" w:sz="0" w:space="0"/>
          <w:shd w:val="clear" w:fill="FFFFFF"/>
        </w:rPr>
        <w:t>295</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万元，用于解决全区农村</w:t>
      </w:r>
      <w:r>
        <w:rPr>
          <w:rFonts w:hint="eastAsia" w:ascii="微软雅黑" w:hAnsi="微软雅黑" w:eastAsia="微软雅黑" w:cs="微软雅黑"/>
          <w:i w:val="0"/>
          <w:iCs w:val="0"/>
          <w:caps w:val="0"/>
          <w:color w:val="333333"/>
          <w:spacing w:val="0"/>
          <w:sz w:val="32"/>
          <w:szCs w:val="32"/>
          <w:bdr w:val="none" w:color="auto" w:sz="0" w:space="0"/>
          <w:shd w:val="clear" w:fill="FFFFFF"/>
        </w:rPr>
        <w:t>4</w:t>
      </w:r>
      <w:r>
        <w:rPr>
          <w:rFonts w:hint="eastAsia" w:ascii="仿宋_GB2312" w:hAnsi="仿宋_GB2312" w:eastAsia="仿宋_GB2312" w:cs="仿宋_GB2312"/>
          <w:i w:val="0"/>
          <w:iCs w:val="0"/>
          <w:caps w:val="0"/>
          <w:color w:val="333333"/>
          <w:spacing w:val="0"/>
          <w:sz w:val="32"/>
          <w:szCs w:val="32"/>
          <w:bdr w:val="none" w:color="auto" w:sz="0" w:space="0"/>
          <w:shd w:val="clear" w:fill="FFFFFF"/>
        </w:rPr>
        <w:t>类困难群众住房安全；发放脱贫攻坚</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回头看、回头帮</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贷款</w:t>
      </w:r>
      <w:r>
        <w:rPr>
          <w:rFonts w:hint="eastAsia" w:ascii="微软雅黑" w:hAnsi="微软雅黑" w:eastAsia="微软雅黑" w:cs="微软雅黑"/>
          <w:i w:val="0"/>
          <w:iCs w:val="0"/>
          <w:caps w:val="0"/>
          <w:color w:val="333333"/>
          <w:spacing w:val="0"/>
          <w:sz w:val="32"/>
          <w:szCs w:val="32"/>
          <w:bdr w:val="none" w:color="auto" w:sz="0" w:space="0"/>
          <w:shd w:val="clear" w:fill="FFFFFF"/>
        </w:rPr>
        <w:t>157</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万元，用于</w:t>
      </w:r>
      <w:r>
        <w:rPr>
          <w:rFonts w:hint="eastAsia" w:ascii="微软雅黑" w:hAnsi="微软雅黑" w:eastAsia="微软雅黑" w:cs="微软雅黑"/>
          <w:i w:val="0"/>
          <w:iCs w:val="0"/>
          <w:caps w:val="0"/>
          <w:color w:val="333333"/>
          <w:spacing w:val="0"/>
          <w:sz w:val="32"/>
          <w:szCs w:val="32"/>
          <w:bdr w:val="none" w:color="auto" w:sz="0" w:space="0"/>
          <w:shd w:val="clear" w:fill="FFFFFF"/>
        </w:rPr>
        <w:t>53</w:t>
      </w:r>
      <w:r>
        <w:rPr>
          <w:rFonts w:hint="eastAsia" w:ascii="仿宋_GB2312" w:hAnsi="仿宋_GB2312" w:eastAsia="仿宋_GB2312" w:cs="仿宋_GB2312"/>
          <w:i w:val="0"/>
          <w:iCs w:val="0"/>
          <w:caps w:val="0"/>
          <w:color w:val="333333"/>
          <w:spacing w:val="0"/>
          <w:sz w:val="32"/>
          <w:szCs w:val="32"/>
          <w:bdr w:val="none" w:color="auto" w:sz="0" w:space="0"/>
          <w:shd w:val="clear" w:fill="FFFFFF"/>
        </w:rPr>
        <w:t>户贫困户危房改造；加快推进棚户区改造，改造实施以来共投入资金</w:t>
      </w:r>
      <w:r>
        <w:rPr>
          <w:rFonts w:hint="eastAsia" w:ascii="微软雅黑" w:hAnsi="微软雅黑" w:eastAsia="微软雅黑" w:cs="微软雅黑"/>
          <w:i w:val="0"/>
          <w:iCs w:val="0"/>
          <w:caps w:val="0"/>
          <w:color w:val="333333"/>
          <w:spacing w:val="0"/>
          <w:sz w:val="32"/>
          <w:szCs w:val="32"/>
          <w:bdr w:val="none" w:color="auto" w:sz="0" w:space="0"/>
          <w:shd w:val="clear" w:fill="FFFFFF"/>
        </w:rPr>
        <w:t>195,115</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万元，实际改造</w:t>
      </w:r>
      <w:r>
        <w:rPr>
          <w:rFonts w:hint="eastAsia" w:ascii="微软雅黑" w:hAnsi="微软雅黑" w:eastAsia="微软雅黑" w:cs="微软雅黑"/>
          <w:i w:val="0"/>
          <w:iCs w:val="0"/>
          <w:caps w:val="0"/>
          <w:color w:val="333333"/>
          <w:spacing w:val="0"/>
          <w:sz w:val="32"/>
          <w:szCs w:val="32"/>
          <w:bdr w:val="none" w:color="auto" w:sz="0" w:space="0"/>
          <w:shd w:val="clear" w:fill="FFFFFF"/>
        </w:rPr>
        <w:t>3,430</w:t>
      </w:r>
      <w:r>
        <w:rPr>
          <w:rFonts w:hint="eastAsia" w:ascii="仿宋_GB2312" w:hAnsi="仿宋_GB2312" w:eastAsia="仿宋_GB2312" w:cs="仿宋_GB2312"/>
          <w:i w:val="0"/>
          <w:iCs w:val="0"/>
          <w:caps w:val="0"/>
          <w:color w:val="333333"/>
          <w:spacing w:val="0"/>
          <w:sz w:val="32"/>
          <w:szCs w:val="32"/>
          <w:bdr w:val="none" w:color="auto" w:sz="0" w:space="0"/>
          <w:shd w:val="clear" w:fill="FFFFFF"/>
        </w:rPr>
        <w:t>户，投入</w:t>
      </w:r>
      <w:r>
        <w:rPr>
          <w:rFonts w:hint="eastAsia" w:ascii="微软雅黑" w:hAnsi="微软雅黑" w:eastAsia="微软雅黑" w:cs="微软雅黑"/>
          <w:i w:val="0"/>
          <w:iCs w:val="0"/>
          <w:caps w:val="0"/>
          <w:color w:val="333333"/>
          <w:spacing w:val="0"/>
          <w:sz w:val="32"/>
          <w:szCs w:val="32"/>
          <w:bdr w:val="none" w:color="auto" w:sz="0" w:space="0"/>
          <w:shd w:val="clear" w:fill="FFFFFF"/>
        </w:rPr>
        <w:t>1,692</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万元用于棚改基础设施配套项目实施。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着力支持实施乡村振兴战略。</w:t>
      </w:r>
      <w:r>
        <w:rPr>
          <w:rFonts w:hint="eastAsia" w:ascii="仿宋_GB2312" w:hAnsi="仿宋_GB2312" w:eastAsia="仿宋_GB2312" w:cs="仿宋_GB2312"/>
          <w:i w:val="0"/>
          <w:iCs w:val="0"/>
          <w:caps w:val="0"/>
          <w:color w:val="333333"/>
          <w:spacing w:val="0"/>
          <w:sz w:val="32"/>
          <w:szCs w:val="32"/>
          <w:bdr w:val="none" w:color="auto" w:sz="0" w:space="0"/>
          <w:shd w:val="clear" w:fill="FFFFFF"/>
        </w:rPr>
        <w:t>全年投入资金</w:t>
      </w:r>
      <w:r>
        <w:rPr>
          <w:rFonts w:hint="eastAsia" w:ascii="微软雅黑" w:hAnsi="微软雅黑" w:eastAsia="微软雅黑" w:cs="微软雅黑"/>
          <w:i w:val="0"/>
          <w:iCs w:val="0"/>
          <w:caps w:val="0"/>
          <w:color w:val="333333"/>
          <w:spacing w:val="0"/>
          <w:sz w:val="32"/>
          <w:szCs w:val="32"/>
          <w:bdr w:val="none" w:color="auto" w:sz="0" w:space="0"/>
          <w:shd w:val="clear" w:fill="FFFFFF"/>
        </w:rPr>
        <w:t>24,200</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万元，全力推进乡村振兴战略，建立乡村振兴投入优先保障机制，加大农业基础设施建设投入力度。建立乡村振兴贷款风险补偿金，完善农业信贷担保体系，累计发放贷款</w:t>
      </w:r>
      <w:r>
        <w:rPr>
          <w:rFonts w:hint="eastAsia" w:ascii="微软雅黑" w:hAnsi="微软雅黑" w:eastAsia="微软雅黑" w:cs="微软雅黑"/>
          <w:i w:val="0"/>
          <w:iCs w:val="0"/>
          <w:caps w:val="0"/>
          <w:color w:val="333333"/>
          <w:spacing w:val="0"/>
          <w:sz w:val="32"/>
          <w:szCs w:val="32"/>
          <w:bdr w:val="none" w:color="auto" w:sz="0" w:space="0"/>
          <w:shd w:val="clear" w:fill="FFFFFF"/>
        </w:rPr>
        <w:t>1,143</w:t>
      </w:r>
      <w:r>
        <w:rPr>
          <w:rFonts w:hint="eastAsia" w:ascii="仿宋_GB2312" w:hAnsi="仿宋_GB2312" w:eastAsia="仿宋_GB2312" w:cs="仿宋_GB2312"/>
          <w:i w:val="0"/>
          <w:iCs w:val="0"/>
          <w:caps w:val="0"/>
          <w:color w:val="333333"/>
          <w:spacing w:val="0"/>
          <w:sz w:val="32"/>
          <w:szCs w:val="32"/>
          <w:bdr w:val="none" w:color="auto" w:sz="0" w:space="0"/>
          <w:shd w:val="clear" w:fill="FFFFFF"/>
        </w:rPr>
        <w:t>笔，发放金额</w:t>
      </w:r>
      <w:r>
        <w:rPr>
          <w:rFonts w:hint="eastAsia" w:ascii="微软雅黑" w:hAnsi="微软雅黑" w:eastAsia="微软雅黑" w:cs="微软雅黑"/>
          <w:i w:val="0"/>
          <w:iCs w:val="0"/>
          <w:caps w:val="0"/>
          <w:color w:val="333333"/>
          <w:spacing w:val="0"/>
          <w:sz w:val="32"/>
          <w:szCs w:val="32"/>
          <w:bdr w:val="none" w:color="auto" w:sz="0" w:space="0"/>
          <w:shd w:val="clear" w:fill="FFFFFF"/>
        </w:rPr>
        <w:t>6,181</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万元，着力解决乡村振兴农业产业发展</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融资难</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融资贵</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问题。落实非洲猪瘟专项经费</w:t>
      </w:r>
      <w:r>
        <w:rPr>
          <w:rFonts w:hint="eastAsia" w:ascii="微软雅黑" w:hAnsi="微软雅黑" w:eastAsia="微软雅黑" w:cs="微软雅黑"/>
          <w:i w:val="0"/>
          <w:iCs w:val="0"/>
          <w:caps w:val="0"/>
          <w:color w:val="333333"/>
          <w:spacing w:val="0"/>
          <w:sz w:val="32"/>
          <w:szCs w:val="32"/>
          <w:bdr w:val="none" w:color="auto" w:sz="0" w:space="0"/>
          <w:shd w:val="clear" w:fill="FFFFFF"/>
        </w:rPr>
        <w:t>540</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万元，保障防控卡点查堵等工作，有力支持非洲猪瘟疫情防控。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着力支持落实惠民惠农政策。</w:t>
      </w:r>
      <w:r>
        <w:rPr>
          <w:rFonts w:hint="eastAsia" w:ascii="仿宋_GB2312" w:hAnsi="仿宋_GB2312" w:eastAsia="仿宋_GB2312" w:cs="仿宋_GB2312"/>
          <w:i w:val="0"/>
          <w:iCs w:val="0"/>
          <w:caps w:val="0"/>
          <w:color w:val="333333"/>
          <w:spacing w:val="0"/>
          <w:sz w:val="32"/>
          <w:szCs w:val="32"/>
          <w:bdr w:val="none" w:color="auto" w:sz="0" w:space="0"/>
          <w:shd w:val="clear" w:fill="FFFFFF"/>
        </w:rPr>
        <w:t>全年共计投入惠民惠农资金</w:t>
      </w:r>
      <w:r>
        <w:rPr>
          <w:rFonts w:hint="eastAsia" w:ascii="微软雅黑" w:hAnsi="微软雅黑" w:eastAsia="微软雅黑" w:cs="微软雅黑"/>
          <w:i w:val="0"/>
          <w:iCs w:val="0"/>
          <w:caps w:val="0"/>
          <w:color w:val="333333"/>
          <w:spacing w:val="0"/>
          <w:sz w:val="32"/>
          <w:szCs w:val="32"/>
          <w:bdr w:val="none" w:color="auto" w:sz="0" w:space="0"/>
          <w:shd w:val="clear" w:fill="FFFFFF"/>
        </w:rPr>
        <w:t>11,383</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万元，通过</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一卡通</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方式发放补贴</w:t>
      </w:r>
      <w:r>
        <w:rPr>
          <w:rFonts w:hint="eastAsia" w:ascii="微软雅黑" w:hAnsi="微软雅黑" w:eastAsia="微软雅黑" w:cs="微软雅黑"/>
          <w:i w:val="0"/>
          <w:iCs w:val="0"/>
          <w:caps w:val="0"/>
          <w:color w:val="333333"/>
          <w:spacing w:val="0"/>
          <w:sz w:val="32"/>
          <w:szCs w:val="32"/>
          <w:bdr w:val="none" w:color="auto" w:sz="0" w:space="0"/>
          <w:shd w:val="clear" w:fill="FFFFFF"/>
        </w:rPr>
        <w:t>69</w:t>
      </w:r>
      <w:r>
        <w:rPr>
          <w:rFonts w:hint="eastAsia" w:ascii="仿宋_GB2312" w:hAnsi="仿宋_GB2312" w:eastAsia="仿宋_GB2312" w:cs="仿宋_GB2312"/>
          <w:i w:val="0"/>
          <w:iCs w:val="0"/>
          <w:caps w:val="0"/>
          <w:color w:val="333333"/>
          <w:spacing w:val="0"/>
          <w:sz w:val="32"/>
          <w:szCs w:val="32"/>
          <w:bdr w:val="none" w:color="auto" w:sz="0" w:space="0"/>
          <w:shd w:val="clear" w:fill="FFFFFF"/>
        </w:rPr>
        <w:t>项</w:t>
      </w:r>
      <w:r>
        <w:rPr>
          <w:rFonts w:hint="eastAsia" w:ascii="微软雅黑" w:hAnsi="微软雅黑" w:eastAsia="微软雅黑" w:cs="微软雅黑"/>
          <w:i w:val="0"/>
          <w:iCs w:val="0"/>
          <w:caps w:val="0"/>
          <w:color w:val="333333"/>
          <w:spacing w:val="0"/>
          <w:sz w:val="32"/>
          <w:szCs w:val="32"/>
          <w:bdr w:val="none" w:color="auto" w:sz="0" w:space="0"/>
          <w:shd w:val="clear" w:fill="FFFFFF"/>
        </w:rPr>
        <w:t>105,563</w:t>
      </w:r>
      <w:r>
        <w:rPr>
          <w:rFonts w:hint="eastAsia" w:ascii="仿宋_GB2312" w:hAnsi="仿宋_GB2312" w:eastAsia="仿宋_GB2312" w:cs="仿宋_GB2312"/>
          <w:i w:val="0"/>
          <w:iCs w:val="0"/>
          <w:caps w:val="0"/>
          <w:color w:val="333333"/>
          <w:spacing w:val="0"/>
          <w:sz w:val="32"/>
          <w:szCs w:val="32"/>
          <w:bdr w:val="none" w:color="auto" w:sz="0" w:space="0"/>
          <w:shd w:val="clear" w:fill="FFFFFF"/>
        </w:rPr>
        <w:t>人次</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共计</w:t>
      </w:r>
      <w:r>
        <w:rPr>
          <w:rFonts w:hint="eastAsia" w:ascii="微软雅黑" w:hAnsi="微软雅黑" w:eastAsia="微软雅黑" w:cs="微软雅黑"/>
          <w:i w:val="0"/>
          <w:iCs w:val="0"/>
          <w:caps w:val="0"/>
          <w:color w:val="333333"/>
          <w:spacing w:val="0"/>
          <w:sz w:val="32"/>
          <w:szCs w:val="32"/>
          <w:bdr w:val="none" w:color="auto" w:sz="0" w:space="0"/>
          <w:shd w:val="clear" w:fill="FFFFFF"/>
        </w:rPr>
        <w:t>3,141</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万元，实现了惠民惠农资金整合发放，使</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一卡通</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成为老百姓的明白卡、幸福卡。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着力支持打好脱贫攻坚战。</w:t>
      </w:r>
      <w:r>
        <w:rPr>
          <w:rFonts w:hint="eastAsia" w:ascii="仿宋_GB2312" w:hAnsi="仿宋_GB2312" w:eastAsia="仿宋_GB2312" w:cs="仿宋_GB2312"/>
          <w:i w:val="0"/>
          <w:iCs w:val="0"/>
          <w:caps w:val="0"/>
          <w:color w:val="333333"/>
          <w:spacing w:val="0"/>
          <w:sz w:val="32"/>
          <w:szCs w:val="32"/>
          <w:bdr w:val="none" w:color="auto" w:sz="0" w:space="0"/>
          <w:shd w:val="clear" w:fill="FFFFFF"/>
        </w:rPr>
        <w:t>全年投入财政专项扶贫资金</w:t>
      </w:r>
      <w:r>
        <w:rPr>
          <w:rFonts w:hint="eastAsia" w:ascii="微软雅黑" w:hAnsi="微软雅黑" w:eastAsia="微软雅黑" w:cs="微软雅黑"/>
          <w:i w:val="0"/>
          <w:iCs w:val="0"/>
          <w:caps w:val="0"/>
          <w:color w:val="333333"/>
          <w:spacing w:val="0"/>
          <w:sz w:val="32"/>
          <w:szCs w:val="32"/>
          <w:bdr w:val="none" w:color="auto" w:sz="0" w:space="0"/>
          <w:shd w:val="clear" w:fill="FFFFFF"/>
        </w:rPr>
        <w:t>2,798</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万元，支持扶贫计划实施，确保脱贫攻坚年度目标任务圆满完成。四项扶贫基金规模达</w:t>
      </w:r>
      <w:r>
        <w:rPr>
          <w:rFonts w:hint="eastAsia" w:ascii="微软雅黑" w:hAnsi="微软雅黑" w:eastAsia="微软雅黑" w:cs="微软雅黑"/>
          <w:i w:val="0"/>
          <w:iCs w:val="0"/>
          <w:caps w:val="0"/>
          <w:color w:val="333333"/>
          <w:spacing w:val="0"/>
          <w:sz w:val="32"/>
          <w:szCs w:val="32"/>
          <w:bdr w:val="none" w:color="auto" w:sz="0" w:space="0"/>
          <w:shd w:val="clear" w:fill="FFFFFF"/>
        </w:rPr>
        <w:t>5,433</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万元，累计受益贫困群众达到</w:t>
      </w:r>
      <w:r>
        <w:rPr>
          <w:rFonts w:hint="eastAsia" w:ascii="微软雅黑" w:hAnsi="微软雅黑" w:eastAsia="微软雅黑" w:cs="微软雅黑"/>
          <w:i w:val="0"/>
          <w:iCs w:val="0"/>
          <w:caps w:val="0"/>
          <w:color w:val="333333"/>
          <w:spacing w:val="0"/>
          <w:sz w:val="32"/>
          <w:szCs w:val="32"/>
          <w:bdr w:val="none" w:color="auto" w:sz="0" w:space="0"/>
          <w:shd w:val="clear" w:fill="FFFFFF"/>
        </w:rPr>
        <w:t>10,014</w:t>
      </w:r>
      <w:r>
        <w:rPr>
          <w:rFonts w:hint="eastAsia" w:ascii="仿宋_GB2312" w:hAnsi="仿宋_GB2312" w:eastAsia="仿宋_GB2312" w:cs="仿宋_GB2312"/>
          <w:i w:val="0"/>
          <w:iCs w:val="0"/>
          <w:caps w:val="0"/>
          <w:color w:val="333333"/>
          <w:spacing w:val="0"/>
          <w:sz w:val="32"/>
          <w:szCs w:val="32"/>
          <w:bdr w:val="none" w:color="auto" w:sz="0" w:space="0"/>
          <w:shd w:val="clear" w:fill="FFFFFF"/>
        </w:rPr>
        <w:t>人、户（次）。村公益性岗位向有劳动能力的贫困人口购买服务</w:t>
      </w:r>
      <w:r>
        <w:rPr>
          <w:rFonts w:hint="eastAsia" w:ascii="微软雅黑" w:hAnsi="微软雅黑" w:eastAsia="微软雅黑" w:cs="微软雅黑"/>
          <w:i w:val="0"/>
          <w:iCs w:val="0"/>
          <w:caps w:val="0"/>
          <w:color w:val="333333"/>
          <w:spacing w:val="0"/>
          <w:sz w:val="32"/>
          <w:szCs w:val="32"/>
          <w:bdr w:val="none" w:color="auto" w:sz="0" w:space="0"/>
          <w:shd w:val="clear" w:fill="FFFFFF"/>
        </w:rPr>
        <w:t>150</w:t>
      </w:r>
      <w:r>
        <w:rPr>
          <w:rFonts w:hint="eastAsia" w:ascii="仿宋_GB2312" w:hAnsi="仿宋_GB2312" w:eastAsia="仿宋_GB2312" w:cs="仿宋_GB2312"/>
          <w:i w:val="0"/>
          <w:iCs w:val="0"/>
          <w:caps w:val="0"/>
          <w:color w:val="333333"/>
          <w:spacing w:val="0"/>
          <w:sz w:val="32"/>
          <w:szCs w:val="32"/>
          <w:bdr w:val="none" w:color="auto" w:sz="0" w:space="0"/>
          <w:shd w:val="clear" w:fill="FFFFFF"/>
        </w:rPr>
        <w:t>人，实现就地就近就业。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着力支持生态环境治理和人居环境改善。</w:t>
      </w:r>
      <w:r>
        <w:rPr>
          <w:rFonts w:hint="eastAsia" w:ascii="仿宋_GB2312" w:hAnsi="仿宋_GB2312" w:eastAsia="仿宋_GB2312" w:cs="仿宋_GB2312"/>
          <w:i w:val="0"/>
          <w:iCs w:val="0"/>
          <w:caps w:val="0"/>
          <w:color w:val="333333"/>
          <w:spacing w:val="0"/>
          <w:sz w:val="32"/>
          <w:szCs w:val="32"/>
          <w:bdr w:val="none" w:color="auto" w:sz="0" w:space="0"/>
          <w:shd w:val="clear" w:fill="FFFFFF"/>
        </w:rPr>
        <w:t>积极打好污染防治攻坚战，开展全国文明城市创建和迎接第三轮国家卫生城市复审，全年投入资金</w:t>
      </w:r>
      <w:r>
        <w:rPr>
          <w:rFonts w:hint="eastAsia" w:ascii="微软雅黑" w:hAnsi="微软雅黑" w:eastAsia="微软雅黑" w:cs="微软雅黑"/>
          <w:i w:val="0"/>
          <w:iCs w:val="0"/>
          <w:caps w:val="0"/>
          <w:color w:val="333333"/>
          <w:spacing w:val="0"/>
          <w:sz w:val="32"/>
          <w:szCs w:val="32"/>
          <w:bdr w:val="none" w:color="auto" w:sz="0" w:space="0"/>
          <w:shd w:val="clear" w:fill="FFFFFF"/>
        </w:rPr>
        <w:t>18,848</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用于城乡环境改造、城市美化亮化、污水处理改造、农村旱厕改造等，切实加快建设健康仁和，维护人民群众健康权益，城区、农村面貌更加整洁美观，仁和生态环境质量得到了改善，城乡居民满意度得到了提高。橄榄坪园区生活污水管网、迤资工业园区污水处理站按期建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3、坚守底线思维，强化管控措施，防范化解债务风险。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认真落实化解中央、省、市重大风险的各项决策部署，加强政府性债务管控，严禁违规举借债务。全年筹集还本付息资金</w:t>
      </w:r>
      <w:r>
        <w:rPr>
          <w:rFonts w:hint="eastAsia" w:ascii="微软雅黑" w:hAnsi="微软雅黑" w:eastAsia="微软雅黑" w:cs="微软雅黑"/>
          <w:i w:val="0"/>
          <w:iCs w:val="0"/>
          <w:caps w:val="0"/>
          <w:color w:val="333333"/>
          <w:spacing w:val="0"/>
          <w:sz w:val="32"/>
          <w:szCs w:val="32"/>
          <w:bdr w:val="none" w:color="auto" w:sz="0" w:space="0"/>
          <w:shd w:val="clear" w:fill="FFFFFF"/>
        </w:rPr>
        <w:t>52,958</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万元，用于偿还到期债务本息。化解隐性债务</w:t>
      </w:r>
      <w:r>
        <w:rPr>
          <w:rFonts w:hint="eastAsia" w:ascii="微软雅黑" w:hAnsi="微软雅黑" w:eastAsia="微软雅黑" w:cs="微软雅黑"/>
          <w:i w:val="0"/>
          <w:iCs w:val="0"/>
          <w:caps w:val="0"/>
          <w:color w:val="333333"/>
          <w:spacing w:val="0"/>
          <w:sz w:val="32"/>
          <w:szCs w:val="32"/>
          <w:bdr w:val="none" w:color="auto" w:sz="0" w:space="0"/>
          <w:shd w:val="clear" w:fill="FFFFFF"/>
        </w:rPr>
        <w:t>25,260</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万元，完成了省市考核任务。仁和区</w:t>
      </w:r>
      <w:r>
        <w:rPr>
          <w:rFonts w:hint="eastAsia" w:ascii="微软雅黑" w:hAnsi="微软雅黑" w:eastAsia="微软雅黑" w:cs="微软雅黑"/>
          <w:i w:val="0"/>
          <w:iCs w:val="0"/>
          <w:caps w:val="0"/>
          <w:color w:val="333333"/>
          <w:spacing w:val="0"/>
          <w:sz w:val="32"/>
          <w:szCs w:val="32"/>
          <w:bdr w:val="none" w:color="auto" w:sz="0" w:space="0"/>
          <w:shd w:val="clear" w:fill="FFFFFF"/>
        </w:rPr>
        <w:t>2019</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年地方政府债务限额为</w:t>
      </w:r>
      <w:r>
        <w:rPr>
          <w:rFonts w:hint="eastAsia" w:ascii="微软雅黑" w:hAnsi="微软雅黑" w:eastAsia="微软雅黑" w:cs="微软雅黑"/>
          <w:i w:val="0"/>
          <w:iCs w:val="0"/>
          <w:caps w:val="0"/>
          <w:color w:val="333333"/>
          <w:spacing w:val="0"/>
          <w:sz w:val="32"/>
          <w:szCs w:val="32"/>
          <w:bdr w:val="none" w:color="auto" w:sz="0" w:space="0"/>
          <w:shd w:val="clear" w:fill="FFFFFF"/>
        </w:rPr>
        <w:t>387,473</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万元，其中：一般债务</w:t>
      </w:r>
      <w:r>
        <w:rPr>
          <w:rFonts w:hint="eastAsia" w:ascii="微软雅黑" w:hAnsi="微软雅黑" w:eastAsia="微软雅黑" w:cs="微软雅黑"/>
          <w:i w:val="0"/>
          <w:iCs w:val="0"/>
          <w:caps w:val="0"/>
          <w:color w:val="333333"/>
          <w:spacing w:val="0"/>
          <w:sz w:val="32"/>
          <w:szCs w:val="32"/>
          <w:bdr w:val="none" w:color="auto" w:sz="0" w:space="0"/>
          <w:shd w:val="clear" w:fill="FFFFFF"/>
        </w:rPr>
        <w:t>173,611</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万元、专项债务</w:t>
      </w:r>
      <w:r>
        <w:rPr>
          <w:rFonts w:hint="eastAsia" w:ascii="微软雅黑" w:hAnsi="微软雅黑" w:eastAsia="微软雅黑" w:cs="微软雅黑"/>
          <w:i w:val="0"/>
          <w:iCs w:val="0"/>
          <w:caps w:val="0"/>
          <w:color w:val="333333"/>
          <w:spacing w:val="0"/>
          <w:sz w:val="32"/>
          <w:szCs w:val="32"/>
          <w:bdr w:val="none" w:color="auto" w:sz="0" w:space="0"/>
          <w:shd w:val="clear" w:fill="FFFFFF"/>
        </w:rPr>
        <w:t>213,862</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w:t>
      </w:r>
      <w:r>
        <w:rPr>
          <w:rFonts w:hint="eastAsia" w:ascii="微软雅黑" w:hAnsi="微软雅黑" w:eastAsia="微软雅黑" w:cs="微软雅黑"/>
          <w:i w:val="0"/>
          <w:iCs w:val="0"/>
          <w:caps w:val="0"/>
          <w:color w:val="333333"/>
          <w:spacing w:val="0"/>
          <w:sz w:val="32"/>
          <w:szCs w:val="32"/>
          <w:bdr w:val="none" w:color="auto" w:sz="0" w:space="0"/>
          <w:shd w:val="clear" w:fill="FFFFFF"/>
        </w:rPr>
        <w:t>2019</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年仁和区政府债务系统余额为</w:t>
      </w:r>
      <w:r>
        <w:rPr>
          <w:rFonts w:hint="eastAsia" w:ascii="微软雅黑" w:hAnsi="微软雅黑" w:eastAsia="微软雅黑" w:cs="微软雅黑"/>
          <w:i w:val="0"/>
          <w:iCs w:val="0"/>
          <w:caps w:val="0"/>
          <w:color w:val="333333"/>
          <w:spacing w:val="0"/>
          <w:sz w:val="32"/>
          <w:szCs w:val="32"/>
          <w:bdr w:val="none" w:color="auto" w:sz="0" w:space="0"/>
          <w:shd w:val="clear" w:fill="FFFFFF"/>
        </w:rPr>
        <w:t>348,279</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万元，其中：一般债务</w:t>
      </w:r>
      <w:r>
        <w:rPr>
          <w:rFonts w:hint="eastAsia" w:ascii="微软雅黑" w:hAnsi="微软雅黑" w:eastAsia="微软雅黑" w:cs="微软雅黑"/>
          <w:i w:val="0"/>
          <w:iCs w:val="0"/>
          <w:caps w:val="0"/>
          <w:color w:val="333333"/>
          <w:spacing w:val="0"/>
          <w:sz w:val="32"/>
          <w:szCs w:val="32"/>
          <w:bdr w:val="none" w:color="auto" w:sz="0" w:space="0"/>
          <w:shd w:val="clear" w:fill="FFFFFF"/>
        </w:rPr>
        <w:t>152,687</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万元、专项债务</w:t>
      </w:r>
      <w:r>
        <w:rPr>
          <w:rFonts w:hint="eastAsia" w:ascii="微软雅黑" w:hAnsi="微软雅黑" w:eastAsia="微软雅黑" w:cs="微软雅黑"/>
          <w:i w:val="0"/>
          <w:iCs w:val="0"/>
          <w:caps w:val="0"/>
          <w:color w:val="333333"/>
          <w:spacing w:val="0"/>
          <w:sz w:val="32"/>
          <w:szCs w:val="32"/>
          <w:bdr w:val="none" w:color="auto" w:sz="0" w:space="0"/>
          <w:shd w:val="clear" w:fill="FFFFFF"/>
        </w:rPr>
        <w:t>195,592</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万元。债务余额控制在限额内，综合债务率控制在</w:t>
      </w:r>
      <w:r>
        <w:rPr>
          <w:rFonts w:hint="eastAsia" w:ascii="微软雅黑" w:hAnsi="微软雅黑" w:eastAsia="微软雅黑" w:cs="微软雅黑"/>
          <w:i w:val="0"/>
          <w:iCs w:val="0"/>
          <w:caps w:val="0"/>
          <w:color w:val="333333"/>
          <w:spacing w:val="0"/>
          <w:sz w:val="32"/>
          <w:szCs w:val="32"/>
          <w:bdr w:val="none" w:color="auto" w:sz="0" w:space="0"/>
          <w:shd w:val="clear" w:fill="FFFFFF"/>
        </w:rPr>
        <w:t>100%</w:t>
      </w:r>
      <w:r>
        <w:rPr>
          <w:rFonts w:hint="eastAsia" w:ascii="仿宋_GB2312" w:hAnsi="仿宋_GB2312" w:eastAsia="仿宋_GB2312" w:cs="仿宋_GB2312"/>
          <w:i w:val="0"/>
          <w:iCs w:val="0"/>
          <w:caps w:val="0"/>
          <w:color w:val="333333"/>
          <w:spacing w:val="0"/>
          <w:sz w:val="32"/>
          <w:szCs w:val="32"/>
          <w:bdr w:val="none" w:color="auto" w:sz="0" w:space="0"/>
          <w:shd w:val="clear" w:fill="FFFFFF"/>
        </w:rPr>
        <w:t>的警戒线以内，利息支出率控制在</w:t>
      </w:r>
      <w:r>
        <w:rPr>
          <w:rFonts w:hint="eastAsia" w:ascii="微软雅黑" w:hAnsi="微软雅黑" w:eastAsia="微软雅黑" w:cs="微软雅黑"/>
          <w:i w:val="0"/>
          <w:iCs w:val="0"/>
          <w:caps w:val="0"/>
          <w:color w:val="333333"/>
          <w:spacing w:val="0"/>
          <w:sz w:val="32"/>
          <w:szCs w:val="32"/>
          <w:bdr w:val="none" w:color="auto" w:sz="0" w:space="0"/>
          <w:shd w:val="clear" w:fill="FFFFFF"/>
        </w:rPr>
        <w:t>10%</w:t>
      </w:r>
      <w:r>
        <w:rPr>
          <w:rFonts w:hint="eastAsia" w:ascii="仿宋_GB2312" w:hAnsi="仿宋_GB2312" w:eastAsia="仿宋_GB2312" w:cs="仿宋_GB2312"/>
          <w:i w:val="0"/>
          <w:iCs w:val="0"/>
          <w:caps w:val="0"/>
          <w:color w:val="333333"/>
          <w:spacing w:val="0"/>
          <w:sz w:val="32"/>
          <w:szCs w:val="32"/>
          <w:bdr w:val="none" w:color="auto" w:sz="0" w:space="0"/>
          <w:shd w:val="clear" w:fill="FFFFFF"/>
        </w:rPr>
        <w:t>以内，隐性债务化解率</w:t>
      </w:r>
      <w:r>
        <w:rPr>
          <w:rFonts w:hint="eastAsia" w:ascii="微软雅黑" w:hAnsi="微软雅黑" w:eastAsia="微软雅黑" w:cs="微软雅黑"/>
          <w:i w:val="0"/>
          <w:iCs w:val="0"/>
          <w:caps w:val="0"/>
          <w:color w:val="333333"/>
          <w:spacing w:val="0"/>
          <w:sz w:val="32"/>
          <w:szCs w:val="32"/>
          <w:bdr w:val="none" w:color="auto" w:sz="0" w:space="0"/>
          <w:shd w:val="clear" w:fill="FFFFFF"/>
        </w:rPr>
        <w:t>100%</w:t>
      </w:r>
      <w:r>
        <w:rPr>
          <w:rFonts w:hint="eastAsia" w:ascii="仿宋_GB2312" w:hAnsi="仿宋_GB2312" w:eastAsia="仿宋_GB2312" w:cs="仿宋_GB2312"/>
          <w:i w:val="0"/>
          <w:iCs w:val="0"/>
          <w:caps w:val="0"/>
          <w:color w:val="333333"/>
          <w:spacing w:val="0"/>
          <w:sz w:val="32"/>
          <w:szCs w:val="32"/>
          <w:bdr w:val="none" w:color="auto" w:sz="0" w:space="0"/>
          <w:shd w:val="clear" w:fill="FFFFFF"/>
        </w:rPr>
        <w:t>。保持了政府债务链的正常链接，维护了政府信誉，守住了不出现政府债务系统性风险的底线。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4、推进财税改革，创新管理方式，提升财政管理水平。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全面贯彻落实减税降费政策。</w:t>
      </w:r>
      <w:r>
        <w:rPr>
          <w:rFonts w:hint="eastAsia" w:ascii="仿宋_GB2312" w:hAnsi="仿宋_GB2312" w:eastAsia="仿宋_GB2312" w:cs="仿宋_GB2312"/>
          <w:i w:val="0"/>
          <w:iCs w:val="0"/>
          <w:caps w:val="0"/>
          <w:color w:val="333333"/>
          <w:spacing w:val="0"/>
          <w:sz w:val="32"/>
          <w:szCs w:val="32"/>
          <w:bdr w:val="none" w:color="auto" w:sz="0" w:space="0"/>
          <w:shd w:val="clear" w:fill="FFFFFF"/>
        </w:rPr>
        <w:t>继续深入贯彻落实党中央国务院关于减税降费和深化增值税改革的重大决策部署，积极办理减税降费退税，确保纳税人和缴费人实实在在享受到减税降费红利。全年减税降费税收优惠减免</w:t>
      </w:r>
      <w:r>
        <w:rPr>
          <w:rFonts w:hint="eastAsia" w:ascii="微软雅黑" w:hAnsi="微软雅黑" w:eastAsia="微软雅黑" w:cs="微软雅黑"/>
          <w:i w:val="0"/>
          <w:iCs w:val="0"/>
          <w:caps w:val="0"/>
          <w:color w:val="333333"/>
          <w:spacing w:val="0"/>
          <w:sz w:val="32"/>
          <w:szCs w:val="32"/>
          <w:bdr w:val="none" w:color="auto" w:sz="0" w:space="0"/>
          <w:shd w:val="clear" w:fill="FFFFFF"/>
        </w:rPr>
        <w:t>10,757</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万元，退税</w:t>
      </w:r>
      <w:r>
        <w:rPr>
          <w:rFonts w:hint="eastAsia" w:ascii="微软雅黑" w:hAnsi="微软雅黑" w:eastAsia="微软雅黑" w:cs="微软雅黑"/>
          <w:i w:val="0"/>
          <w:iCs w:val="0"/>
          <w:caps w:val="0"/>
          <w:color w:val="333333"/>
          <w:spacing w:val="0"/>
          <w:sz w:val="32"/>
          <w:szCs w:val="32"/>
          <w:bdr w:val="none" w:color="auto" w:sz="0" w:space="0"/>
          <w:shd w:val="clear" w:fill="FFFFFF"/>
        </w:rPr>
        <w:t>549</w:t>
      </w:r>
      <w:r>
        <w:rPr>
          <w:rFonts w:hint="eastAsia" w:ascii="仿宋_GB2312" w:hAnsi="仿宋_GB2312" w:eastAsia="仿宋_GB2312" w:cs="仿宋_GB2312"/>
          <w:i w:val="0"/>
          <w:iCs w:val="0"/>
          <w:caps w:val="0"/>
          <w:color w:val="333333"/>
          <w:spacing w:val="0"/>
          <w:sz w:val="32"/>
          <w:szCs w:val="32"/>
          <w:bdr w:val="none" w:color="auto" w:sz="0" w:space="0"/>
          <w:shd w:val="clear" w:fill="FFFFFF"/>
        </w:rPr>
        <w:t>批次</w:t>
      </w:r>
      <w:r>
        <w:rPr>
          <w:rFonts w:hint="eastAsia" w:ascii="微软雅黑" w:hAnsi="微软雅黑" w:eastAsia="微软雅黑" w:cs="微软雅黑"/>
          <w:i w:val="0"/>
          <w:iCs w:val="0"/>
          <w:caps w:val="0"/>
          <w:color w:val="333333"/>
          <w:spacing w:val="0"/>
          <w:sz w:val="32"/>
          <w:szCs w:val="32"/>
          <w:bdr w:val="none" w:color="auto" w:sz="0" w:space="0"/>
          <w:shd w:val="clear" w:fill="FFFFFF"/>
        </w:rPr>
        <w:t>3,763</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万元，实现以税收</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减法</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赢得企业发展和经济结构转型的</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加法</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纵深推进财政改革两年攻坚。</w:t>
      </w:r>
      <w:r>
        <w:rPr>
          <w:rFonts w:hint="eastAsia" w:ascii="仿宋_GB2312" w:hAnsi="仿宋_GB2312" w:eastAsia="仿宋_GB2312" w:cs="仿宋_GB2312"/>
          <w:i w:val="0"/>
          <w:iCs w:val="0"/>
          <w:caps w:val="0"/>
          <w:color w:val="333333"/>
          <w:spacing w:val="0"/>
          <w:sz w:val="32"/>
          <w:szCs w:val="32"/>
          <w:bdr w:val="none" w:color="auto" w:sz="0" w:space="0"/>
          <w:shd w:val="clear" w:fill="FFFFFF"/>
        </w:rPr>
        <w:t>在不折不扣落实中央、省、市各项改革要求的基础上，因地制宜的探索具有仁和特色的改革路径和经验。不断推进政府向社会力量购买服务，构建政府采购监管机制；进一步完善全口径的政府预算管理体系，建立跨年度预算平衡机制；扎实推进预决算信息公开，建立透明预算管理制度；全面推行政府会计制度改革，全面试点编制权责发生制政府综合财务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稳步实施财政电子票据改革。</w:t>
      </w:r>
      <w:r>
        <w:rPr>
          <w:rFonts w:hint="eastAsia" w:ascii="仿宋_GB2312" w:hAnsi="仿宋_GB2312" w:eastAsia="仿宋_GB2312" w:cs="仿宋_GB2312"/>
          <w:i w:val="0"/>
          <w:iCs w:val="0"/>
          <w:caps w:val="0"/>
          <w:color w:val="333333"/>
          <w:spacing w:val="0"/>
          <w:sz w:val="32"/>
          <w:szCs w:val="32"/>
          <w:bdr w:val="none" w:color="auto" w:sz="0" w:space="0"/>
          <w:shd w:val="clear" w:fill="FFFFFF"/>
        </w:rPr>
        <w:t>按照中央、省、市统一部署，全面推进我区电子票据改革，全区</w:t>
      </w:r>
      <w:r>
        <w:rPr>
          <w:rFonts w:hint="eastAsia" w:ascii="微软雅黑" w:hAnsi="微软雅黑" w:eastAsia="微软雅黑" w:cs="微软雅黑"/>
          <w:i w:val="0"/>
          <w:iCs w:val="0"/>
          <w:caps w:val="0"/>
          <w:color w:val="333333"/>
          <w:spacing w:val="0"/>
          <w:sz w:val="32"/>
          <w:szCs w:val="32"/>
          <w:bdr w:val="none" w:color="auto" w:sz="0" w:space="0"/>
          <w:shd w:val="clear" w:fill="FFFFFF"/>
        </w:rPr>
        <w:t>134</w:t>
      </w:r>
      <w:r>
        <w:rPr>
          <w:rFonts w:hint="eastAsia" w:ascii="仿宋_GB2312" w:hAnsi="仿宋_GB2312" w:eastAsia="仿宋_GB2312" w:cs="仿宋_GB2312"/>
          <w:i w:val="0"/>
          <w:iCs w:val="0"/>
          <w:caps w:val="0"/>
          <w:color w:val="333333"/>
          <w:spacing w:val="0"/>
          <w:sz w:val="32"/>
          <w:szCs w:val="32"/>
          <w:bdr w:val="none" w:color="auto" w:sz="0" w:space="0"/>
          <w:shd w:val="clear" w:fill="FFFFFF"/>
        </w:rPr>
        <w:t>个财政票据使用单位已全面完成财政电子票据改革。继续加强非税收入征收协调力度，加强对区级各部门和乡镇非税收入的征管指导工作，通过电子票据改革，规范管理，以票促收，督促单位做到应收尽收。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持续推动国资管理和国企改革。</w:t>
      </w:r>
      <w:r>
        <w:rPr>
          <w:rFonts w:hint="eastAsia" w:ascii="微软雅黑" w:hAnsi="微软雅黑" w:eastAsia="微软雅黑" w:cs="微软雅黑"/>
          <w:i w:val="0"/>
          <w:iCs w:val="0"/>
          <w:caps w:val="0"/>
          <w:color w:val="333333"/>
          <w:spacing w:val="0"/>
          <w:sz w:val="32"/>
          <w:szCs w:val="32"/>
          <w:bdr w:val="none" w:color="auto" w:sz="0" w:space="0"/>
          <w:shd w:val="clear" w:fill="FFFFFF"/>
        </w:rPr>
        <w:t>2019</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年仁和城市发展建设（集团）公司成功退出融资平台，于</w:t>
      </w:r>
      <w:r>
        <w:rPr>
          <w:rFonts w:hint="eastAsia" w:ascii="微软雅黑" w:hAnsi="微软雅黑" w:eastAsia="微软雅黑" w:cs="微软雅黑"/>
          <w:i w:val="0"/>
          <w:iCs w:val="0"/>
          <w:caps w:val="0"/>
          <w:color w:val="333333"/>
          <w:spacing w:val="0"/>
          <w:sz w:val="32"/>
          <w:szCs w:val="32"/>
          <w:bdr w:val="none" w:color="auto" w:sz="0" w:space="0"/>
          <w:shd w:val="clear" w:fill="FFFFFF"/>
        </w:rPr>
        <w:t>3</w:t>
      </w:r>
      <w:r>
        <w:rPr>
          <w:rFonts w:hint="eastAsia" w:ascii="仿宋_GB2312" w:hAnsi="仿宋_GB2312" w:eastAsia="仿宋_GB2312" w:cs="仿宋_GB2312"/>
          <w:i w:val="0"/>
          <w:iCs w:val="0"/>
          <w:caps w:val="0"/>
          <w:color w:val="333333"/>
          <w:spacing w:val="0"/>
          <w:sz w:val="32"/>
          <w:szCs w:val="32"/>
          <w:bdr w:val="none" w:color="auto" w:sz="0" w:space="0"/>
          <w:shd w:val="clear" w:fill="FFFFFF"/>
        </w:rPr>
        <w:t>月份组建完成并正式挂牌运营，资产总额达到</w:t>
      </w:r>
      <w:r>
        <w:rPr>
          <w:rFonts w:hint="eastAsia" w:ascii="微软雅黑" w:hAnsi="微软雅黑" w:eastAsia="微软雅黑" w:cs="微软雅黑"/>
          <w:i w:val="0"/>
          <w:iCs w:val="0"/>
          <w:caps w:val="0"/>
          <w:color w:val="333333"/>
          <w:spacing w:val="0"/>
          <w:sz w:val="32"/>
          <w:szCs w:val="32"/>
          <w:bdr w:val="none" w:color="auto" w:sz="0" w:space="0"/>
          <w:shd w:val="clear" w:fill="FFFFFF"/>
        </w:rPr>
        <w:t>229,021</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万元，净资产</w:t>
      </w:r>
      <w:r>
        <w:rPr>
          <w:rFonts w:hint="eastAsia" w:ascii="微软雅黑" w:hAnsi="微软雅黑" w:eastAsia="微软雅黑" w:cs="微软雅黑"/>
          <w:i w:val="0"/>
          <w:iCs w:val="0"/>
          <w:caps w:val="0"/>
          <w:color w:val="333333"/>
          <w:spacing w:val="0"/>
          <w:sz w:val="32"/>
          <w:szCs w:val="32"/>
          <w:bdr w:val="none" w:color="auto" w:sz="0" w:space="0"/>
          <w:shd w:val="clear" w:fill="FFFFFF"/>
        </w:rPr>
        <w:t>82,334</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万元。发挥国有资产杠杆效应，依托资本市场筹集资金，成功取得攀枝花市第一笔政策性银行特殊贷款（农发银行</w:t>
      </w:r>
      <w:r>
        <w:rPr>
          <w:rFonts w:hint="eastAsia" w:ascii="微软雅黑" w:hAnsi="微软雅黑" w:eastAsia="微软雅黑" w:cs="微软雅黑"/>
          <w:i w:val="0"/>
          <w:iCs w:val="0"/>
          <w:caps w:val="0"/>
          <w:color w:val="333333"/>
          <w:spacing w:val="0"/>
          <w:sz w:val="32"/>
          <w:szCs w:val="32"/>
          <w:bdr w:val="none" w:color="auto" w:sz="0" w:space="0"/>
          <w:shd w:val="clear" w:fill="FFFFFF"/>
        </w:rPr>
        <w:t>PSL</w:t>
      </w:r>
      <w:r>
        <w:rPr>
          <w:rFonts w:hint="eastAsia" w:ascii="仿宋_GB2312" w:hAnsi="仿宋_GB2312" w:eastAsia="仿宋_GB2312" w:cs="仿宋_GB2312"/>
          <w:i w:val="0"/>
          <w:iCs w:val="0"/>
          <w:caps w:val="0"/>
          <w:color w:val="333333"/>
          <w:spacing w:val="0"/>
          <w:sz w:val="32"/>
          <w:szCs w:val="32"/>
          <w:bdr w:val="none" w:color="auto" w:sz="0" w:space="0"/>
          <w:shd w:val="clear" w:fill="FFFFFF"/>
        </w:rPr>
        <w:t>贷款）</w:t>
      </w:r>
      <w:r>
        <w:rPr>
          <w:rFonts w:hint="eastAsia" w:ascii="微软雅黑" w:hAnsi="微软雅黑" w:eastAsia="微软雅黑" w:cs="微软雅黑"/>
          <w:i w:val="0"/>
          <w:iCs w:val="0"/>
          <w:caps w:val="0"/>
          <w:color w:val="333333"/>
          <w:spacing w:val="0"/>
          <w:sz w:val="32"/>
          <w:szCs w:val="32"/>
          <w:bdr w:val="none" w:color="auto" w:sz="0" w:space="0"/>
          <w:shd w:val="clear" w:fill="FFFFFF"/>
        </w:rPr>
        <w:t>2</w:t>
      </w:r>
      <w:r>
        <w:rPr>
          <w:rFonts w:hint="eastAsia" w:ascii="仿宋_GB2312" w:hAnsi="仿宋_GB2312" w:eastAsia="仿宋_GB2312" w:cs="仿宋_GB2312"/>
          <w:i w:val="0"/>
          <w:iCs w:val="0"/>
          <w:caps w:val="0"/>
          <w:color w:val="333333"/>
          <w:spacing w:val="0"/>
          <w:sz w:val="32"/>
          <w:szCs w:val="32"/>
          <w:bdr w:val="none" w:color="auto" w:sz="0" w:space="0"/>
          <w:shd w:val="clear" w:fill="FFFFFF"/>
        </w:rPr>
        <w:t>亿元。依法依规理顺</w:t>
      </w:r>
      <w:r>
        <w:rPr>
          <w:rFonts w:hint="eastAsia" w:ascii="微软雅黑" w:hAnsi="微软雅黑" w:eastAsia="微软雅黑" w:cs="微软雅黑"/>
          <w:i w:val="0"/>
          <w:iCs w:val="0"/>
          <w:caps w:val="0"/>
          <w:color w:val="333333"/>
          <w:spacing w:val="0"/>
          <w:sz w:val="32"/>
          <w:szCs w:val="32"/>
          <w:bdr w:val="none" w:color="auto" w:sz="0" w:space="0"/>
          <w:shd w:val="clear" w:fill="FFFFFF"/>
        </w:rPr>
        <w:t>6</w:t>
      </w:r>
      <w:r>
        <w:rPr>
          <w:rFonts w:hint="eastAsia" w:ascii="仿宋_GB2312" w:hAnsi="仿宋_GB2312" w:eastAsia="仿宋_GB2312" w:cs="仿宋_GB2312"/>
          <w:i w:val="0"/>
          <w:iCs w:val="0"/>
          <w:caps w:val="0"/>
          <w:color w:val="333333"/>
          <w:spacing w:val="0"/>
          <w:sz w:val="32"/>
          <w:szCs w:val="32"/>
          <w:bdr w:val="none" w:color="auto" w:sz="0" w:space="0"/>
          <w:shd w:val="clear" w:fill="FFFFFF"/>
        </w:rPr>
        <w:t>个国有资产产权，保全政府权益，化解社会矛盾。加强经营性国有资产运营管理，政府投资项目管理得到加强和规范。</w:t>
      </w:r>
      <w:r>
        <w:rPr>
          <w:rFonts w:hint="eastAsia" w:ascii="微软雅黑" w:hAnsi="微软雅黑" w:eastAsia="微软雅黑" w:cs="微软雅黑"/>
          <w:i w:val="0"/>
          <w:iCs w:val="0"/>
          <w:caps w:val="0"/>
          <w:color w:val="333333"/>
          <w:spacing w:val="0"/>
          <w:sz w:val="32"/>
          <w:szCs w:val="32"/>
          <w:bdr w:val="none" w:color="auto" w:sz="0" w:space="0"/>
          <w:shd w:val="clear" w:fill="FFFFFF"/>
        </w:rPr>
        <w:t>2019</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年上缴财政国有资本经营预算收入</w:t>
      </w:r>
      <w:r>
        <w:rPr>
          <w:rFonts w:hint="eastAsia" w:ascii="微软雅黑" w:hAnsi="微软雅黑" w:eastAsia="微软雅黑" w:cs="微软雅黑"/>
          <w:i w:val="0"/>
          <w:iCs w:val="0"/>
          <w:caps w:val="0"/>
          <w:color w:val="333333"/>
          <w:spacing w:val="0"/>
          <w:sz w:val="32"/>
          <w:szCs w:val="32"/>
          <w:bdr w:val="none" w:color="auto" w:sz="0" w:space="0"/>
          <w:shd w:val="clear" w:fill="FFFFFF"/>
        </w:rPr>
        <w:t>800</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2019</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年，仁和区财政局荣获</w:t>
      </w:r>
      <w:r>
        <w:rPr>
          <w:rFonts w:hint="eastAsia" w:ascii="微软雅黑" w:hAnsi="微软雅黑" w:eastAsia="微软雅黑" w:cs="微软雅黑"/>
          <w:i w:val="0"/>
          <w:iCs w:val="0"/>
          <w:caps w:val="0"/>
          <w:color w:val="333333"/>
          <w:spacing w:val="0"/>
          <w:sz w:val="32"/>
          <w:szCs w:val="32"/>
          <w:bdr w:val="none" w:color="auto" w:sz="0" w:space="0"/>
          <w:shd w:val="clear" w:fill="FFFFFF"/>
        </w:rPr>
        <w:t>2018</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年度全市基层财政考核一等奖表彰，仁和区经济工作先进集体，</w:t>
      </w:r>
      <w:r>
        <w:rPr>
          <w:rFonts w:hint="eastAsia" w:ascii="微软雅黑" w:hAnsi="微软雅黑" w:eastAsia="微软雅黑" w:cs="微软雅黑"/>
          <w:i w:val="0"/>
          <w:iCs w:val="0"/>
          <w:caps w:val="0"/>
          <w:color w:val="333333"/>
          <w:spacing w:val="0"/>
          <w:sz w:val="32"/>
          <w:szCs w:val="32"/>
          <w:bdr w:val="none" w:color="auto" w:sz="0" w:space="0"/>
          <w:shd w:val="clear" w:fill="FFFFFF"/>
        </w:rPr>
        <w:t>2018</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年度全市会计决算财政总决算类一等奖，县（区）执行分析类一等奖。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5、严肃财经纪律，完善规章制度，推进法治财政建设。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全面实施绩效管理。</w:t>
      </w:r>
      <w:r>
        <w:rPr>
          <w:rFonts w:hint="eastAsia" w:ascii="仿宋_GB2312" w:hAnsi="仿宋_GB2312" w:eastAsia="仿宋_GB2312" w:cs="仿宋_GB2312"/>
          <w:i w:val="0"/>
          <w:iCs w:val="0"/>
          <w:caps w:val="0"/>
          <w:color w:val="333333"/>
          <w:spacing w:val="0"/>
          <w:sz w:val="32"/>
          <w:szCs w:val="32"/>
          <w:bdr w:val="none" w:color="auto" w:sz="0" w:space="0"/>
          <w:shd w:val="clear" w:fill="FFFFFF"/>
        </w:rPr>
        <w:t>全面实现绩效目标与预算资金</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编审同步、上会同步、批复同步、公开同步</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，强化预算绩效目标管理和评价，全域拓展绩效范围的广度和深度，首次开展了政府性基金、地方债券资金、财政政策绩效评价，扩大了财政绩效评价的范围，评价资金从</w:t>
      </w:r>
      <w:r>
        <w:rPr>
          <w:rFonts w:hint="eastAsia" w:ascii="微软雅黑" w:hAnsi="微软雅黑" w:eastAsia="微软雅黑" w:cs="微软雅黑"/>
          <w:i w:val="0"/>
          <w:iCs w:val="0"/>
          <w:caps w:val="0"/>
          <w:color w:val="333333"/>
          <w:spacing w:val="0"/>
          <w:sz w:val="32"/>
          <w:szCs w:val="32"/>
          <w:bdr w:val="none" w:color="auto" w:sz="0" w:space="0"/>
          <w:shd w:val="clear" w:fill="FFFFFF"/>
        </w:rPr>
        <w:t>2018</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年的</w:t>
      </w:r>
      <w:r>
        <w:rPr>
          <w:rFonts w:hint="eastAsia" w:ascii="微软雅黑" w:hAnsi="微软雅黑" w:eastAsia="微软雅黑" w:cs="微软雅黑"/>
          <w:i w:val="0"/>
          <w:iCs w:val="0"/>
          <w:caps w:val="0"/>
          <w:color w:val="333333"/>
          <w:spacing w:val="0"/>
          <w:sz w:val="32"/>
          <w:szCs w:val="32"/>
          <w:bdr w:val="none" w:color="auto" w:sz="0" w:space="0"/>
          <w:shd w:val="clear" w:fill="FFFFFF"/>
        </w:rPr>
        <w:t>24,866</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万元增加到</w:t>
      </w:r>
      <w:r>
        <w:rPr>
          <w:rFonts w:hint="eastAsia" w:ascii="微软雅黑" w:hAnsi="微软雅黑" w:eastAsia="微软雅黑" w:cs="微软雅黑"/>
          <w:i w:val="0"/>
          <w:iCs w:val="0"/>
          <w:caps w:val="0"/>
          <w:color w:val="333333"/>
          <w:spacing w:val="0"/>
          <w:sz w:val="32"/>
          <w:szCs w:val="32"/>
          <w:bdr w:val="none" w:color="auto" w:sz="0" w:space="0"/>
          <w:shd w:val="clear" w:fill="FFFFFF"/>
        </w:rPr>
        <w:t>30,218</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万元，增长</w:t>
      </w:r>
      <w:r>
        <w:rPr>
          <w:rFonts w:hint="eastAsia" w:ascii="微软雅黑" w:hAnsi="微软雅黑" w:eastAsia="微软雅黑" w:cs="微软雅黑"/>
          <w:i w:val="0"/>
          <w:iCs w:val="0"/>
          <w:caps w:val="0"/>
          <w:color w:val="333333"/>
          <w:spacing w:val="0"/>
          <w:sz w:val="32"/>
          <w:szCs w:val="32"/>
          <w:bdr w:val="none" w:color="auto" w:sz="0" w:space="0"/>
          <w:shd w:val="clear" w:fill="FFFFFF"/>
        </w:rPr>
        <w:t>21.52%</w:t>
      </w:r>
      <w:r>
        <w:rPr>
          <w:rFonts w:hint="eastAsia" w:ascii="仿宋_GB2312" w:hAnsi="仿宋_GB2312" w:eastAsia="仿宋_GB2312" w:cs="仿宋_GB2312"/>
          <w:i w:val="0"/>
          <w:iCs w:val="0"/>
          <w:caps w:val="0"/>
          <w:color w:val="333333"/>
          <w:spacing w:val="0"/>
          <w:sz w:val="32"/>
          <w:szCs w:val="32"/>
          <w:bdr w:val="none" w:color="auto" w:sz="0" w:space="0"/>
          <w:shd w:val="clear" w:fill="FFFFFF"/>
        </w:rPr>
        <w:t>。全面开展区乡两级预算绩效监控工作，实现了预算绩效监控全覆盖。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强化财政监督检查。</w:t>
      </w:r>
      <w:r>
        <w:rPr>
          <w:rFonts w:hint="eastAsia" w:ascii="微软雅黑" w:hAnsi="微软雅黑" w:eastAsia="微软雅黑" w:cs="微软雅黑"/>
          <w:i w:val="0"/>
          <w:iCs w:val="0"/>
          <w:caps w:val="0"/>
          <w:color w:val="333333"/>
          <w:spacing w:val="0"/>
          <w:sz w:val="32"/>
          <w:szCs w:val="32"/>
          <w:bdr w:val="none" w:color="auto" w:sz="0" w:space="0"/>
          <w:shd w:val="clear" w:fill="FFFFFF"/>
        </w:rPr>
        <w:t>2019</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年开展了严肃财经纪律专项整治和重大节庆活动资金专项检查、会计监督检查、减税降费政策实施效果、</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两不愁三保障</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扶贫资金、</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一卡通</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专项治理、非税收入票据管理等专项检查工作。通过专项检查和督查，向区纪委、监委移交问题线索</w:t>
      </w:r>
      <w:r>
        <w:rPr>
          <w:rFonts w:hint="eastAsia" w:ascii="微软雅黑" w:hAnsi="微软雅黑" w:eastAsia="微软雅黑" w:cs="微软雅黑"/>
          <w:i w:val="0"/>
          <w:iCs w:val="0"/>
          <w:caps w:val="0"/>
          <w:color w:val="333333"/>
          <w:spacing w:val="0"/>
          <w:sz w:val="32"/>
          <w:szCs w:val="32"/>
          <w:bdr w:val="none" w:color="auto" w:sz="0" w:space="0"/>
          <w:shd w:val="clear" w:fill="FFFFFF"/>
        </w:rPr>
        <w:t>4</w:t>
      </w:r>
      <w:r>
        <w:rPr>
          <w:rFonts w:hint="eastAsia" w:ascii="仿宋_GB2312" w:hAnsi="仿宋_GB2312" w:eastAsia="仿宋_GB2312" w:cs="仿宋_GB2312"/>
          <w:i w:val="0"/>
          <w:iCs w:val="0"/>
          <w:caps w:val="0"/>
          <w:color w:val="333333"/>
          <w:spacing w:val="0"/>
          <w:sz w:val="32"/>
          <w:szCs w:val="32"/>
          <w:bdr w:val="none" w:color="auto" w:sz="0" w:space="0"/>
          <w:shd w:val="clear" w:fill="FFFFFF"/>
        </w:rPr>
        <w:t>条，个人退还违规所得金额</w:t>
      </w:r>
      <w:r>
        <w:rPr>
          <w:rFonts w:hint="eastAsia" w:ascii="微软雅黑" w:hAnsi="微软雅黑" w:eastAsia="微软雅黑" w:cs="微软雅黑"/>
          <w:i w:val="0"/>
          <w:iCs w:val="0"/>
          <w:caps w:val="0"/>
          <w:color w:val="333333"/>
          <w:spacing w:val="0"/>
          <w:sz w:val="32"/>
          <w:szCs w:val="32"/>
          <w:bdr w:val="none" w:color="auto" w:sz="0" w:space="0"/>
          <w:shd w:val="clear" w:fill="FFFFFF"/>
        </w:rPr>
        <w:t>4.8</w:t>
      </w:r>
      <w:r>
        <w:rPr>
          <w:rFonts w:hint="eastAsia" w:ascii="仿宋_GB2312" w:hAnsi="仿宋_GB2312" w:eastAsia="仿宋_GB2312" w:cs="仿宋_GB2312"/>
          <w:i w:val="0"/>
          <w:iCs w:val="0"/>
          <w:caps w:val="0"/>
          <w:color w:val="333333"/>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完善制度规范管理。</w:t>
      </w:r>
      <w:r>
        <w:rPr>
          <w:rFonts w:hint="eastAsia" w:ascii="仿宋_GB2312" w:hAnsi="仿宋_GB2312" w:eastAsia="仿宋_GB2312" w:cs="仿宋_GB2312"/>
          <w:i w:val="0"/>
          <w:iCs w:val="0"/>
          <w:caps w:val="0"/>
          <w:color w:val="333333"/>
          <w:spacing w:val="0"/>
          <w:sz w:val="32"/>
          <w:szCs w:val="32"/>
          <w:bdr w:val="none" w:color="auto" w:sz="0" w:space="0"/>
          <w:shd w:val="clear" w:fill="FFFFFF"/>
        </w:rPr>
        <w:t>为进一步贯彻落实中央八项规定和省市区十项规定及其实施细则精神，制定了《攀枝花市仁和区严肃财经纪律负面清单》《攀枝花市仁和区行政事业单位培训费管理办法》《攀枝花市仁和区财政局关于规范仁和区差旅伙食费和市内交通费收交管理的通知》，进一步规范了单位财务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加强指导强化培训。</w:t>
      </w:r>
      <w:r>
        <w:rPr>
          <w:rFonts w:hint="eastAsia" w:ascii="仿宋_GB2312" w:hAnsi="仿宋_GB2312" w:eastAsia="仿宋_GB2312" w:cs="仿宋_GB2312"/>
          <w:i w:val="0"/>
          <w:iCs w:val="0"/>
          <w:caps w:val="0"/>
          <w:color w:val="333333"/>
          <w:spacing w:val="0"/>
          <w:sz w:val="32"/>
          <w:szCs w:val="32"/>
          <w:bdr w:val="none" w:color="auto" w:sz="0" w:space="0"/>
          <w:shd w:val="clear" w:fill="FFFFFF"/>
        </w:rPr>
        <w:t>结合财政工作相关要求，创新培训方式，全年有针对性地开展各类财政、财务培训</w:t>
      </w:r>
      <w:r>
        <w:rPr>
          <w:rFonts w:hint="eastAsia" w:ascii="微软雅黑" w:hAnsi="微软雅黑" w:eastAsia="微软雅黑" w:cs="微软雅黑"/>
          <w:i w:val="0"/>
          <w:iCs w:val="0"/>
          <w:caps w:val="0"/>
          <w:color w:val="333333"/>
          <w:spacing w:val="0"/>
          <w:sz w:val="32"/>
          <w:szCs w:val="32"/>
          <w:bdr w:val="none" w:color="auto" w:sz="0" w:space="0"/>
          <w:shd w:val="clear" w:fill="FFFFFF"/>
        </w:rPr>
        <w:t>11</w:t>
      </w:r>
      <w:r>
        <w:rPr>
          <w:rFonts w:hint="eastAsia" w:ascii="仿宋_GB2312" w:hAnsi="仿宋_GB2312" w:eastAsia="仿宋_GB2312" w:cs="仿宋_GB2312"/>
          <w:i w:val="0"/>
          <w:iCs w:val="0"/>
          <w:caps w:val="0"/>
          <w:color w:val="333333"/>
          <w:spacing w:val="0"/>
          <w:sz w:val="32"/>
          <w:szCs w:val="32"/>
          <w:bdr w:val="none" w:color="auto" w:sz="0" w:space="0"/>
          <w:shd w:val="clear" w:fill="FFFFFF"/>
        </w:rPr>
        <w:t>批次，参训人员累计</w:t>
      </w:r>
      <w:r>
        <w:rPr>
          <w:rFonts w:hint="eastAsia" w:ascii="微软雅黑" w:hAnsi="微软雅黑" w:eastAsia="微软雅黑" w:cs="微软雅黑"/>
          <w:i w:val="0"/>
          <w:iCs w:val="0"/>
          <w:caps w:val="0"/>
          <w:color w:val="333333"/>
          <w:spacing w:val="0"/>
          <w:sz w:val="32"/>
          <w:szCs w:val="32"/>
          <w:bdr w:val="none" w:color="auto" w:sz="0" w:space="0"/>
          <w:shd w:val="clear" w:fill="FFFFFF"/>
        </w:rPr>
        <w:t>1,300</w:t>
      </w:r>
      <w:r>
        <w:rPr>
          <w:rFonts w:hint="eastAsia" w:ascii="仿宋_GB2312" w:hAnsi="仿宋_GB2312" w:eastAsia="仿宋_GB2312" w:cs="仿宋_GB2312"/>
          <w:i w:val="0"/>
          <w:iCs w:val="0"/>
          <w:caps w:val="0"/>
          <w:color w:val="333333"/>
          <w:spacing w:val="0"/>
          <w:sz w:val="32"/>
          <w:szCs w:val="32"/>
          <w:bdr w:val="none" w:color="auto" w:sz="0" w:space="0"/>
          <w:shd w:val="clear" w:fill="FFFFFF"/>
        </w:rPr>
        <w:t>余人次；一对一帮扶指导</w:t>
      </w:r>
      <w:r>
        <w:rPr>
          <w:rFonts w:hint="eastAsia" w:ascii="微软雅黑" w:hAnsi="微软雅黑" w:eastAsia="微软雅黑" w:cs="微软雅黑"/>
          <w:i w:val="0"/>
          <w:iCs w:val="0"/>
          <w:caps w:val="0"/>
          <w:color w:val="333333"/>
          <w:spacing w:val="0"/>
          <w:sz w:val="32"/>
          <w:szCs w:val="32"/>
          <w:bdr w:val="none" w:color="auto" w:sz="0" w:space="0"/>
          <w:shd w:val="clear" w:fill="FFFFFF"/>
        </w:rPr>
        <w:t>44</w:t>
      </w:r>
      <w:r>
        <w:rPr>
          <w:rFonts w:hint="eastAsia" w:ascii="仿宋_GB2312" w:hAnsi="仿宋_GB2312" w:eastAsia="仿宋_GB2312" w:cs="仿宋_GB2312"/>
          <w:i w:val="0"/>
          <w:iCs w:val="0"/>
          <w:caps w:val="0"/>
          <w:color w:val="333333"/>
          <w:spacing w:val="0"/>
          <w:sz w:val="32"/>
          <w:szCs w:val="32"/>
          <w:bdr w:val="none" w:color="auto" w:sz="0" w:space="0"/>
          <w:shd w:val="clear" w:fill="FFFFFF"/>
        </w:rPr>
        <w:t>人次，有效提升了财务人员服务能力及管理水平；采取购买服务方式确定委托代理记账单位，规范了委托代理记账工作流程，解决了全区</w:t>
      </w:r>
      <w:r>
        <w:rPr>
          <w:rFonts w:hint="eastAsia" w:ascii="微软雅黑" w:hAnsi="微软雅黑" w:eastAsia="微软雅黑" w:cs="微软雅黑"/>
          <w:i w:val="0"/>
          <w:iCs w:val="0"/>
          <w:caps w:val="0"/>
          <w:color w:val="333333"/>
          <w:spacing w:val="0"/>
          <w:sz w:val="32"/>
          <w:szCs w:val="32"/>
          <w:bdr w:val="none" w:color="auto" w:sz="0" w:space="0"/>
          <w:shd w:val="clear" w:fill="FFFFFF"/>
        </w:rPr>
        <w:t>27</w:t>
      </w:r>
      <w:r>
        <w:rPr>
          <w:rFonts w:hint="eastAsia" w:ascii="仿宋_GB2312" w:hAnsi="仿宋_GB2312" w:eastAsia="仿宋_GB2312" w:cs="仿宋_GB2312"/>
          <w:i w:val="0"/>
          <w:iCs w:val="0"/>
          <w:caps w:val="0"/>
          <w:color w:val="333333"/>
          <w:spacing w:val="0"/>
          <w:sz w:val="32"/>
          <w:szCs w:val="32"/>
          <w:bdr w:val="none" w:color="auto" w:sz="0" w:space="0"/>
          <w:shd w:val="clear" w:fill="FFFFFF"/>
        </w:rPr>
        <w:t>个预算单位财务人员缺乏的实际困难。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15" w:name="_Toc15396601"/>
      <w:bookmarkEnd w:id="15"/>
      <w:bookmarkStart w:id="16" w:name="_Toc15377200"/>
      <w:r>
        <w:rPr>
          <w:rFonts w:hint="eastAsia" w:ascii="黑体" w:hAnsi="宋体" w:eastAsia="黑体" w:cs="黑体"/>
          <w:b w:val="0"/>
          <w:bCs w:val="0"/>
          <w:i w:val="0"/>
          <w:iCs w:val="0"/>
          <w:caps w:val="0"/>
          <w:color w:val="000000"/>
          <w:spacing w:val="0"/>
          <w:sz w:val="36"/>
          <w:szCs w:val="36"/>
          <w:bdr w:val="none" w:color="auto" w:sz="0" w:space="0"/>
          <w:shd w:val="clear" w:fill="FFFFFF"/>
        </w:rPr>
        <w:t>二、</w:t>
      </w:r>
      <w:bookmarkEnd w:id="16"/>
      <w:r>
        <w:rPr>
          <w:rFonts w:hint="eastAsia" w:ascii="黑体" w:hAnsi="宋体" w:eastAsia="黑体" w:cs="黑体"/>
          <w:b w:val="0"/>
          <w:bCs w:val="0"/>
          <w:i w:val="0"/>
          <w:iCs w:val="0"/>
          <w:caps w:val="0"/>
          <w:color w:val="000000"/>
          <w:spacing w:val="0"/>
          <w:sz w:val="36"/>
          <w:szCs w:val="36"/>
          <w:bdr w:val="none" w:color="auto" w:sz="0" w:space="0"/>
          <w:shd w:val="clear" w:fill="FFFFFF"/>
        </w:rPr>
        <w:t>机</w:t>
      </w:r>
      <w:r>
        <w:rPr>
          <w:rFonts w:hint="eastAsia" w:ascii="黑体" w:hAnsi="宋体" w:eastAsia="黑体" w:cs="黑体"/>
          <w:b w:val="0"/>
          <w:bCs w:val="0"/>
          <w:i w:val="0"/>
          <w:iCs w:val="0"/>
          <w:caps w:val="0"/>
          <w:color w:val="333333"/>
          <w:spacing w:val="0"/>
          <w:sz w:val="36"/>
          <w:szCs w:val="36"/>
          <w:bdr w:val="none" w:color="auto" w:sz="0" w:space="0"/>
          <w:shd w:val="clear" w:fill="FFFFFF"/>
        </w:rPr>
        <w:t>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仁和区财政局下属二级单位</w:t>
      </w:r>
      <w:r>
        <w:rPr>
          <w:rFonts w:hint="eastAsia" w:ascii="微软雅黑" w:hAnsi="微软雅黑" w:eastAsia="微软雅黑" w:cs="微软雅黑"/>
          <w:i w:val="0"/>
          <w:iCs w:val="0"/>
          <w:caps w:val="0"/>
          <w:color w:val="333333"/>
          <w:spacing w:val="0"/>
          <w:sz w:val="32"/>
          <w:szCs w:val="32"/>
          <w:bdr w:val="none" w:color="auto" w:sz="0" w:space="0"/>
          <w:shd w:val="clear" w:fill="FFFFFF"/>
        </w:rPr>
        <w:t>4</w:t>
      </w:r>
      <w:r>
        <w:rPr>
          <w:rFonts w:hint="eastAsia" w:ascii="仿宋_GB2312" w:hAnsi="仿宋_GB2312" w:eastAsia="仿宋_GB2312" w:cs="仿宋_GB2312"/>
          <w:i w:val="0"/>
          <w:iCs w:val="0"/>
          <w:caps w:val="0"/>
          <w:color w:val="333333"/>
          <w:spacing w:val="0"/>
          <w:sz w:val="32"/>
          <w:szCs w:val="32"/>
          <w:bdr w:val="none" w:color="auto" w:sz="0" w:space="0"/>
          <w:shd w:val="clear" w:fill="FFFFFF"/>
        </w:rPr>
        <w:t>个，其中参照公务员法管理的事业单位</w:t>
      </w:r>
      <w:r>
        <w:rPr>
          <w:rFonts w:hint="eastAsia" w:ascii="微软雅黑" w:hAnsi="微软雅黑" w:eastAsia="微软雅黑" w:cs="微软雅黑"/>
          <w:i w:val="0"/>
          <w:iCs w:val="0"/>
          <w:caps w:val="0"/>
          <w:color w:val="333333"/>
          <w:spacing w:val="0"/>
          <w:sz w:val="32"/>
          <w:szCs w:val="32"/>
          <w:bdr w:val="none" w:color="auto" w:sz="0" w:space="0"/>
          <w:shd w:val="clear" w:fill="FFFFFF"/>
        </w:rPr>
        <w:t>2</w:t>
      </w:r>
      <w:r>
        <w:rPr>
          <w:rFonts w:hint="eastAsia" w:ascii="仿宋_GB2312" w:hAnsi="仿宋_GB2312" w:eastAsia="仿宋_GB2312" w:cs="仿宋_GB2312"/>
          <w:i w:val="0"/>
          <w:iCs w:val="0"/>
          <w:caps w:val="0"/>
          <w:color w:val="333333"/>
          <w:spacing w:val="0"/>
          <w:sz w:val="32"/>
          <w:szCs w:val="32"/>
          <w:bdr w:val="none" w:color="auto" w:sz="0" w:space="0"/>
          <w:shd w:val="clear" w:fill="FFFFFF"/>
        </w:rPr>
        <w:t>个，其他事业单位</w:t>
      </w:r>
      <w:r>
        <w:rPr>
          <w:rFonts w:hint="eastAsia" w:ascii="微软雅黑" w:hAnsi="微软雅黑" w:eastAsia="微软雅黑" w:cs="微软雅黑"/>
          <w:i w:val="0"/>
          <w:iCs w:val="0"/>
          <w:caps w:val="0"/>
          <w:color w:val="333333"/>
          <w:spacing w:val="0"/>
          <w:sz w:val="32"/>
          <w:szCs w:val="32"/>
          <w:bdr w:val="none" w:color="auto" w:sz="0" w:space="0"/>
          <w:shd w:val="clear" w:fill="FFFFFF"/>
        </w:rPr>
        <w:t>2</w:t>
      </w:r>
      <w:r>
        <w:rPr>
          <w:rFonts w:hint="eastAsia" w:ascii="仿宋_GB2312" w:hAnsi="仿宋_GB2312" w:eastAsia="仿宋_GB2312" w:cs="仿宋_GB2312"/>
          <w:i w:val="0"/>
          <w:iCs w:val="0"/>
          <w:caps w:val="0"/>
          <w:color w:val="333333"/>
          <w:spacing w:val="0"/>
          <w:sz w:val="32"/>
          <w:szCs w:val="32"/>
          <w:bdr w:val="none" w:color="auto" w:sz="0" w:space="0"/>
          <w:shd w:val="clear" w:fill="FFFFFF"/>
        </w:rPr>
        <w:t>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纳入仁和区财政局</w:t>
      </w:r>
      <w:r>
        <w:rPr>
          <w:rFonts w:hint="eastAsia" w:ascii="微软雅黑" w:hAnsi="微软雅黑" w:eastAsia="微软雅黑" w:cs="微软雅黑"/>
          <w:i w:val="0"/>
          <w:iCs w:val="0"/>
          <w:caps w:val="0"/>
          <w:color w:val="333333"/>
          <w:spacing w:val="0"/>
          <w:sz w:val="32"/>
          <w:szCs w:val="32"/>
          <w:bdr w:val="none" w:color="auto" w:sz="0" w:space="0"/>
          <w:shd w:val="clear" w:fill="FFFFFF"/>
        </w:rPr>
        <w:t>2019</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年度部门决算编制范围的二级预算单位包括：</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bookmarkStart w:id="17" w:name="_Toc15378449"/>
      <w:bookmarkEnd w:id="17"/>
      <w:bookmarkStart w:id="18" w:name="_Toc15306276"/>
      <w:bookmarkEnd w:id="18"/>
      <w:bookmarkStart w:id="19" w:name="_Toc15377202"/>
      <w:bookmarkEnd w:id="19"/>
      <w:bookmarkStart w:id="20" w:name="_Toc15377433"/>
      <w:r>
        <w:rPr>
          <w:rFonts w:hint="eastAsia" w:ascii="仿宋_GB2312" w:hAnsi="仿宋_GB2312" w:eastAsia="仿宋_GB2312" w:cs="仿宋_GB2312"/>
          <w:i w:val="0"/>
          <w:iCs w:val="0"/>
          <w:caps w:val="0"/>
          <w:color w:val="333333"/>
          <w:spacing w:val="0"/>
          <w:sz w:val="32"/>
          <w:szCs w:val="32"/>
          <w:bdr w:val="none" w:color="auto" w:sz="0" w:space="0"/>
          <w:shd w:val="clear" w:fill="FFFFFF"/>
        </w:rPr>
        <w:t>仁和区财政国库支付中心</w:t>
      </w:r>
      <w:bookmarkEnd w:id="20"/>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仿宋_GB2312" w:hAnsi="仿宋_GB2312" w:eastAsia="仿宋_GB2312" w:cs="仿宋_GB2312"/>
          <w:i w:val="0"/>
          <w:iCs w:val="0"/>
          <w:caps w:val="0"/>
          <w:color w:val="333333"/>
          <w:spacing w:val="0"/>
          <w:sz w:val="32"/>
          <w:szCs w:val="32"/>
          <w:bdr w:val="none" w:color="auto" w:sz="0" w:space="0"/>
          <w:shd w:val="clear" w:fill="FFFFFF"/>
        </w:rPr>
        <w:t>仁和区财政监督检查局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仿宋_GB2312" w:hAnsi="仿宋_GB2312" w:eastAsia="仿宋_GB2312" w:cs="仿宋_GB2312"/>
          <w:i w:val="0"/>
          <w:iCs w:val="0"/>
          <w:caps w:val="0"/>
          <w:color w:val="333333"/>
          <w:spacing w:val="0"/>
          <w:sz w:val="32"/>
          <w:szCs w:val="32"/>
          <w:bdr w:val="none" w:color="auto" w:sz="0" w:space="0"/>
          <w:shd w:val="clear" w:fill="FFFFFF"/>
        </w:rPr>
        <w:t>仁和区政府债务风险防控中心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仿宋_GB2312" w:hAnsi="仿宋_GB2312" w:eastAsia="仿宋_GB2312" w:cs="仿宋_GB2312"/>
          <w:i w:val="0"/>
          <w:iCs w:val="0"/>
          <w:caps w:val="0"/>
          <w:color w:val="333333"/>
          <w:spacing w:val="0"/>
          <w:sz w:val="32"/>
          <w:szCs w:val="32"/>
          <w:bdr w:val="none" w:color="auto" w:sz="0" w:space="0"/>
          <w:shd w:val="clear" w:fill="FFFFFF"/>
        </w:rPr>
        <w:t>仁和区财政投资评审中心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375" w:afterAutospacing="0"/>
        <w:ind w:left="0" w:right="440" w:firstLine="0"/>
        <w:jc w:val="right"/>
        <w:rPr>
          <w:rFonts w:hint="eastAsia" w:ascii="微软雅黑" w:hAnsi="微软雅黑" w:eastAsia="微软雅黑" w:cs="微软雅黑"/>
          <w:b w:val="0"/>
          <w:bCs w:val="0"/>
          <w:i w:val="0"/>
          <w:iCs w:val="0"/>
          <w:caps w:val="0"/>
          <w:color w:val="2270AC"/>
          <w:spacing w:val="0"/>
          <w:sz w:val="45"/>
          <w:szCs w:val="45"/>
        </w:rPr>
      </w:pPr>
      <w:bookmarkStart w:id="21" w:name="_Toc15396602"/>
      <w:bookmarkEnd w:id="21"/>
      <w:bookmarkStart w:id="22" w:name="_Toc15377204"/>
      <w:r>
        <w:rPr>
          <w:rFonts w:hint="eastAsia" w:ascii="黑体" w:hAnsi="宋体" w:eastAsia="黑体" w:cs="黑体"/>
          <w:b w:val="0"/>
          <w:bCs w:val="0"/>
          <w:i w:val="0"/>
          <w:iCs w:val="0"/>
          <w:caps w:val="0"/>
          <w:color w:val="000000"/>
          <w:spacing w:val="0"/>
          <w:sz w:val="45"/>
          <w:szCs w:val="45"/>
          <w:bdr w:val="none" w:color="auto" w:sz="0" w:space="0"/>
          <w:shd w:val="clear" w:fill="FFFFFF"/>
        </w:rPr>
        <w:t>第二部分</w:t>
      </w:r>
      <w:bookmarkEnd w:id="22"/>
      <w:r>
        <w:rPr>
          <w:rFonts w:hint="eastAsia" w:ascii="黑体" w:hAnsi="宋体" w:eastAsia="黑体" w:cs="黑体"/>
          <w:b w:val="0"/>
          <w:bCs w:val="0"/>
          <w:i w:val="0"/>
          <w:iCs w:val="0"/>
          <w:caps w:val="0"/>
          <w:color w:val="2270AC"/>
          <w:spacing w:val="0"/>
          <w:sz w:val="45"/>
          <w:szCs w:val="45"/>
          <w:bdr w:val="none" w:color="auto" w:sz="0" w:space="0"/>
          <w:shd w:val="clear" w:fill="FFFFFF"/>
        </w:rPr>
        <w:t>2019年度部门决算情况说明</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bookmarkStart w:id="23" w:name="_Toc15377205"/>
      <w:bookmarkEnd w:id="23"/>
      <w:bookmarkStart w:id="24" w:name="_Toc15396603"/>
      <w:r>
        <w:rPr>
          <w:rFonts w:hint="eastAsia" w:ascii="黑体" w:hAnsi="宋体" w:eastAsia="黑体" w:cs="黑体"/>
          <w:i w:val="0"/>
          <w:iCs w:val="0"/>
          <w:caps w:val="0"/>
          <w:color w:val="000000"/>
          <w:spacing w:val="0"/>
          <w:sz w:val="32"/>
          <w:szCs w:val="32"/>
          <w:bdr w:val="none" w:color="auto" w:sz="0" w:space="0"/>
          <w:shd w:val="clear" w:fill="FFFFFF"/>
        </w:rPr>
        <w:t>收</w:t>
      </w:r>
      <w:bookmarkEnd w:id="24"/>
      <w:r>
        <w:rPr>
          <w:rFonts w:hint="eastAsia" w:ascii="黑体" w:hAnsi="宋体" w:eastAsia="黑体" w:cs="黑体"/>
          <w:i w:val="0"/>
          <w:iCs w:val="0"/>
          <w:caps w:val="0"/>
          <w:color w:val="333333"/>
          <w:spacing w:val="0"/>
          <w:sz w:val="32"/>
          <w:szCs w:val="32"/>
          <w:bdr w:val="none" w:color="auto" w:sz="0" w:space="0"/>
          <w:shd w:val="clear" w:fill="FFFFFF"/>
        </w:rPr>
        <w:t>入支出决算总体情况说明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709"/>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2019年度收、支总计2120.83万元。与2018年相比，收、支总计各增加350.02万元，</w:t>
      </w:r>
      <w:r>
        <w:rPr>
          <w:rFonts w:hint="eastAsia" w:ascii="仿宋" w:hAnsi="仿宋" w:eastAsia="仿宋" w:cs="仿宋"/>
          <w:i w:val="0"/>
          <w:iCs w:val="0"/>
          <w:caps w:val="0"/>
          <w:color w:val="333333"/>
          <w:spacing w:val="0"/>
          <w:sz w:val="32"/>
          <w:szCs w:val="32"/>
          <w:bdr w:val="none" w:color="auto" w:sz="0" w:space="0"/>
          <w:shd w:val="clear" w:fill="FFFFFF"/>
        </w:rPr>
        <w:t>增长19.77%。主要变动原因是</w:t>
      </w:r>
      <w:r>
        <w:rPr>
          <w:rFonts w:hint="eastAsia" w:ascii="仿宋_GB2312" w:hAnsi="仿宋_GB2312" w:eastAsia="仿宋_GB2312" w:cs="仿宋_GB2312"/>
          <w:i w:val="0"/>
          <w:iCs w:val="0"/>
          <w:caps w:val="0"/>
          <w:color w:val="000000"/>
          <w:spacing w:val="0"/>
          <w:sz w:val="32"/>
          <w:szCs w:val="32"/>
          <w:bdr w:val="none" w:color="auto" w:sz="0" w:space="0"/>
          <w:shd w:val="clear" w:fill="FFFFFF"/>
        </w:rPr>
        <w:t>人员经费政策调整及实施项目的增加。</w:t>
      </w:r>
    </w:p>
    <w:tbl>
      <w:tblPr>
        <w:tblpPr w:vertAnchor="text" w:tblpXSpec="left"/>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
        <w:gridCol w:w="72"/>
        <w:gridCol w:w="72"/>
        <w:gridCol w:w="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5" w:hRule="atLeast"/>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0" w:type="auto"/>
            <w:shd w:val="clear" w:color="auto" w:fill="FFFFFF"/>
            <w:vAlign w:val="center"/>
          </w:tcPr>
          <w:p>
            <w:pPr>
              <w:jc w:val="center"/>
              <w:rPr>
                <w:rFonts w:hint="eastAsia" w:ascii="微软雅黑" w:hAnsi="微软雅黑" w:eastAsia="微软雅黑" w:cs="微软雅黑"/>
                <w:i w:val="0"/>
                <w:iCs w:val="0"/>
                <w:caps w:val="0"/>
                <w:color w:val="333333"/>
                <w:spacing w:val="0"/>
                <w:sz w:val="24"/>
                <w:szCs w:val="24"/>
              </w:rPr>
            </w:pPr>
          </w:p>
        </w:tc>
        <w:tc>
          <w:tcPr>
            <w:tcW w:w="0" w:type="auto"/>
            <w:shd w:val="clear" w:color="auto" w:fill="FFFFFF"/>
            <w:vAlign w:val="center"/>
          </w:tcPr>
          <w:p>
            <w:pPr>
              <w:jc w:val="cente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0" w:type="auto"/>
            <w:shd w:val="clear" w:color="auto" w:fill="FFFFFF"/>
            <w:vAlign w:val="center"/>
          </w:tcPr>
          <w:p>
            <w:pPr>
              <w:jc w:val="center"/>
              <w:rPr>
                <w:rFonts w:hint="eastAsia" w:ascii="微软雅黑" w:hAnsi="微软雅黑" w:eastAsia="微软雅黑" w:cs="微软雅黑"/>
                <w:i w:val="0"/>
                <w:iCs w:val="0"/>
                <w:caps w:val="0"/>
                <w:color w:val="333333"/>
                <w:spacing w:val="0"/>
                <w:sz w:val="24"/>
                <w:szCs w:val="24"/>
              </w:rPr>
            </w:pPr>
          </w:p>
        </w:tc>
        <w:tc>
          <w:tcPr>
            <w:tcW w:w="0" w:type="auto"/>
            <w:shd w:val="clear" w:color="auto" w:fill="FFFFFF"/>
            <w:vAlign w:val="center"/>
          </w:tcPr>
          <w:p>
            <w:pPr>
              <w:jc w:val="center"/>
              <w:rPr>
                <w:rFonts w:hint="eastAsia" w:ascii="微软雅黑" w:hAnsi="微软雅黑" w:eastAsia="微软雅黑" w:cs="微软雅黑"/>
                <w:i w:val="0"/>
                <w:iCs w:val="0"/>
                <w:caps w:val="0"/>
                <w:color w:val="333333"/>
                <w:spacing w:val="0"/>
                <w:sz w:val="24"/>
                <w:szCs w:val="24"/>
              </w:rPr>
            </w:pPr>
          </w:p>
        </w:tc>
        <w:tc>
          <w:tcPr>
            <w:tcW w:w="0" w:type="auto"/>
            <w:shd w:val="clear" w:color="auto" w:fill="FFFFFF"/>
            <w:vAlign w:val="center"/>
          </w:tcPr>
          <w:p>
            <w:pPr>
              <w:jc w:val="cente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5" w:hRule="atLeast"/>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0" w:type="auto"/>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bl>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bookmarkStart w:id="25" w:name="_Toc15377206"/>
      <w:bookmarkEnd w:id="25"/>
      <w:bookmarkStart w:id="26" w:name="_Toc15396604"/>
      <w:r>
        <w:rPr>
          <w:rFonts w:hint="eastAsia" w:ascii="黑体" w:hAnsi="宋体" w:eastAsia="黑体" w:cs="黑体"/>
          <w:i w:val="0"/>
          <w:iCs w:val="0"/>
          <w:caps w:val="0"/>
          <w:color w:val="000000"/>
          <w:spacing w:val="0"/>
          <w:sz w:val="32"/>
          <w:szCs w:val="32"/>
          <w:bdr w:val="none" w:color="auto" w:sz="0" w:space="0"/>
          <w:shd w:val="clear" w:fill="FFFFFF"/>
        </w:rPr>
        <w:t>收</w:t>
      </w:r>
      <w:bookmarkEnd w:id="26"/>
      <w:r>
        <w:rPr>
          <w:rFonts w:hint="eastAsia" w:ascii="黑体" w:hAnsi="宋体" w:eastAsia="黑体" w:cs="黑体"/>
          <w:i w:val="0"/>
          <w:iCs w:val="0"/>
          <w:caps w:val="0"/>
          <w:color w:val="333333"/>
          <w:spacing w:val="0"/>
          <w:sz w:val="32"/>
          <w:szCs w:val="32"/>
          <w:bdr w:val="none" w:color="auto" w:sz="0" w:space="0"/>
          <w:shd w:val="clear" w:fill="FFFFFF"/>
        </w:rPr>
        <w:t>入决算情况说明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2019年本年收入合计1924.8万元，其中：一般公共预算财政拨款收入1860.8元，占96.67%；其他收入64万元，占3.33%。</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bookmarkStart w:id="27" w:name="_Toc15377207"/>
      <w:bookmarkEnd w:id="27"/>
      <w:bookmarkStart w:id="28" w:name="_Toc15396605"/>
      <w:r>
        <w:rPr>
          <w:rFonts w:hint="eastAsia" w:ascii="黑体" w:hAnsi="宋体" w:eastAsia="黑体" w:cs="黑体"/>
          <w:i w:val="0"/>
          <w:iCs w:val="0"/>
          <w:caps w:val="0"/>
          <w:color w:val="000000"/>
          <w:spacing w:val="0"/>
          <w:sz w:val="32"/>
          <w:szCs w:val="32"/>
          <w:bdr w:val="none" w:color="auto" w:sz="0" w:space="0"/>
          <w:shd w:val="clear" w:fill="FFFFFF"/>
        </w:rPr>
        <w:t>支</w:t>
      </w:r>
      <w:bookmarkEnd w:id="28"/>
      <w:r>
        <w:rPr>
          <w:rFonts w:hint="eastAsia" w:ascii="黑体" w:hAnsi="宋体" w:eastAsia="黑体" w:cs="黑体"/>
          <w:i w:val="0"/>
          <w:iCs w:val="0"/>
          <w:caps w:val="0"/>
          <w:color w:val="333333"/>
          <w:spacing w:val="0"/>
          <w:sz w:val="32"/>
          <w:szCs w:val="32"/>
          <w:bdr w:val="none" w:color="auto" w:sz="0" w:space="0"/>
          <w:shd w:val="clear" w:fill="FFFFFF"/>
        </w:rPr>
        <w:t>出决算情况说明</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黑体" w:hAnsi="宋体" w:eastAsia="黑体" w:cs="黑体"/>
          <w:i w:val="0"/>
          <w:iCs w:val="0"/>
          <w:caps w:val="0"/>
          <w:color w:val="000000"/>
          <w:spacing w:val="0"/>
          <w:sz w:val="32"/>
          <w:szCs w:val="32"/>
          <w:bdr w:val="none" w:color="auto" w:sz="0" w:space="0"/>
          <w:shd w:val="clear" w:fill="FFFFFF"/>
        </w:rPr>
        <w:t>支出</w:t>
      </w:r>
      <w:r>
        <w:rPr>
          <w:rFonts w:hint="eastAsia" w:ascii="黑体" w:hAnsi="宋体" w:eastAsia="黑体" w:cs="黑体"/>
          <w:i w:val="0"/>
          <w:iCs w:val="0"/>
          <w:caps w:val="0"/>
          <w:color w:val="333333"/>
          <w:spacing w:val="0"/>
          <w:sz w:val="32"/>
          <w:szCs w:val="32"/>
          <w:bdr w:val="none" w:color="auto" w:sz="0" w:space="0"/>
          <w:shd w:val="clear" w:fill="FFFFFF"/>
        </w:rPr>
        <w:t>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2019年本年支出合计1729.9万元，其中：基本支出989.19万元，占57.18%；项目支出740.71万元，占42.82%。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tbl>
      <w:tblPr>
        <w:tblpPr w:vertAnchor="text" w:tblpXSpec="left"/>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
        <w:gridCol w:w="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bookmarkStart w:id="29" w:name="_Toc15396606"/>
      <w:bookmarkEnd w:id="29"/>
      <w:bookmarkStart w:id="30" w:name="_Toc15377208"/>
      <w:r>
        <w:rPr>
          <w:rFonts w:hint="eastAsia" w:ascii="黑体" w:hAnsi="宋体" w:eastAsia="黑体" w:cs="黑体"/>
          <w:i w:val="0"/>
          <w:iCs w:val="0"/>
          <w:caps w:val="0"/>
          <w:color w:val="000000"/>
          <w:spacing w:val="0"/>
          <w:sz w:val="32"/>
          <w:szCs w:val="32"/>
          <w:bdr w:val="none" w:color="auto" w:sz="0" w:space="0"/>
          <w:shd w:val="clear" w:fill="FFFFFF"/>
        </w:rPr>
        <w:t>四、财</w:t>
      </w:r>
      <w:bookmarkEnd w:id="30"/>
      <w:r>
        <w:rPr>
          <w:rFonts w:hint="eastAsia" w:ascii="黑体" w:hAnsi="宋体" w:eastAsia="黑体" w:cs="黑体"/>
          <w:i w:val="0"/>
          <w:iCs w:val="0"/>
          <w:caps w:val="0"/>
          <w:color w:val="333333"/>
          <w:spacing w:val="0"/>
          <w:sz w:val="32"/>
          <w:szCs w:val="32"/>
          <w:bdr w:val="none" w:color="auto" w:sz="0" w:space="0"/>
          <w:shd w:val="clear" w:fill="FFFFFF"/>
        </w:rPr>
        <w:t>政拨款收入支出决算总体情况说明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709"/>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2019年财政拨款收、支总计1934.68万元。与2018年相比，</w:t>
      </w:r>
      <w:r>
        <w:rPr>
          <w:rFonts w:hint="eastAsia" w:ascii="仿宋" w:hAnsi="仿宋" w:eastAsia="仿宋" w:cs="仿宋"/>
          <w:i w:val="0"/>
          <w:iCs w:val="0"/>
          <w:caps w:val="0"/>
          <w:color w:val="333333"/>
          <w:spacing w:val="0"/>
          <w:sz w:val="32"/>
          <w:szCs w:val="32"/>
          <w:bdr w:val="none" w:color="auto" w:sz="0" w:space="0"/>
          <w:shd w:val="clear" w:fill="FFFFFF"/>
        </w:rPr>
        <w:t>财政拨款收、支总计各增加399.32万元，增长26%。主要变动原因是</w:t>
      </w:r>
      <w:r>
        <w:rPr>
          <w:rFonts w:hint="eastAsia" w:ascii="仿宋_GB2312" w:hAnsi="仿宋_GB2312" w:eastAsia="仿宋_GB2312" w:cs="仿宋_GB2312"/>
          <w:i w:val="0"/>
          <w:iCs w:val="0"/>
          <w:caps w:val="0"/>
          <w:color w:val="000000"/>
          <w:spacing w:val="0"/>
          <w:sz w:val="32"/>
          <w:szCs w:val="32"/>
          <w:bdr w:val="none" w:color="auto" w:sz="0" w:space="0"/>
          <w:shd w:val="clear" w:fill="FFFFFF"/>
        </w:rPr>
        <w:t>人员经费政策调整及实施项目的增加。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160"/>
        <w:jc w:val="left"/>
        <w:rPr>
          <w:rFonts w:hint="eastAsia" w:ascii="微软雅黑" w:hAnsi="微软雅黑" w:eastAsia="微软雅黑" w:cs="微软雅黑"/>
          <w:i w:val="0"/>
          <w:iCs w:val="0"/>
          <w:caps w:val="0"/>
          <w:color w:val="333333"/>
          <w:spacing w:val="0"/>
          <w:sz w:val="24"/>
          <w:szCs w:val="24"/>
        </w:rPr>
      </w:pPr>
      <w:bookmarkStart w:id="31" w:name="_Toc15377209"/>
      <w:bookmarkEnd w:id="31"/>
      <w:bookmarkStart w:id="32" w:name="_Toc15377210"/>
      <w:r>
        <w:rPr>
          <w:rFonts w:hint="eastAsia" w:ascii="黑体" w:hAnsi="宋体" w:eastAsia="黑体" w:cs="黑体"/>
          <w:i w:val="0"/>
          <w:iCs w:val="0"/>
          <w:caps w:val="0"/>
          <w:color w:val="000000"/>
          <w:spacing w:val="0"/>
          <w:sz w:val="32"/>
          <w:szCs w:val="32"/>
          <w:bdr w:val="none" w:color="auto" w:sz="0" w:space="0"/>
          <w:shd w:val="clear" w:fill="FFFFFF"/>
        </w:rPr>
        <w:t>五、一般公共预算财政拨款支出决算情况说明</w:t>
      </w:r>
      <w:bookmarkEnd w:id="32"/>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000000"/>
          <w:spacing w:val="0"/>
          <w:sz w:val="32"/>
          <w:szCs w:val="32"/>
          <w:bdr w:val="none" w:color="auto" w:sz="0" w:space="0"/>
          <w:shd w:val="clear" w:fill="FFFFFF"/>
        </w:rPr>
        <w:t>（一）一般公共预算财政拨款支出决算总体情况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709"/>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2019年一般公共预算财政拨款支出1589.97万元，占本年支出合计的91.9%。与2018年相比，一般公共预算财政拨款增加83.78万元</w:t>
      </w:r>
      <w:r>
        <w:rPr>
          <w:rFonts w:hint="eastAsia" w:ascii="仿宋" w:hAnsi="仿宋" w:eastAsia="仿宋" w:cs="仿宋"/>
          <w:i w:val="0"/>
          <w:iCs w:val="0"/>
          <w:caps w:val="0"/>
          <w:color w:val="333333"/>
          <w:spacing w:val="0"/>
          <w:sz w:val="32"/>
          <w:szCs w:val="32"/>
          <w:bdr w:val="none" w:color="auto" w:sz="0" w:space="0"/>
          <w:shd w:val="clear" w:fill="FFFFFF"/>
        </w:rPr>
        <w:t>，增长5.27%。</w:t>
      </w:r>
      <w:r>
        <w:rPr>
          <w:rFonts w:hint="eastAsia" w:ascii="仿宋" w:hAnsi="仿宋" w:eastAsia="仿宋" w:cs="仿宋"/>
          <w:i w:val="0"/>
          <w:iCs w:val="0"/>
          <w:caps w:val="0"/>
          <w:color w:val="000000"/>
          <w:spacing w:val="0"/>
          <w:sz w:val="32"/>
          <w:szCs w:val="32"/>
          <w:bdr w:val="none" w:color="auto" w:sz="0" w:space="0"/>
          <w:shd w:val="clear" w:fill="FFFFFF"/>
        </w:rPr>
        <w:t>主要变动原因是人员经费的自然增长及项目经费的增加。</w:t>
      </w:r>
    </w:p>
    <w:tbl>
      <w:tblPr>
        <w:tblpPr w:vertAnchor="text" w:tblpXSpec="left"/>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
        <w:gridCol w:w="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Height w:val="271" w:hRule="atLeast"/>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bookmarkStart w:id="33" w:name="_Toc15377211"/>
      <w:r>
        <w:rPr>
          <w:rStyle w:val="7"/>
          <w:rFonts w:hint="eastAsia" w:ascii="仿宋" w:hAnsi="仿宋" w:eastAsia="仿宋" w:cs="仿宋"/>
          <w:i w:val="0"/>
          <w:iCs w:val="0"/>
          <w:caps w:val="0"/>
          <w:color w:val="000000"/>
          <w:spacing w:val="0"/>
          <w:sz w:val="32"/>
          <w:szCs w:val="32"/>
          <w:bdr w:val="none" w:color="auto" w:sz="0" w:space="0"/>
          <w:shd w:val="clear" w:fill="FFFFFF"/>
        </w:rPr>
        <w:t>（二）一般公共预算财政拨款支出决算结构情况</w:t>
      </w:r>
      <w:bookmarkEnd w:id="33"/>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2019年一般公共预算财政拨款支出1589.97万元，主要用于以下方面:</w:t>
      </w:r>
      <w:r>
        <w:rPr>
          <w:rStyle w:val="7"/>
          <w:rFonts w:hint="eastAsia" w:ascii="仿宋" w:hAnsi="仿宋" w:eastAsia="仿宋" w:cs="仿宋"/>
          <w:i w:val="0"/>
          <w:iCs w:val="0"/>
          <w:caps w:val="0"/>
          <w:color w:val="000000"/>
          <w:spacing w:val="0"/>
          <w:sz w:val="32"/>
          <w:szCs w:val="32"/>
          <w:bdr w:val="none" w:color="auto" w:sz="0" w:space="0"/>
          <w:shd w:val="clear" w:fill="FFFFFF"/>
        </w:rPr>
        <w:t>一般公共服务（类）</w:t>
      </w:r>
      <w:r>
        <w:rPr>
          <w:rFonts w:hint="eastAsia" w:ascii="仿宋" w:hAnsi="仿宋" w:eastAsia="仿宋" w:cs="仿宋"/>
          <w:i w:val="0"/>
          <w:iCs w:val="0"/>
          <w:caps w:val="0"/>
          <w:color w:val="000000"/>
          <w:spacing w:val="0"/>
          <w:sz w:val="32"/>
          <w:szCs w:val="32"/>
          <w:bdr w:val="none" w:color="auto" w:sz="0" w:space="0"/>
          <w:shd w:val="clear" w:fill="FFFFFF"/>
        </w:rPr>
        <w:t>支出1368.22万元，占86.05%；</w:t>
      </w:r>
      <w:r>
        <w:rPr>
          <w:rStyle w:val="7"/>
          <w:rFonts w:hint="eastAsia" w:ascii="仿宋" w:hAnsi="仿宋" w:eastAsia="仿宋" w:cs="仿宋"/>
          <w:i w:val="0"/>
          <w:iCs w:val="0"/>
          <w:caps w:val="0"/>
          <w:color w:val="000000"/>
          <w:spacing w:val="0"/>
          <w:sz w:val="32"/>
          <w:szCs w:val="32"/>
          <w:bdr w:val="none" w:color="auto" w:sz="0" w:space="0"/>
          <w:shd w:val="clear" w:fill="FFFFFF"/>
        </w:rPr>
        <w:t>社会保障和就业（类）</w:t>
      </w:r>
      <w:r>
        <w:rPr>
          <w:rFonts w:hint="eastAsia" w:ascii="仿宋" w:hAnsi="仿宋" w:eastAsia="仿宋" w:cs="仿宋"/>
          <w:i w:val="0"/>
          <w:iCs w:val="0"/>
          <w:caps w:val="0"/>
          <w:color w:val="000000"/>
          <w:spacing w:val="0"/>
          <w:sz w:val="32"/>
          <w:szCs w:val="32"/>
          <w:bdr w:val="none" w:color="auto" w:sz="0" w:space="0"/>
          <w:shd w:val="clear" w:fill="FFFFFF"/>
        </w:rPr>
        <w:t>支出89.12万元，占5.61%；</w:t>
      </w:r>
      <w:r>
        <w:rPr>
          <w:rStyle w:val="7"/>
          <w:rFonts w:hint="eastAsia" w:ascii="仿宋" w:hAnsi="仿宋" w:eastAsia="仿宋" w:cs="仿宋"/>
          <w:i w:val="0"/>
          <w:iCs w:val="0"/>
          <w:caps w:val="0"/>
          <w:color w:val="000000"/>
          <w:spacing w:val="0"/>
          <w:sz w:val="32"/>
          <w:szCs w:val="32"/>
          <w:bdr w:val="none" w:color="auto" w:sz="0" w:space="0"/>
          <w:shd w:val="clear" w:fill="FFFFFF"/>
        </w:rPr>
        <w:t>卫生健康支出</w:t>
      </w:r>
      <w:r>
        <w:rPr>
          <w:rFonts w:hint="eastAsia" w:ascii="仿宋" w:hAnsi="仿宋" w:eastAsia="仿宋" w:cs="仿宋"/>
          <w:i w:val="0"/>
          <w:iCs w:val="0"/>
          <w:caps w:val="0"/>
          <w:color w:val="000000"/>
          <w:spacing w:val="0"/>
          <w:sz w:val="32"/>
          <w:szCs w:val="32"/>
          <w:bdr w:val="none" w:color="auto" w:sz="0" w:space="0"/>
          <w:shd w:val="clear" w:fill="FFFFFF"/>
        </w:rPr>
        <w:t>39.35万元，占2.47%；</w:t>
      </w:r>
      <w:r>
        <w:rPr>
          <w:rStyle w:val="7"/>
          <w:rFonts w:hint="eastAsia" w:ascii="仿宋" w:hAnsi="仿宋" w:eastAsia="仿宋" w:cs="仿宋"/>
          <w:i w:val="0"/>
          <w:iCs w:val="0"/>
          <w:caps w:val="0"/>
          <w:color w:val="000000"/>
          <w:spacing w:val="0"/>
          <w:sz w:val="32"/>
          <w:szCs w:val="32"/>
          <w:bdr w:val="none" w:color="auto" w:sz="0" w:space="0"/>
          <w:shd w:val="clear" w:fill="FFFFFF"/>
        </w:rPr>
        <w:t>农林水支出</w:t>
      </w:r>
      <w:r>
        <w:rPr>
          <w:rFonts w:hint="eastAsia" w:ascii="仿宋" w:hAnsi="仿宋" w:eastAsia="仿宋" w:cs="仿宋"/>
          <w:i w:val="0"/>
          <w:iCs w:val="0"/>
          <w:caps w:val="0"/>
          <w:color w:val="000000"/>
          <w:spacing w:val="0"/>
          <w:sz w:val="32"/>
          <w:szCs w:val="32"/>
          <w:bdr w:val="none" w:color="auto" w:sz="0" w:space="0"/>
          <w:shd w:val="clear" w:fill="FFFFFF"/>
        </w:rPr>
        <w:t>9.45万元，占0.6%；</w:t>
      </w:r>
      <w:r>
        <w:rPr>
          <w:rStyle w:val="7"/>
          <w:rFonts w:hint="eastAsia" w:ascii="仿宋" w:hAnsi="仿宋" w:eastAsia="仿宋" w:cs="仿宋"/>
          <w:i w:val="0"/>
          <w:iCs w:val="0"/>
          <w:caps w:val="0"/>
          <w:color w:val="000000"/>
          <w:spacing w:val="0"/>
          <w:sz w:val="32"/>
          <w:szCs w:val="32"/>
          <w:bdr w:val="none" w:color="auto" w:sz="0" w:space="0"/>
          <w:shd w:val="clear" w:fill="FFFFFF"/>
        </w:rPr>
        <w:t>住房保障支出</w:t>
      </w:r>
      <w:r>
        <w:rPr>
          <w:rFonts w:hint="eastAsia" w:ascii="仿宋" w:hAnsi="仿宋" w:eastAsia="仿宋" w:cs="仿宋"/>
          <w:i w:val="0"/>
          <w:iCs w:val="0"/>
          <w:caps w:val="0"/>
          <w:color w:val="000000"/>
          <w:spacing w:val="0"/>
          <w:sz w:val="32"/>
          <w:szCs w:val="32"/>
          <w:bdr w:val="none" w:color="auto" w:sz="0" w:space="0"/>
          <w:shd w:val="clear" w:fill="FFFFFF"/>
        </w:rPr>
        <w:t>83.83万元，占5.27%。</w:t>
      </w:r>
    </w:p>
    <w:tbl>
      <w:tblPr>
        <w:tblpPr w:vertAnchor="text" w:tblpXSpec="left"/>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
        <w:gridCol w:w="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Height w:val="435" w:hRule="atLeast"/>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0" w:type="auto"/>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bookmarkStart w:id="34" w:name="_Toc15377212"/>
      <w:r>
        <w:rPr>
          <w:rStyle w:val="7"/>
          <w:rFonts w:hint="eastAsia" w:ascii="仿宋" w:hAnsi="仿宋" w:eastAsia="仿宋" w:cs="仿宋"/>
          <w:i w:val="0"/>
          <w:iCs w:val="0"/>
          <w:caps w:val="0"/>
          <w:color w:val="000000"/>
          <w:spacing w:val="0"/>
          <w:sz w:val="32"/>
          <w:szCs w:val="32"/>
          <w:bdr w:val="none" w:color="auto" w:sz="0" w:space="0"/>
          <w:shd w:val="clear" w:fill="FFFFFF"/>
        </w:rPr>
        <w:t>（三）一般公共预算财政拨款支出决算具体情况</w:t>
      </w:r>
      <w:bookmarkEnd w:id="34"/>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bookmarkStart w:id="35" w:name="_Toc15377213"/>
      <w:bookmarkEnd w:id="35"/>
      <w:bookmarkStart w:id="36" w:name="_Toc15378460"/>
      <w:bookmarkEnd w:id="36"/>
      <w:bookmarkStart w:id="37" w:name="_Toc15377444"/>
      <w:r>
        <w:rPr>
          <w:rStyle w:val="7"/>
          <w:rFonts w:hint="eastAsia" w:ascii="仿宋" w:hAnsi="仿宋" w:eastAsia="仿宋" w:cs="仿宋"/>
          <w:i w:val="0"/>
          <w:iCs w:val="0"/>
          <w:caps w:val="0"/>
          <w:color w:val="000000"/>
          <w:spacing w:val="0"/>
          <w:sz w:val="32"/>
          <w:szCs w:val="32"/>
          <w:bdr w:val="none" w:color="auto" w:sz="0" w:space="0"/>
          <w:shd w:val="clear" w:fill="FFFFFF"/>
        </w:rPr>
        <w:t>2019</w:t>
      </w:r>
      <w:bookmarkEnd w:id="37"/>
      <w:r>
        <w:rPr>
          <w:rStyle w:val="7"/>
          <w:rFonts w:hint="eastAsia" w:ascii="仿宋" w:hAnsi="仿宋" w:eastAsia="仿宋" w:cs="仿宋"/>
          <w:i w:val="0"/>
          <w:iCs w:val="0"/>
          <w:caps w:val="0"/>
          <w:color w:val="000000"/>
          <w:spacing w:val="0"/>
          <w:sz w:val="32"/>
          <w:szCs w:val="32"/>
          <w:bdr w:val="none" w:color="auto" w:sz="0" w:space="0"/>
          <w:shd w:val="clear" w:fill="FFFFFF"/>
        </w:rPr>
        <w:t>年一般公共预算支出决算数为1589.97</w:t>
      </w:r>
      <w:r>
        <w:rPr>
          <w:rFonts w:hint="eastAsia" w:ascii="仿宋" w:hAnsi="仿宋" w:eastAsia="仿宋" w:cs="仿宋"/>
          <w:i w:val="0"/>
          <w:iCs w:val="0"/>
          <w:caps w:val="0"/>
          <w:color w:val="000000"/>
          <w:spacing w:val="0"/>
          <w:sz w:val="32"/>
          <w:szCs w:val="32"/>
          <w:bdr w:val="none" w:color="auto" w:sz="0" w:space="0"/>
          <w:shd w:val="clear" w:fill="FFFFFF"/>
        </w:rPr>
        <w:t>，</w:t>
      </w:r>
      <w:r>
        <w:rPr>
          <w:rStyle w:val="7"/>
          <w:rFonts w:hint="eastAsia" w:ascii="仿宋" w:hAnsi="仿宋" w:eastAsia="仿宋" w:cs="仿宋"/>
          <w:i w:val="0"/>
          <w:iCs w:val="0"/>
          <w:caps w:val="0"/>
          <w:color w:val="000000"/>
          <w:spacing w:val="0"/>
          <w:sz w:val="32"/>
          <w:szCs w:val="32"/>
          <w:bdr w:val="none" w:color="auto" w:sz="0" w:space="0"/>
          <w:shd w:val="clear" w:fill="FFFFFF"/>
        </w:rPr>
        <w:t>完成预算87.23%。其中：</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一般公共服务（类）财政事务（款）行政运行（项）:支出决算为561.79万元，完成预算100%。</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一般公共服务（类）财政事务（款）一般行政管理事务（项）:支出决算178.38万元，完成预算100%。</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一般公共服务（类）财政事务（款）信息化建设（项）:支出决算为122.59万元，完成预算100%。</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一般公共服务（类）财政事务（款）财政委托业务支出（项）:支出决算为252.07万元，完成预算58%，决算数小于预算数的主要原因是项目尚未完成。</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一般公共服务（类）财政事务（款）事业运行（项）:支出决算为187.19万元，完成预算100%。</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一般公共服务（类）财政事务（款）其他财政事务支出（项）:支出决算为66.21万元，完成预算93%，决算数小于预算数的主要原因是项目尚未完成。</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社会保障和就业（类）行政事业单位离退休（款）未归口管理的行政单位离退休（项）:支出决算为21.19万元，完成预算100%。</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社会保障和就业（类）行政事业单位离退休（款）机关事业单位基本养老保险缴费支出（项）:支出决算为67.93万元，完成预算100%。</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卫生健康支出（类）行政事业单位医疗（款）行政单位医疗（项）:支出决算为22.97万元，完成预算100%。</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卫生健康支出（类）行政事业单位医疗（款）事业单位医疗（项）:支出决算为10.25万元，完成预算100%。</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卫生健康支出（类）行政事业单位医疗（款）公务员医疗补助（项）:支出决算为6.13万元，完成预算100%。</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农林水支出（类）其他农林水支出（款）其他农林水支出（项）:支出决算为9.46万元，完成预算100%。</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Style w:val="7"/>
          <w:rFonts w:hint="eastAsia" w:ascii="仿宋" w:hAnsi="仿宋" w:eastAsia="仿宋" w:cs="仿宋"/>
          <w:i w:val="0"/>
          <w:iCs w:val="0"/>
          <w:caps w:val="0"/>
          <w:color w:val="000000"/>
          <w:spacing w:val="0"/>
          <w:sz w:val="32"/>
          <w:szCs w:val="32"/>
          <w:bdr w:val="none" w:color="auto" w:sz="0" w:space="0"/>
          <w:shd w:val="clear" w:fill="FFFFFF"/>
        </w:rPr>
        <w:t>住房保障支出（类）住房改革支出（款）住房公积金（项）:支出决算为83.83万元，完成预算100%。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bookmarkStart w:id="38" w:name="_Toc15396608"/>
      <w:bookmarkEnd w:id="38"/>
      <w:bookmarkStart w:id="39" w:name="_Toc15377214"/>
      <w:r>
        <w:rPr>
          <w:rFonts w:hint="eastAsia" w:ascii="黑体" w:hAnsi="宋体" w:eastAsia="黑体" w:cs="黑体"/>
          <w:i w:val="0"/>
          <w:iCs w:val="0"/>
          <w:caps w:val="0"/>
          <w:color w:val="000000"/>
          <w:spacing w:val="0"/>
          <w:sz w:val="32"/>
          <w:szCs w:val="32"/>
          <w:bdr w:val="none" w:color="auto" w:sz="0" w:space="0"/>
          <w:shd w:val="clear" w:fill="FFFFFF"/>
        </w:rPr>
        <w:t>六</w:t>
      </w:r>
      <w:r>
        <w:rPr>
          <w:rStyle w:val="7"/>
          <w:rFonts w:hint="eastAsia" w:ascii="黑体" w:hAnsi="宋体" w:eastAsia="黑体" w:cs="黑体"/>
          <w:i w:val="0"/>
          <w:iCs w:val="0"/>
          <w:caps w:val="0"/>
          <w:color w:val="000000"/>
          <w:spacing w:val="0"/>
          <w:sz w:val="32"/>
          <w:szCs w:val="32"/>
          <w:bdr w:val="none" w:color="auto" w:sz="0" w:space="0"/>
          <w:shd w:val="clear" w:fill="FFFFFF"/>
        </w:rPr>
        <w:t>、</w:t>
      </w:r>
      <w:bookmarkEnd w:id="39"/>
      <w:r>
        <w:rPr>
          <w:rStyle w:val="7"/>
          <w:rFonts w:hint="eastAsia" w:ascii="黑体" w:hAnsi="宋体" w:eastAsia="黑体" w:cs="黑体"/>
          <w:i w:val="0"/>
          <w:iCs w:val="0"/>
          <w:caps w:val="0"/>
          <w:color w:val="000000"/>
          <w:spacing w:val="0"/>
          <w:sz w:val="32"/>
          <w:szCs w:val="32"/>
          <w:bdr w:val="none" w:color="auto" w:sz="0" w:space="0"/>
          <w:shd w:val="clear" w:fill="FFFFFF"/>
        </w:rPr>
        <w:t>一</w:t>
      </w:r>
      <w:r>
        <w:rPr>
          <w:rFonts w:hint="eastAsia" w:ascii="黑体" w:hAnsi="宋体" w:eastAsia="黑体" w:cs="黑体"/>
          <w:i w:val="0"/>
          <w:iCs w:val="0"/>
          <w:caps w:val="0"/>
          <w:color w:val="333333"/>
          <w:spacing w:val="0"/>
          <w:sz w:val="32"/>
          <w:szCs w:val="32"/>
          <w:bdr w:val="none" w:color="auto" w:sz="0" w:space="0"/>
          <w:shd w:val="clear" w:fill="FFFFFF"/>
        </w:rPr>
        <w:t>般公共预算财政拨款基本支出决算情况说明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2019年一般公共预算财政拨款基本支出961.28万元，其中：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人员经费872.3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 w:hAnsi="仿宋" w:eastAsia="仿宋" w:cs="仿宋"/>
          <w:i w:val="0"/>
          <w:iCs w:val="0"/>
          <w:caps w:val="0"/>
          <w:color w:val="000000"/>
          <w:spacing w:val="0"/>
          <w:sz w:val="32"/>
          <w:szCs w:val="32"/>
          <w:bdr w:val="none" w:color="auto" w:sz="0" w:space="0"/>
          <w:shd w:val="clear" w:fill="FFFFFF"/>
        </w:rPr>
        <w:br w:type="textWrapping"/>
      </w:r>
      <w:r>
        <w:rPr>
          <w:rFonts w:hint="eastAsia" w:ascii="仿宋" w:hAnsi="仿宋" w:eastAsia="仿宋" w:cs="仿宋"/>
          <w:i w:val="0"/>
          <w:iCs w:val="0"/>
          <w:caps w:val="0"/>
          <w:color w:val="000000"/>
          <w:spacing w:val="0"/>
          <w:sz w:val="32"/>
          <w:szCs w:val="32"/>
          <w:bdr w:val="none" w:color="auto" w:sz="0" w:space="0"/>
          <w:shd w:val="clear" w:fill="FFFFFF"/>
        </w:rPr>
        <w:t>　　日常公用经费88.98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bookmarkStart w:id="40" w:name="_Toc15396609"/>
      <w:bookmarkEnd w:id="40"/>
      <w:bookmarkStart w:id="41" w:name="_Toc15377215"/>
      <w:r>
        <w:rPr>
          <w:rFonts w:hint="eastAsia" w:ascii="黑体" w:hAnsi="宋体" w:eastAsia="黑体" w:cs="黑体"/>
          <w:i w:val="0"/>
          <w:iCs w:val="0"/>
          <w:caps w:val="0"/>
          <w:color w:val="000000"/>
          <w:spacing w:val="0"/>
          <w:sz w:val="32"/>
          <w:szCs w:val="32"/>
          <w:bdr w:val="none" w:color="auto" w:sz="0" w:space="0"/>
          <w:shd w:val="clear" w:fill="FFFFFF"/>
        </w:rPr>
        <w:t>七、</w:t>
      </w:r>
      <w:bookmarkEnd w:id="41"/>
      <w:r>
        <w:rPr>
          <w:rFonts w:hint="eastAsia" w:ascii="黑体" w:hAnsi="宋体" w:eastAsia="黑体" w:cs="黑体"/>
          <w:i w:val="0"/>
          <w:iCs w:val="0"/>
          <w:caps w:val="0"/>
          <w:color w:val="333333"/>
          <w:spacing w:val="0"/>
          <w:sz w:val="32"/>
          <w:szCs w:val="32"/>
          <w:bdr w:val="none" w:color="auto" w:sz="0" w:space="0"/>
          <w:shd w:val="clear" w:fill="FFFFFF"/>
        </w:rPr>
        <w:t>“三公”经费财政拨款支出决算情况说明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bookmarkStart w:id="42" w:name="_Toc15377216"/>
      <w:r>
        <w:rPr>
          <w:rStyle w:val="7"/>
          <w:rFonts w:hint="eastAsia" w:ascii="仿宋" w:hAnsi="仿宋" w:eastAsia="仿宋" w:cs="仿宋"/>
          <w:i w:val="0"/>
          <w:iCs w:val="0"/>
          <w:caps w:val="0"/>
          <w:color w:val="000000"/>
          <w:spacing w:val="0"/>
          <w:sz w:val="32"/>
          <w:szCs w:val="32"/>
          <w:bdr w:val="none" w:color="auto" w:sz="0" w:space="0"/>
          <w:shd w:val="clear" w:fill="FFFFFF"/>
        </w:rPr>
        <w:t>（一）“三公”经费财政拨款支出决算总体情况说明</w:t>
      </w:r>
      <w:bookmarkEnd w:id="42"/>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2019年“三公”经费财政拨款支出决算为0.56万元，完成预算100%。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bookmarkStart w:id="43" w:name="_Toc15377217"/>
      <w:r>
        <w:rPr>
          <w:rStyle w:val="7"/>
          <w:rFonts w:hint="eastAsia" w:ascii="仿宋" w:hAnsi="仿宋" w:eastAsia="仿宋" w:cs="仿宋"/>
          <w:i w:val="0"/>
          <w:iCs w:val="0"/>
          <w:caps w:val="0"/>
          <w:color w:val="000000"/>
          <w:spacing w:val="0"/>
          <w:sz w:val="32"/>
          <w:szCs w:val="32"/>
          <w:bdr w:val="none" w:color="auto" w:sz="0" w:space="0"/>
          <w:shd w:val="clear" w:fill="FFFFFF"/>
        </w:rPr>
        <w:t>（二）“三公”经费财政拨款支出决算具体情况说明</w:t>
      </w:r>
      <w:bookmarkEnd w:id="43"/>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2019年“三公”经费财政拨款支出决算中，因公出国（境）费支出决算0万元，占0%；公务用车购置及运行维护费支出决算0万元，占0%；公务接待费支出决算0.56万元，占100%。具体情况如下：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公务接待费支出</w:t>
      </w:r>
      <w:r>
        <w:rPr>
          <w:rFonts w:hint="eastAsia" w:ascii="仿宋_GB2312" w:hAnsi="仿宋_GB2312" w:eastAsia="仿宋_GB2312" w:cs="仿宋_GB2312"/>
          <w:i w:val="0"/>
          <w:iCs w:val="0"/>
          <w:caps w:val="0"/>
          <w:color w:val="000000"/>
          <w:spacing w:val="0"/>
          <w:sz w:val="32"/>
          <w:szCs w:val="32"/>
          <w:bdr w:val="none" w:color="auto" w:sz="0" w:space="0"/>
          <w:shd w:val="clear" w:fill="FFFFFF"/>
        </w:rPr>
        <w:t>0.56万元，</w:t>
      </w:r>
      <w:r>
        <w:rPr>
          <w:rStyle w:val="7"/>
          <w:rFonts w:hint="eastAsia" w:ascii="仿宋" w:hAnsi="仿宋" w:eastAsia="仿宋" w:cs="仿宋"/>
          <w:i w:val="0"/>
          <w:iCs w:val="0"/>
          <w:caps w:val="0"/>
          <w:color w:val="000000"/>
          <w:spacing w:val="0"/>
          <w:sz w:val="32"/>
          <w:szCs w:val="32"/>
          <w:bdr w:val="none" w:color="auto" w:sz="0" w:space="0"/>
          <w:shd w:val="clear" w:fill="FFFFFF"/>
        </w:rPr>
        <w:t>完成预算100%。</w:t>
      </w:r>
      <w:r>
        <w:rPr>
          <w:rFonts w:hint="eastAsia" w:ascii="仿宋_GB2312" w:hAnsi="仿宋_GB2312" w:eastAsia="仿宋_GB2312" w:cs="仿宋_GB2312"/>
          <w:i w:val="0"/>
          <w:iCs w:val="0"/>
          <w:caps w:val="0"/>
          <w:color w:val="000000"/>
          <w:spacing w:val="0"/>
          <w:sz w:val="32"/>
          <w:szCs w:val="32"/>
          <w:bdr w:val="none" w:color="auto" w:sz="0" w:space="0"/>
          <w:shd w:val="clear" w:fill="FFFFFF"/>
        </w:rPr>
        <w:t>公务接待费支出决算比2018年减少0.96万元，下降63%。主要原因是进一步贯彻落实中央八项规定精神和省委、省政府以及市委、市政府十项规定，加强对“三公”经费执行的监督。其中：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000000"/>
          <w:spacing w:val="0"/>
          <w:sz w:val="32"/>
          <w:szCs w:val="32"/>
          <w:bdr w:val="none" w:color="auto" w:sz="0" w:space="0"/>
          <w:shd w:val="clear" w:fill="FFFFFF"/>
        </w:rPr>
        <w:t>国内公务接待支出</w:t>
      </w:r>
      <w:r>
        <w:rPr>
          <w:rFonts w:hint="eastAsia" w:ascii="仿宋" w:hAnsi="仿宋" w:eastAsia="仿宋" w:cs="仿宋"/>
          <w:i w:val="0"/>
          <w:iCs w:val="0"/>
          <w:caps w:val="0"/>
          <w:color w:val="000000"/>
          <w:spacing w:val="0"/>
          <w:sz w:val="32"/>
          <w:szCs w:val="32"/>
          <w:bdr w:val="none" w:color="auto" w:sz="0" w:space="0"/>
          <w:shd w:val="clear" w:fill="FFFFFF"/>
        </w:rPr>
        <w:t>0.56</w:t>
      </w:r>
      <w:r>
        <w:rPr>
          <w:rFonts w:hint="eastAsia" w:ascii="仿宋_GB2312" w:hAnsi="仿宋_GB2312" w:eastAsia="仿宋_GB2312" w:cs="仿宋_GB2312"/>
          <w:i w:val="0"/>
          <w:iCs w:val="0"/>
          <w:caps w:val="0"/>
          <w:color w:val="000000"/>
          <w:spacing w:val="0"/>
          <w:sz w:val="32"/>
          <w:szCs w:val="32"/>
          <w:bdr w:val="none" w:color="auto" w:sz="0" w:space="0"/>
          <w:shd w:val="clear" w:fill="FFFFFF"/>
        </w:rPr>
        <w:t>万元，主要用于执行公务、开展业务活动开支的用餐费。国内公务接待4批次，35人次（不包括陪同人员），共计支出0.56万元，具体内容包括：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接待市发办到我区验收2018年农综开发项目就餐0.22万元;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接待市财政局到我区开展2018年度财政支农资金绩效评价就餐0.15万元;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接待市财政局到我区专项调研“一卡通”工作就餐0.07万元;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接待中国财政科学研究院到我区开展“十四五”推进攀枝花高质量发展的财政研究专题调研就餐0.12万元。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bookmarkStart w:id="44" w:name="_Toc15396610"/>
      <w:bookmarkEnd w:id="44"/>
      <w:bookmarkStart w:id="45" w:name="_Toc15377218"/>
      <w:r>
        <w:rPr>
          <w:rFonts w:hint="eastAsia" w:ascii="黑体" w:hAnsi="宋体" w:eastAsia="黑体" w:cs="黑体"/>
          <w:i w:val="0"/>
          <w:iCs w:val="0"/>
          <w:caps w:val="0"/>
          <w:color w:val="000000"/>
          <w:spacing w:val="0"/>
          <w:sz w:val="32"/>
          <w:szCs w:val="32"/>
          <w:bdr w:val="none" w:color="auto" w:sz="0" w:space="0"/>
          <w:shd w:val="clear" w:fill="FFFFFF"/>
        </w:rPr>
        <w:t>八、</w:t>
      </w:r>
      <w:bookmarkEnd w:id="45"/>
      <w:r>
        <w:rPr>
          <w:rFonts w:hint="eastAsia" w:ascii="黑体" w:hAnsi="宋体" w:eastAsia="黑体" w:cs="黑体"/>
          <w:i w:val="0"/>
          <w:iCs w:val="0"/>
          <w:caps w:val="0"/>
          <w:color w:val="333333"/>
          <w:spacing w:val="0"/>
          <w:sz w:val="32"/>
          <w:szCs w:val="32"/>
          <w:bdr w:val="none" w:color="auto" w:sz="0" w:space="0"/>
          <w:shd w:val="clear" w:fill="FFFFFF"/>
        </w:rPr>
        <w:t>政府性基金预算支出决算情况说明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2019年政府性基金预算拨款支出112万元。</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bookmarkStart w:id="46" w:name="_Toc15377219"/>
      <w:bookmarkEnd w:id="46"/>
      <w:bookmarkStart w:id="47" w:name="_Toc15396611"/>
      <w:r>
        <w:rPr>
          <w:rFonts w:hint="eastAsia" w:ascii="黑体" w:hAnsi="宋体" w:eastAsia="黑体" w:cs="黑体"/>
          <w:i w:val="0"/>
          <w:iCs w:val="0"/>
          <w:caps w:val="0"/>
          <w:color w:val="333333"/>
          <w:spacing w:val="0"/>
          <w:sz w:val="32"/>
          <w:szCs w:val="32"/>
          <w:bdr w:val="none" w:color="auto" w:sz="0" w:space="0"/>
          <w:shd w:val="clear" w:fill="FFFFFF"/>
        </w:rPr>
        <w:t>国有资本经营预算支出决算情况说明</w:t>
      </w:r>
      <w:bookmarkEnd w:id="47"/>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2019年国有资本经营预算拨款支出0万元。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800"/>
        <w:jc w:val="left"/>
        <w:rPr>
          <w:rFonts w:hint="eastAsia" w:ascii="微软雅黑" w:hAnsi="微软雅黑" w:eastAsia="微软雅黑" w:cs="微软雅黑"/>
          <w:i w:val="0"/>
          <w:iCs w:val="0"/>
          <w:caps w:val="0"/>
          <w:color w:val="333333"/>
          <w:spacing w:val="0"/>
          <w:sz w:val="24"/>
          <w:szCs w:val="24"/>
        </w:rPr>
      </w:pPr>
      <w:bookmarkStart w:id="48" w:name="_Toc15377221"/>
      <w:bookmarkEnd w:id="48"/>
      <w:bookmarkStart w:id="49" w:name="_Toc15396612"/>
      <w:r>
        <w:rPr>
          <w:rFonts w:hint="eastAsia" w:ascii="黑体" w:hAnsi="宋体" w:eastAsia="黑体" w:cs="黑体"/>
          <w:i w:val="0"/>
          <w:iCs w:val="0"/>
          <w:caps w:val="0"/>
          <w:color w:val="000000"/>
          <w:spacing w:val="0"/>
          <w:sz w:val="32"/>
          <w:szCs w:val="32"/>
          <w:bdr w:val="none" w:color="auto" w:sz="0" w:space="0"/>
          <w:shd w:val="clear" w:fill="FFFFFF"/>
        </w:rPr>
        <w:t>十</w:t>
      </w:r>
      <w:bookmarkEnd w:id="49"/>
      <w:r>
        <w:rPr>
          <w:rFonts w:hint="eastAsia" w:ascii="黑体" w:hAnsi="宋体" w:eastAsia="黑体" w:cs="黑体"/>
          <w:i w:val="0"/>
          <w:iCs w:val="0"/>
          <w:caps w:val="0"/>
          <w:color w:val="333333"/>
          <w:spacing w:val="0"/>
          <w:sz w:val="32"/>
          <w:szCs w:val="32"/>
          <w:bdr w:val="none" w:color="auto" w:sz="0" w:space="0"/>
          <w:shd w:val="clear" w:fill="FFFFFF"/>
        </w:rPr>
        <w:t>、其他重要事项的情况说明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bookmarkStart w:id="50" w:name="_Toc15377222"/>
      <w:r>
        <w:rPr>
          <w:rStyle w:val="7"/>
          <w:rFonts w:hint="eastAsia" w:ascii="仿宋" w:hAnsi="仿宋" w:eastAsia="仿宋" w:cs="仿宋"/>
          <w:i w:val="0"/>
          <w:iCs w:val="0"/>
          <w:caps w:val="0"/>
          <w:color w:val="000000"/>
          <w:spacing w:val="0"/>
          <w:sz w:val="32"/>
          <w:szCs w:val="32"/>
          <w:bdr w:val="none" w:color="auto" w:sz="0" w:space="0"/>
          <w:shd w:val="clear" w:fill="FFFFFF"/>
        </w:rPr>
        <w:t>（一）机关运行经费支出情况</w:t>
      </w:r>
      <w:bookmarkEnd w:id="5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79"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2019年，仁和区财政局机关运行经费支出88.98万元，比2018年减少21.71万元，下降19.61%。主要原因是执行</w:t>
      </w:r>
      <w:r>
        <w:rPr>
          <w:rFonts w:hint="eastAsia" w:ascii="仿宋_GB2312" w:hAnsi="仿宋_GB2312" w:eastAsia="仿宋_GB2312" w:cs="仿宋_GB2312"/>
          <w:i w:val="0"/>
          <w:iCs w:val="0"/>
          <w:caps w:val="0"/>
          <w:color w:val="333333"/>
          <w:spacing w:val="0"/>
          <w:sz w:val="32"/>
          <w:szCs w:val="32"/>
          <w:bdr w:val="none" w:color="auto" w:sz="0" w:space="0"/>
          <w:shd w:val="clear" w:fill="FFFFFF"/>
        </w:rPr>
        <w:t>减税降费政策的规定,厉行节约。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bookmarkStart w:id="51" w:name="_Toc15377223"/>
      <w:r>
        <w:rPr>
          <w:rStyle w:val="7"/>
          <w:rFonts w:hint="eastAsia" w:ascii="仿宋" w:hAnsi="仿宋" w:eastAsia="仿宋" w:cs="仿宋"/>
          <w:i w:val="0"/>
          <w:iCs w:val="0"/>
          <w:caps w:val="0"/>
          <w:color w:val="000000"/>
          <w:spacing w:val="0"/>
          <w:sz w:val="32"/>
          <w:szCs w:val="32"/>
          <w:bdr w:val="none" w:color="auto" w:sz="0" w:space="0"/>
          <w:shd w:val="clear" w:fill="FFFFFF"/>
        </w:rPr>
        <w:t>（二）政府采购支出情况</w:t>
      </w:r>
      <w:bookmarkEnd w:id="51"/>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2019年，仁和区财政局政府采购支出总额42.81万元，其中：政府采购货物支出42.81万元。主要用于办公设备的购置。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bookmarkStart w:id="52" w:name="_Toc15377224"/>
      <w:r>
        <w:rPr>
          <w:rStyle w:val="7"/>
          <w:rFonts w:hint="eastAsia" w:ascii="仿宋" w:hAnsi="仿宋" w:eastAsia="仿宋" w:cs="仿宋"/>
          <w:i w:val="0"/>
          <w:iCs w:val="0"/>
          <w:caps w:val="0"/>
          <w:color w:val="000000"/>
          <w:spacing w:val="0"/>
          <w:sz w:val="32"/>
          <w:szCs w:val="32"/>
          <w:bdr w:val="none" w:color="auto" w:sz="0" w:space="0"/>
          <w:shd w:val="clear" w:fill="FFFFFF"/>
        </w:rPr>
        <w:t>（三）国有资产占有使用情况</w:t>
      </w:r>
      <w:bookmarkEnd w:id="52"/>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截至2019年12月31日，本单位公车改革已全部完成，2019年度无公车。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000000"/>
          <w:spacing w:val="0"/>
          <w:sz w:val="32"/>
          <w:szCs w:val="32"/>
          <w:bdr w:val="none" w:color="auto" w:sz="0" w:space="0"/>
          <w:shd w:val="clear" w:fill="FFFFFF"/>
        </w:rPr>
        <w:t>（四）预算绩效管理情况。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预算绩效管理要求，本部门（单位）在年初预算编制阶段，组织对16个项目开展了预算事前绩效评估，对16个项目编制了绩效目标，预算执行过程中，选取16个项目开展绩效监控，年终执行完毕后，对16个项目开展了绩效目标完成情况自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部门按要求对2019年部门整体支出开展绩效自评，从评价情况来看2019年我单位部门整体支出绩效评价自查自评结果良好，全年基本支出保证了部门的正常运行和日常工作的正常开展，项目支出保障了重点工作的开展，绩效目标得到较好实现，绩效管理水平不断提高，绩效指标体系逐渐丰富和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楷体_GB2312" w:hAnsi="楷体_GB2312" w:eastAsia="楷体_GB2312" w:cs="楷体_GB2312"/>
          <w:i w:val="0"/>
          <w:iCs w:val="0"/>
          <w:caps w:val="0"/>
          <w:color w:val="333333"/>
          <w:spacing w:val="0"/>
          <w:sz w:val="32"/>
          <w:szCs w:val="32"/>
          <w:bdr w:val="none" w:color="auto" w:sz="0" w:space="0"/>
          <w:shd w:val="clear" w:fill="FFFFFF"/>
        </w:rPr>
        <w:t>1.</w:t>
      </w:r>
      <w:r>
        <w:rPr>
          <w:rFonts w:hint="eastAsia" w:ascii="楷体_GB2312" w:hAnsi="楷体_GB2312" w:eastAsia="楷体_GB2312" w:cs="楷体_GB2312"/>
          <w:i w:val="0"/>
          <w:iCs w:val="0"/>
          <w:caps w:val="0"/>
          <w:color w:val="333333"/>
          <w:spacing w:val="0"/>
          <w:sz w:val="32"/>
          <w:szCs w:val="32"/>
          <w:bdr w:val="none" w:color="auto" w:sz="0" w:space="0"/>
          <w:shd w:val="clear" w:fill="FFFFFF"/>
        </w:rPr>
        <w:t>项目绩效目标完成情况。</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本部门在2019年度部门决算中反映“全区委托代理记账服务费”“全区非税系统软件维护费”“全区财政指标管理软件维护费”“全区内部控制检查聘请第三方机构检查服务费”“2019年部门预算软件1.0网络版购置费”等5个项目绩效目标实际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全区委托代理记账服务费”项目绩效目标完成情况综述。项目全年预算数17.94万元，执行数为17.94万元，完成预算的100%。通过项目实施，完成了23个行政事业单位委托代理记账相关工作，促进了财政预算管理的规范化。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全区非税系统软件维护费”项目绩效目标完成情况综述。项目全年预算数0.35万元，执行数为0.35万元，完成预算的100%。通过项目实施，保证2019年度非税系统软件的正常运行和使用，提高非税管理工作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全区财政指标管理软件维护费”项目绩效目标完成情况综述。项目全年预算数2万元，执行数为2万元，完成预算的100%。通过项目实施，保障2019年度财政指标管理软件的正常运行和使用，规范指标管理，提高指标管理工作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（4）“全区内部控制检查聘请第三方机构检查服务费” 项目绩效目标完成情况综述。项目全年预算数5万元，执行数为5万元，完成预算的100%。通过项目实施，加强全区行政事业单位内部控制建设工作，通过以评促建的方式推进单位内部控制体系建设。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2019年部门预算软件1.0网络版购置费”项目绩效目标完成情况综述。项目全年预算数4.8万元，执行数为4.8万元，完成预算的100%。通过项目实施，保证2019年部门预算编制工作的顺利完成，提升预算编制效率，增强部门预算编制的准确性、科学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tbl>
      <w:tblPr>
        <w:tblpPr w:vertAnchor="text" w:tblpXSpec="left"/>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0"/>
        <w:gridCol w:w="1363"/>
        <w:gridCol w:w="1018"/>
        <w:gridCol w:w="2396"/>
        <w:gridCol w:w="2396"/>
        <w:gridCol w:w="2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9960" w:type="dxa"/>
            <w:gridSpan w:val="6"/>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Style w:val="7"/>
                <w:rFonts w:hint="eastAsia" w:ascii="宋体" w:hAnsi="宋体" w:eastAsia="宋体" w:cs="宋体"/>
                <w:i w:val="0"/>
                <w:iCs w:val="0"/>
                <w:caps w:val="0"/>
                <w:color w:val="000000"/>
                <w:spacing w:val="0"/>
                <w:sz w:val="36"/>
                <w:szCs w:val="36"/>
                <w:bdr w:val="none" w:color="auto" w:sz="0" w:space="0"/>
              </w:rPr>
              <w:t>项目绩效目标完成情况表</w:t>
            </w:r>
            <w:r>
              <w:rPr>
                <w:rFonts w:hint="eastAsia" w:ascii="微软雅黑" w:hAnsi="微软雅黑" w:eastAsia="微软雅黑" w:cs="微软雅黑"/>
                <w:i w:val="0"/>
                <w:iCs w:val="0"/>
                <w:caps w:val="0"/>
                <w:color w:val="333333"/>
                <w:spacing w:val="0"/>
                <w:sz w:val="24"/>
                <w:szCs w:val="24"/>
                <w:bdr w:val="none" w:color="auto" w:sz="0" w:space="0"/>
              </w:rPr>
              <w:br w:type="textWrapping"/>
            </w:r>
            <w:r>
              <w:rPr>
                <w:rFonts w:hint="eastAsia" w:ascii="宋体" w:hAnsi="宋体" w:eastAsia="宋体" w:cs="宋体"/>
                <w:i w:val="0"/>
                <w:iCs w:val="0"/>
                <w:caps w:val="0"/>
                <w:color w:val="000000"/>
                <w:spacing w:val="0"/>
                <w:sz w:val="36"/>
                <w:szCs w:val="36"/>
                <w:bdr w:val="none" w:color="auto" w:sz="0" w:space="0"/>
              </w:rPr>
              <w:t>(2019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77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项目名称</w:t>
            </w:r>
          </w:p>
        </w:tc>
        <w:tc>
          <w:tcPr>
            <w:tcW w:w="7185" w:type="dxa"/>
            <w:gridSpan w:val="3"/>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全区委托代理记账服务费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775" w:type="dxa"/>
            <w:gridSpan w:val="3"/>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预算单位</w:t>
            </w:r>
          </w:p>
        </w:tc>
        <w:tc>
          <w:tcPr>
            <w:tcW w:w="71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预算执行情况(万元)</w:t>
            </w: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17.94</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执行数: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其中-财政拨款:</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17.94</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其中-财政拨款:</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2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其它资金:</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0</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其它资金:</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年度目标完成情况</w:t>
            </w:r>
          </w:p>
        </w:tc>
        <w:tc>
          <w:tcPr>
            <w:tcW w:w="47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预期目标</w:t>
            </w:r>
          </w:p>
        </w:tc>
        <w:tc>
          <w:tcPr>
            <w:tcW w:w="47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8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47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解决人员少、无财务人员的行政事业单位能正常开展财务工作</w:t>
            </w:r>
          </w:p>
        </w:tc>
        <w:tc>
          <w:tcPr>
            <w:tcW w:w="47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完成23个行政事业单位会计日常账务处理及年终决算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restart"/>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绩效指标完成情况</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一级指标</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二级指标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三级指标</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预期指标值(包含数字及文字描述)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项目完成指标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bdr w:val="none" w:color="auto" w:sz="0" w:space="0"/>
              </w:rPr>
              <w:t> </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数量指标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bdr w:val="none" w:color="auto" w:sz="0" w:space="0"/>
              </w:rPr>
              <w:t> </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需代理记账的仁和区行政事业单位</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解决人员少、无财务人员行政事业单位的会计核算</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完成23个行政事业单位的会计核算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质量指标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完成会计日常账务处理及年终决算</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审核原始凭证，填制记账凭证，登记账薄，编制报告（月报、年报），办理年终财务决算等</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已按照相关要求报送财政部门的决算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时效指标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2019年度代理记账</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2019年1-12月</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根据单位需要，随时提供所需数据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成本指标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成本测算</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2019年全年代理记账费用</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每个单位7800元/年，合计17.94万元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效益指标</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社会效益指标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拟达成效</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需代理记账单位能正常开展工作</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解决人员少、无财务人员的行政事业单位能正常开展财务工作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满意度指标</w:t>
            </w:r>
          </w:p>
        </w:tc>
        <w:tc>
          <w:tcPr>
            <w:tcW w:w="102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服务对象满意度指标</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需代理记账单位</w:t>
            </w:r>
          </w:p>
        </w:tc>
        <w:tc>
          <w:tcPr>
            <w:tcW w:w="240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大于98%</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用户满意度达100%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9960" w:type="dxa"/>
            <w:gridSpan w:val="6"/>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Style w:val="7"/>
                <w:rFonts w:hint="eastAsia" w:ascii="宋体" w:hAnsi="宋体" w:eastAsia="宋体" w:cs="宋体"/>
                <w:i w:val="0"/>
                <w:iCs w:val="0"/>
                <w:caps w:val="0"/>
                <w:color w:val="000000"/>
                <w:spacing w:val="0"/>
                <w:sz w:val="36"/>
                <w:szCs w:val="36"/>
                <w:bdr w:val="none" w:color="auto" w:sz="0" w:space="0"/>
              </w:rPr>
              <w:t>项目绩效目标完成情况表</w:t>
            </w:r>
            <w:r>
              <w:rPr>
                <w:rFonts w:hint="eastAsia" w:ascii="微软雅黑" w:hAnsi="微软雅黑" w:eastAsia="微软雅黑" w:cs="微软雅黑"/>
                <w:i w:val="0"/>
                <w:iCs w:val="0"/>
                <w:caps w:val="0"/>
                <w:color w:val="333333"/>
                <w:spacing w:val="0"/>
                <w:sz w:val="24"/>
                <w:szCs w:val="24"/>
                <w:bdr w:val="none" w:color="auto" w:sz="0" w:space="0"/>
              </w:rPr>
              <w:br w:type="textWrapping"/>
            </w:r>
            <w:r>
              <w:rPr>
                <w:rFonts w:hint="eastAsia" w:ascii="宋体" w:hAnsi="宋体" w:eastAsia="宋体" w:cs="宋体"/>
                <w:i w:val="0"/>
                <w:iCs w:val="0"/>
                <w:caps w:val="0"/>
                <w:color w:val="000000"/>
                <w:spacing w:val="0"/>
                <w:sz w:val="36"/>
                <w:szCs w:val="36"/>
                <w:bdr w:val="none" w:color="auto" w:sz="0" w:space="0"/>
              </w:rPr>
              <w:t>(2019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77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项目名称</w:t>
            </w:r>
          </w:p>
        </w:tc>
        <w:tc>
          <w:tcPr>
            <w:tcW w:w="7185" w:type="dxa"/>
            <w:gridSpan w:val="3"/>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全区非税系统软件维护费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775" w:type="dxa"/>
            <w:gridSpan w:val="3"/>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预算单位</w:t>
            </w:r>
          </w:p>
        </w:tc>
        <w:tc>
          <w:tcPr>
            <w:tcW w:w="71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预算执行情况(万元)</w:t>
            </w: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0.35</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执行数: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其中-财政拨款:</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0.35</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其中-财政拨款:</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9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其它资金:</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0</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其它资金:</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年度目标完成情况</w:t>
            </w:r>
          </w:p>
        </w:tc>
        <w:tc>
          <w:tcPr>
            <w:tcW w:w="47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预期目标</w:t>
            </w:r>
          </w:p>
        </w:tc>
        <w:tc>
          <w:tcPr>
            <w:tcW w:w="47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9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47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保证2019年非税管理工作顺利开展</w:t>
            </w:r>
          </w:p>
        </w:tc>
        <w:tc>
          <w:tcPr>
            <w:tcW w:w="47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2019年度非税系统软件的正常运行和使用，提高非税管理工作效率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restart"/>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绩效指标完成情况</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一级指标</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二级指标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三级指标</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预期指标值(包含数字及文字描述)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项目完成指标</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质量指标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非税系统软件使用</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系统正常运行，按照使用需要及时修改调整</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2019年非税管理工作得到顺利开展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成本指标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维护费</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2019年非税系统软件维护费0.35万元</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维护费0.35万元/年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restart"/>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效益指标</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社会效益指标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拟达成效</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保证2019年非税管理工作顺利开展</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提高了非税收入管理及票据领用和核销管理效率、加强账务核算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可持续影响指标</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使用年限</w:t>
            </w:r>
          </w:p>
        </w:tc>
        <w:tc>
          <w:tcPr>
            <w:tcW w:w="240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2019年全年</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非税系统软件使用年限≥1年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满意度指标</w:t>
            </w:r>
          </w:p>
        </w:tc>
        <w:tc>
          <w:tcPr>
            <w:tcW w:w="102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服务对象满意度指标</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软件使用者满意度</w:t>
            </w:r>
          </w:p>
        </w:tc>
        <w:tc>
          <w:tcPr>
            <w:tcW w:w="240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大于98%</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9960" w:type="dxa"/>
            <w:gridSpan w:val="6"/>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Style w:val="7"/>
                <w:rFonts w:hint="eastAsia" w:ascii="宋体" w:hAnsi="宋体" w:eastAsia="宋体" w:cs="宋体"/>
                <w:i w:val="0"/>
                <w:iCs w:val="0"/>
                <w:caps w:val="0"/>
                <w:color w:val="000000"/>
                <w:spacing w:val="0"/>
                <w:sz w:val="36"/>
                <w:szCs w:val="36"/>
                <w:bdr w:val="none" w:color="auto" w:sz="0" w:space="0"/>
              </w:rPr>
              <w:t>项目绩效目标完成情况表</w:t>
            </w:r>
            <w:r>
              <w:rPr>
                <w:rFonts w:hint="eastAsia" w:ascii="微软雅黑" w:hAnsi="微软雅黑" w:eastAsia="微软雅黑" w:cs="微软雅黑"/>
                <w:i w:val="0"/>
                <w:iCs w:val="0"/>
                <w:caps w:val="0"/>
                <w:color w:val="333333"/>
                <w:spacing w:val="0"/>
                <w:sz w:val="24"/>
                <w:szCs w:val="24"/>
                <w:bdr w:val="none" w:color="auto" w:sz="0" w:space="0"/>
              </w:rPr>
              <w:br w:type="textWrapping"/>
            </w:r>
            <w:r>
              <w:rPr>
                <w:rFonts w:hint="eastAsia" w:ascii="宋体" w:hAnsi="宋体" w:eastAsia="宋体" w:cs="宋体"/>
                <w:i w:val="0"/>
                <w:iCs w:val="0"/>
                <w:caps w:val="0"/>
                <w:color w:val="000000"/>
                <w:spacing w:val="0"/>
                <w:sz w:val="36"/>
                <w:szCs w:val="36"/>
                <w:bdr w:val="none" w:color="auto" w:sz="0" w:space="0"/>
              </w:rPr>
              <w:t>(2019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77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项目名称</w:t>
            </w:r>
          </w:p>
        </w:tc>
        <w:tc>
          <w:tcPr>
            <w:tcW w:w="7185" w:type="dxa"/>
            <w:gridSpan w:val="3"/>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全区财政指标管理软件维护费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775" w:type="dxa"/>
            <w:gridSpan w:val="3"/>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预算单位</w:t>
            </w:r>
          </w:p>
        </w:tc>
        <w:tc>
          <w:tcPr>
            <w:tcW w:w="71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预算执行情况(万元)</w:t>
            </w: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执行数: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其中-财政拨款:</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其中-财政拨款:</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2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其它资金:</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0</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其它资金:</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年度目标完成情况</w:t>
            </w:r>
          </w:p>
        </w:tc>
        <w:tc>
          <w:tcPr>
            <w:tcW w:w="47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预期目标</w:t>
            </w:r>
          </w:p>
        </w:tc>
        <w:tc>
          <w:tcPr>
            <w:tcW w:w="47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8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47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保障2019年度财政指标管理软件的正常运行和使用，规范指标管理</w:t>
            </w:r>
          </w:p>
        </w:tc>
        <w:tc>
          <w:tcPr>
            <w:tcW w:w="47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规范财政预算指标登记、分配、下达，提高了指标管理工作效率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restart"/>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绩效指标完成情况</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一级指标</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二级指标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三级指标</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预期指标值(包含数字及文字描述)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项目完成指标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bdr w:val="none" w:color="auto" w:sz="0" w:space="0"/>
              </w:rPr>
              <w:t> </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质量指标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bdr w:val="none" w:color="auto" w:sz="0" w:space="0"/>
              </w:rPr>
              <w:t> </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财政指标管理软件</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系统正常运行，按照使用需要及时修改调整。</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系统正常运行，能按照使用需要及时修改调整。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成本指标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成本测算</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财政指标管理软件2019年服务费</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服务费2万元/年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restart"/>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效益指标</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社会效益指标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拟达成效</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保证指标管理工作顺利完成</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规范财政预算指标登记、分配、下达，提高指标管理工作效率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可持续影响指标</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使用年限</w:t>
            </w:r>
          </w:p>
        </w:tc>
        <w:tc>
          <w:tcPr>
            <w:tcW w:w="240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2019年全年</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财政指标管理软件使用年限≥1年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满意度指标</w:t>
            </w:r>
          </w:p>
        </w:tc>
        <w:tc>
          <w:tcPr>
            <w:tcW w:w="102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服务对象满意度指标</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软件使用者满意度</w:t>
            </w:r>
          </w:p>
        </w:tc>
        <w:tc>
          <w:tcPr>
            <w:tcW w:w="240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大于98%</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用户满意度≥100%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9960" w:type="dxa"/>
            <w:gridSpan w:val="6"/>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Style w:val="7"/>
                <w:rFonts w:hint="eastAsia" w:ascii="宋体" w:hAnsi="宋体" w:eastAsia="宋体" w:cs="宋体"/>
                <w:i w:val="0"/>
                <w:iCs w:val="0"/>
                <w:caps w:val="0"/>
                <w:color w:val="000000"/>
                <w:spacing w:val="0"/>
                <w:sz w:val="36"/>
                <w:szCs w:val="36"/>
                <w:bdr w:val="none" w:color="auto" w:sz="0" w:space="0"/>
              </w:rPr>
              <w:t>项目绩效目标完成情况表</w:t>
            </w:r>
            <w:r>
              <w:rPr>
                <w:rFonts w:hint="eastAsia" w:ascii="微软雅黑" w:hAnsi="微软雅黑" w:eastAsia="微软雅黑" w:cs="微软雅黑"/>
                <w:i w:val="0"/>
                <w:iCs w:val="0"/>
                <w:caps w:val="0"/>
                <w:color w:val="333333"/>
                <w:spacing w:val="0"/>
                <w:sz w:val="24"/>
                <w:szCs w:val="24"/>
                <w:bdr w:val="none" w:color="auto" w:sz="0" w:space="0"/>
              </w:rPr>
              <w:br w:type="textWrapping"/>
            </w:r>
            <w:r>
              <w:rPr>
                <w:rFonts w:hint="eastAsia" w:ascii="宋体" w:hAnsi="宋体" w:eastAsia="宋体" w:cs="宋体"/>
                <w:i w:val="0"/>
                <w:iCs w:val="0"/>
                <w:caps w:val="0"/>
                <w:color w:val="000000"/>
                <w:spacing w:val="0"/>
                <w:sz w:val="36"/>
                <w:szCs w:val="36"/>
                <w:bdr w:val="none" w:color="auto" w:sz="0" w:space="0"/>
              </w:rPr>
              <w:t>(2019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77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项目名称</w:t>
            </w:r>
          </w:p>
        </w:tc>
        <w:tc>
          <w:tcPr>
            <w:tcW w:w="7185" w:type="dxa"/>
            <w:gridSpan w:val="3"/>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全区内部控制检查聘请第三方机构检查服务费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775" w:type="dxa"/>
            <w:gridSpan w:val="3"/>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预算单位</w:t>
            </w:r>
          </w:p>
        </w:tc>
        <w:tc>
          <w:tcPr>
            <w:tcW w:w="71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3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预算执行情况(万元)</w:t>
            </w: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5</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执行数: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其中-财政拨款:</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5</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其中-财政拨款:</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0"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其它资金:</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0</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其它资金:</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年度目标完成情况</w:t>
            </w:r>
          </w:p>
        </w:tc>
        <w:tc>
          <w:tcPr>
            <w:tcW w:w="47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预期目标</w:t>
            </w:r>
          </w:p>
        </w:tc>
        <w:tc>
          <w:tcPr>
            <w:tcW w:w="47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8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47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通过以评促建的方式，推进加强单位内部控制体系建设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bdr w:val="none" w:color="auto" w:sz="0" w:space="0"/>
              </w:rPr>
              <w:t> </w:t>
            </w:r>
          </w:p>
        </w:tc>
        <w:tc>
          <w:tcPr>
            <w:tcW w:w="47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建立了健全科学高效的制约和监督体系，促进单位公共服务效能和内部治理水平提高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restart"/>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绩效指标完成情况</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一级指标</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二级指标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三级指标</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预期指标值(包含数字及文字描述)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项目完成指标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bdr w:val="none" w:color="auto" w:sz="0" w:space="0"/>
              </w:rPr>
              <w:t> </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数量指标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bdr w:val="none" w:color="auto" w:sz="0" w:space="0"/>
              </w:rPr>
              <w:t> </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对单位进行内控检查</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按上级要求的比例抽检行政事业单位</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顺利完成抽检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质量指标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聘请第三方进行检查</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按照相关规定，规范第三方工作，提升抽检的客观性、公正性</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客观公正地完成抽检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时效指标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第三方机构服务时间</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2019年9月至11月</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于11月底全部完成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成本指标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成本测算</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聘请第三方机构服务费</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支付服务费5万元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效益指标</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社会效益指标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拟达成效</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规范行政事业单位内部经济业务活动，强化对内部权力运行的制约，防止内部权力滥用</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建立健全科学高效的制约和监督体系，促进单位公共服务效能和内部治理水平提高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满意度指标</w:t>
            </w:r>
          </w:p>
        </w:tc>
        <w:tc>
          <w:tcPr>
            <w:tcW w:w="102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服务对象满意度指标</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需代理记账单位</w:t>
            </w:r>
          </w:p>
        </w:tc>
        <w:tc>
          <w:tcPr>
            <w:tcW w:w="240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抽样调查满意度达基本满意及以上</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满意度达95%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9960" w:type="dxa"/>
            <w:gridSpan w:val="6"/>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Style w:val="7"/>
                <w:rFonts w:hint="eastAsia" w:ascii="宋体" w:hAnsi="宋体" w:eastAsia="宋体" w:cs="宋体"/>
                <w:i w:val="0"/>
                <w:iCs w:val="0"/>
                <w:caps w:val="0"/>
                <w:color w:val="000000"/>
                <w:spacing w:val="0"/>
                <w:sz w:val="36"/>
                <w:szCs w:val="36"/>
                <w:bdr w:val="none" w:color="auto" w:sz="0" w:space="0"/>
              </w:rPr>
              <w:t>项目绩效目标完成情况表</w:t>
            </w:r>
            <w:r>
              <w:rPr>
                <w:rFonts w:hint="eastAsia" w:ascii="微软雅黑" w:hAnsi="微软雅黑" w:eastAsia="微软雅黑" w:cs="微软雅黑"/>
                <w:i w:val="0"/>
                <w:iCs w:val="0"/>
                <w:caps w:val="0"/>
                <w:color w:val="333333"/>
                <w:spacing w:val="0"/>
                <w:sz w:val="24"/>
                <w:szCs w:val="24"/>
                <w:bdr w:val="none" w:color="auto" w:sz="0" w:space="0"/>
              </w:rPr>
              <w:br w:type="textWrapping"/>
            </w:r>
            <w:r>
              <w:rPr>
                <w:rFonts w:hint="eastAsia" w:ascii="宋体" w:hAnsi="宋体" w:eastAsia="宋体" w:cs="宋体"/>
                <w:i w:val="0"/>
                <w:iCs w:val="0"/>
                <w:caps w:val="0"/>
                <w:color w:val="000000"/>
                <w:spacing w:val="0"/>
                <w:sz w:val="36"/>
                <w:szCs w:val="36"/>
                <w:bdr w:val="none" w:color="auto" w:sz="0" w:space="0"/>
              </w:rPr>
              <w:t>(2019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775"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项目名称</w:t>
            </w:r>
          </w:p>
        </w:tc>
        <w:tc>
          <w:tcPr>
            <w:tcW w:w="7185" w:type="dxa"/>
            <w:gridSpan w:val="3"/>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2019年部门预算软件1.0网络版购置费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775" w:type="dxa"/>
            <w:gridSpan w:val="3"/>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预算单位</w:t>
            </w:r>
          </w:p>
        </w:tc>
        <w:tc>
          <w:tcPr>
            <w:tcW w:w="71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预算执行情况(万元)</w:t>
            </w: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预算数: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4.8</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执行数: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其中-财政拨款:</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4.8</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其中-财政拨款:</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2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23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其它资金:</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0</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其它资金:</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3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年度目标完成情况</w:t>
            </w:r>
          </w:p>
        </w:tc>
        <w:tc>
          <w:tcPr>
            <w:tcW w:w="47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预期目标</w:t>
            </w:r>
          </w:p>
        </w:tc>
        <w:tc>
          <w:tcPr>
            <w:tcW w:w="47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81" w:hRule="atLeast"/>
        </w:trPr>
        <w:tc>
          <w:tcPr>
            <w:tcW w:w="3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478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新购部门预算1.0网络版软件，保证2019年部门预算编制工作的顺利完成</w:t>
            </w:r>
          </w:p>
        </w:tc>
        <w:tc>
          <w:tcPr>
            <w:tcW w:w="4785"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提升了预算编制效率，增强部门预算编制的准确性、科学性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390" w:type="dxa"/>
            <w:vMerge w:val="restart"/>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绩效指标完成情况</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一级指标</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二级指标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三级指标</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预期指标值(包含数字及文字描述)</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项目完成指标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bdr w:val="none" w:color="auto" w:sz="0" w:space="0"/>
              </w:rPr>
              <w:t> </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数量指标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bdr w:val="none" w:color="auto" w:sz="0" w:space="0"/>
              </w:rPr>
              <w:t> </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新购部门预算软件1.0网络版软件</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新购2019年部门预算软件1套</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新购软件1套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质量指标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软件运行</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部门预算软件1.0网络版正常运行</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完成软件基础数据维护、并投入使用。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成本指标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成本测算</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部门预算软件1.0网络版购置费4.8万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支付购置费4.8万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效益指标</w:t>
            </w:r>
          </w:p>
        </w:tc>
        <w:tc>
          <w:tcPr>
            <w:tcW w:w="10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社会效益指标</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拟达成效</w:t>
            </w:r>
          </w:p>
        </w:tc>
        <w:tc>
          <w:tcPr>
            <w:tcW w:w="24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保证全区2019年部门预算编制工作顺利完成</w:t>
            </w:r>
          </w:p>
        </w:tc>
        <w:tc>
          <w:tcPr>
            <w:tcW w:w="23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提升了预算编制效率，增强了部门预算编制的准确性、科学性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90" w:type="dxa"/>
            <w:vMerge w:val="continue"/>
            <w:tcBorders>
              <w:top w:val="nil"/>
              <w:left w:val="single" w:color="000000" w:sz="8" w:space="0"/>
              <w:bottom w:val="single" w:color="auto"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满意度指标</w:t>
            </w:r>
          </w:p>
        </w:tc>
        <w:tc>
          <w:tcPr>
            <w:tcW w:w="102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服务对象满意度指标</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软件使用者满意度</w:t>
            </w:r>
          </w:p>
        </w:tc>
        <w:tc>
          <w:tcPr>
            <w:tcW w:w="2400"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大于100%</w:t>
            </w:r>
          </w:p>
        </w:tc>
        <w:tc>
          <w:tcPr>
            <w:tcW w:w="2385" w:type="dxa"/>
            <w:tcBorders>
              <w:top w:val="nil"/>
              <w:left w:val="nil"/>
              <w:bottom w:val="single" w:color="auto"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满意度≥100%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63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63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63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630" w:right="0" w:firstLine="0"/>
        <w:jc w:val="left"/>
        <w:rPr>
          <w:rFonts w:hint="eastAsia" w:ascii="微软雅黑" w:hAnsi="微软雅黑" w:eastAsia="微软雅黑" w:cs="微软雅黑"/>
          <w:i w:val="0"/>
          <w:iCs w:val="0"/>
          <w:caps w:val="0"/>
          <w:color w:val="333333"/>
          <w:spacing w:val="0"/>
          <w:sz w:val="24"/>
          <w:szCs w:val="24"/>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2.部门绩效评价结果。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本部门按要求对2019年部门整体支出绩效评价情况开展自评，《仁和区财政局2019年部门整体支出绩效评价报告》见附件（附件1）。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60"/>
        <w:jc w:val="center"/>
        <w:rPr>
          <w:rFonts w:hint="eastAsia" w:ascii="微软雅黑" w:hAnsi="微软雅黑" w:eastAsia="微软雅黑" w:cs="微软雅黑"/>
          <w:i w:val="0"/>
          <w:iCs w:val="0"/>
          <w:caps w:val="0"/>
          <w:color w:val="333333"/>
          <w:spacing w:val="0"/>
          <w:sz w:val="24"/>
          <w:szCs w:val="24"/>
        </w:rPr>
      </w:pPr>
      <w:bookmarkStart w:id="53" w:name="_Toc15396613"/>
      <w:bookmarkEnd w:id="53"/>
      <w:bookmarkStart w:id="54" w:name="_Toc15377225"/>
      <w:r>
        <w:rPr>
          <w:rFonts w:hint="eastAsia" w:ascii="黑体" w:hAnsi="宋体" w:eastAsia="黑体" w:cs="黑体"/>
          <w:b w:val="0"/>
          <w:bCs w:val="0"/>
          <w:i w:val="0"/>
          <w:iCs w:val="0"/>
          <w:caps w:val="0"/>
          <w:color w:val="333333"/>
          <w:spacing w:val="0"/>
          <w:sz w:val="44"/>
          <w:szCs w:val="44"/>
          <w:bdr w:val="none" w:color="auto" w:sz="0" w:space="0"/>
          <w:shd w:val="clear" w:fill="FFFFFF"/>
        </w:rPr>
        <w:t>第三部分 </w:t>
      </w:r>
      <w:r>
        <w:rPr>
          <w:rFonts w:hint="eastAsia" w:ascii="黑体" w:hAnsi="宋体" w:eastAsia="黑体" w:cs="黑体"/>
          <w:i w:val="0"/>
          <w:iCs w:val="0"/>
          <w:caps w:val="0"/>
          <w:color w:val="000000"/>
          <w:spacing w:val="0"/>
          <w:sz w:val="44"/>
          <w:szCs w:val="44"/>
          <w:bdr w:val="none" w:color="auto" w:sz="0" w:space="0"/>
          <w:shd w:val="clear" w:fill="FFFFFF"/>
        </w:rPr>
        <w:t>名</w:t>
      </w:r>
      <w:bookmarkEnd w:id="54"/>
      <w:r>
        <w:rPr>
          <w:rFonts w:hint="eastAsia" w:ascii="黑体" w:hAnsi="宋体" w:eastAsia="黑体" w:cs="黑体"/>
          <w:i w:val="0"/>
          <w:iCs w:val="0"/>
          <w:caps w:val="0"/>
          <w:color w:val="333333"/>
          <w:spacing w:val="0"/>
          <w:sz w:val="44"/>
          <w:szCs w:val="44"/>
          <w:bdr w:val="none" w:color="auto" w:sz="0" w:space="0"/>
          <w:shd w:val="clear" w:fill="FFFFFF"/>
        </w:rPr>
        <w:t>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1.财政拨款收入：指单位从同级财政部门取得的财政预算资金。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2.其他收入：指单位取得的除上述收入以外的各项收入。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3.年初结转和结余：指以前年度尚未完成、结转到本年按有关规定继续使用的资金。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4、年末结转和结余：指单位按有关规定结转到下年或以后年度继续使用的资金。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5.一般公共服务（类）财政事务（款）行政运行（项）:指行政单位（包括实行公务员管理的事业单位）的基本支出。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6.一般公共服务（类）财政事务（款）一般行政管理事务（项）: 指行政单位（包括实行公务员管理的事业单位）未单独设置项级科目的其他项目支出。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7、一般公共服务（类）财政事务（款）信息化建设（项）: 指反映财政部门用于信息化建设方面的支出。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8、一般公共服务（类）财政事务（款）财政委托业务支出（项）: 指反映财政委托评审机构进行财政投资评审和委托建设银行等机构代理业务发生的支出。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9、一般公共服务（类）财政事务（款）事业运行（项）: 指反映事业单位的基本支出，不包括行政单位（包括实行公务员管理的事业单位）后勤服务中心、医务室等附属事业单位。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10、一般公共服务（类）财政事务（款）其他财政事务支出（项）:指反映其他财政事务方面的支出。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11、社会保障和就业（类）行政事业单位离退休（款）未归口管理的行政单位离退休（项）:指反映未实行归口管理的行政单位（包括实行公务员管理的事业单位）开支的离退休支出。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12、社会保障和就业（类）行政事业单位离退休（款）机关事业单位基本养老保险缴费支出（项）: 指反映机关事业单位实施养老保险制度由单位缴纳的基本养老保险费支出。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13、卫生健康支出（类）行政事业单位医疗（款）行政单位医疗（项）:指反映财政部门安排的行政单位（包括实行公务员管理的事业单位，下同）基本医疗保险缴费经费，未参加养老保险的行政单位的公费医疗经费，按国家规定享受离休人员、红军老战士待遇人员的医疗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14、卫生健康支出（类）行政事业单位医疗（款）事业单位医疗（项）: 指反映财政部门安排的事业单位基本医疗保险缴费经费，未参加医疗保险的事业单位的公费医疗经费，按国家规定享受离休人员待遇的医疗经费。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15、卫生健康支出（类）行政事业单位医疗（款）公务员医疗补助（项）:指反映财政部门安排的公务员医疗补助经费。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16、农林水支出（类）其他农林水支出（款）其他农林水支出（项）:指反映除化解债务支出以外其他用于农林水方面的支出。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17、住房保障支出（类）住房改革支出（款）住房公积金（项）:指反映行政事业单位按人力资源和社会保障部、财政部规定的基本工资和津贴补贴以及规定比例为职工缴纳的住房公积金。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18.基本支出：指为保障机构正常运转、完成日常工作任务而发生的人员支出和公用支出。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19.项目支出：指在基本支出之外为完成特定行政任务和事业发展目标所发生的支出。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55" w:name="_Toc15377226"/>
      <w:bookmarkEnd w:id="55"/>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44"/>
          <w:szCs w:val="44"/>
          <w:bdr w:val="none" w:color="auto" w:sz="0" w:space="0"/>
          <w:shd w:val="clear" w:fill="FFFFFF"/>
        </w:rPr>
        <w:t>第</w:t>
      </w:r>
      <w:r>
        <w:rPr>
          <w:rFonts w:hint="eastAsia" w:ascii="黑体" w:hAnsi="宋体" w:eastAsia="黑体" w:cs="黑体"/>
          <w:i w:val="0"/>
          <w:iCs w:val="0"/>
          <w:caps w:val="0"/>
          <w:color w:val="333333"/>
          <w:spacing w:val="0"/>
          <w:sz w:val="44"/>
          <w:szCs w:val="44"/>
          <w:bdr w:val="none" w:color="auto" w:sz="0" w:space="0"/>
          <w:shd w:val="clear" w:fill="FFFFFF"/>
        </w:rPr>
        <w:t>四部分 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000000"/>
          <w:spacing w:val="0"/>
          <w:sz w:val="40"/>
          <w:szCs w:val="40"/>
          <w:bdr w:val="none" w:color="auto" w:sz="0" w:space="0"/>
          <w:shd w:val="clear" w:fill="FFFFFF"/>
        </w:rPr>
        <w:t>攀枝花市仁和区财政局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000000"/>
          <w:spacing w:val="0"/>
          <w:sz w:val="40"/>
          <w:szCs w:val="40"/>
          <w:bdr w:val="none" w:color="auto" w:sz="0" w:space="0"/>
          <w:shd w:val="clear" w:fill="FFFFFF"/>
        </w:rPr>
        <w:t>2019年部门整体支出绩效评价报告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255" w:afterAutospacing="0" w:line="580" w:lineRule="atLeast"/>
        <w:ind w:left="0" w:right="0" w:firstLine="675"/>
        <w:jc w:val="left"/>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2"/>
          <w:szCs w:val="32"/>
          <w:bdr w:val="none" w:color="auto" w:sz="0" w:space="0"/>
          <w:shd w:val="clear" w:fill="FFFFFF"/>
        </w:rPr>
        <w:t>（一）财政基本职能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区财政局贯彻落实党中央关于财经工作、国有资产管理工作和金融工作的方针政策和省、市、区委的决策部署，在履行职责过程中坚持和加强党对财政工作的集中统一领导。主要职责是：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拟订全区财税发展战略、规划、政策和改革方案并组织实施。分析预测宏观经济形势，参与制定各项经济政策，提出运用财税政策实施宏观调控和综合平衡社会财力的建议。拟订区与乡(镇)政府、政府与企业的分配政策，完善鼓励公益事业发展的财税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贯彻执行财政、税收、财务、会计管理的法律法规和规章。负责组织起草地方性财政政策、规范性文件和规章制度并组织实施。按照管理权限管理全区税政事项。承办国务院关税税则委员会办公室要求区一级承担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负责管理各项财政收支。编制年度区级预决算草案并组织执行。组织制定经费开支标准、定额，审核批复部门(单位)年度预决算。受区政府委托，向区人大及其常委会报告财政预算、执行和决算等情况。负责政府建立的各类基金、风险金、分险金的监督管理。负责区级预决算公开。负责全面实施预算绩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4、按分工负责政府非税收入管理。负责政府性基金管理，按规定管理行政事业性收费等其他非税收入。管理财政票据。执行彩票管理政策，按规定管理彩票资金。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5、组织制定全区国库管理制度、国库集中收付制度，指导和监督国库业务，开展国库现金管理工作。贯彻执行政府财务报告编制办法并组织实施。监督管理全区政府采购工作。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6、贯彻执行地方政府债务管理制度和政策，制定具体管理办法，编制地方政府债余额限额计划，统一管理政府外债，防范财政风险。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7、牵头编制全区国有资产管理情况报告。根据区政府授权，集中统一履行区级国有金融资本出资人职责。制定区级国有金融资本管理制度。拟订全区行政事业单位国有资产管理制度并组织实施。制定和监督执行统一规定的开支标准和支出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8、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9、负责审核并汇总编制全区社会保险基金预决算草案，会同有关部门拟订有关资金(基金)财务管理制度，承担社会保险基金财政监管工作。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10、负责办理和监督区级财政的经济发展支出、区级政府性投资项目的财政拨款，负责投资评审管理工作，参与拟订区级基建投资有关政策，监督执行基建财务管理制度。负责政府性投资项目竣工决算、结算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11、管理外国政府和国际金融机构贷(赠)款项目的有关业务，参与财经领域的国际交流与合作。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12、负责管理全区会计工作，监督和规范会计行为，组织实施国家统一的会计制度，指导社会审计。依法管理资产评估有关工作。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13、拟定和执行国有资产管理的政策法规、规章制度和管理办法；负责全区行政事业单位国有资产及国有资产经营收益管理工作；组织实施行政事业单位、国有资产及区属企业资产的清产核资和绩效评价工作；组织实施区级行政事业单位及企业国有产权界定、企业国有资产产权界定和转让工作，监缴国有资产收益；负责国有资产及区属国有企业资产的统计、分析；指导和监督行政事业单位、区属国有企业资产的产权界定、清查登记等工作；指导和监督办理执行《企业财务通则》和相关财务会计制度，参与拟定企业国有资产管理相关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14、负责联系协调全区金融机构，推动地方政府与金融机构合作交流，防控金融风险、深化金融改革。负责全区小额贷款公司、融资担保公司、典当行、融资租赁公司等监管；维护地方金融秩序，牵头会同有关部门防范、化解和处置地方金融风险；牵头处置非法集资、协调配合有关部门打击其他非法金融活动；推进全区金融知识宣传普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15、负责职责范围内的安全生产和职业健康、生态环境保护、审批服务便民化等工作。按省、市要求，指导推进相对集中行政许可权改革。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16、完成区委、区政府交办的其他任务</w:t>
      </w:r>
      <w:r>
        <w:rPr>
          <w:rFonts w:hint="eastAsia" w:ascii="仿宋_GB2312" w:hAnsi="仿宋_GB2312" w:eastAsia="仿宋_GB2312" w:cs="仿宋_GB2312"/>
          <w:i w:val="0"/>
          <w:iCs w:val="0"/>
          <w:caps w:val="0"/>
          <w:color w:val="000000"/>
          <w:spacing w:val="2"/>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2"/>
          <w:szCs w:val="32"/>
          <w:bdr w:val="none" w:color="auto" w:sz="0" w:space="0"/>
          <w:shd w:val="clear" w:fill="FFFFFF"/>
        </w:rPr>
        <w:t>（二）基本情况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财政局下属支付中心、财监局、评审中心、世行贷款办四个二级部门；设局办公室、预算股、国库股、经济建设股、政策法规.国有资产与会计股、行政事业股、涉农资金管理股、金融与政府债务管理股、财政监督与绩效管理股等9个内部机构，派驻纪检组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2、截止2019年底，我单位编制人数54人，实有在职财政供养人员54人（含派驻纪检组2人、编内聘用1人）；退休人员26人。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3、我单位截止2019年底资产合计583.5万元，其中：流动资产346.13万元，非流动资产237.37万元。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二、部门财政资金收支情况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2"/>
          <w:szCs w:val="32"/>
          <w:bdr w:val="none" w:color="auto" w:sz="0" w:space="0"/>
          <w:shd w:val="clear" w:fill="FFFFFF"/>
        </w:rPr>
        <w:t>（一）部门财政资金收入情况。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2019年本部门财政拨款收入决算总额为1860.8万元，其中：一般公共预算财政拨款为1748.8万元；政府性基金预算财政拨款为112万元。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2"/>
          <w:szCs w:val="32"/>
          <w:bdr w:val="none" w:color="auto" w:sz="0" w:space="0"/>
          <w:shd w:val="clear" w:fill="FFFFFF"/>
        </w:rPr>
        <w:t>（二）部门财政资金支出情况。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2019年本部门财政拨款支出决算总额1701.97万元。其中按功能分类，一般公共服务支出1368.21万元、社会保障和就业支出89.12万元、卫生健康支出39.35万元、城乡社区支出112万元，农林水支出9.46万元、住房保障支出83.83万元；按支出性质分类，基本支出961.28万元，项目支出740.69万元；按经济分类，工资福利支出853.45万元，商品服务支出753.47万元，个人及家庭补助支出22.22万元，其他资本性支出72.83万</w:t>
      </w:r>
      <w:bookmarkStart w:id="56" w:name="_GoBack"/>
      <w:bookmarkEnd w:id="56"/>
      <w:r>
        <w:rPr>
          <w:rFonts w:hint="eastAsia" w:ascii="仿宋_GB2312" w:hAnsi="仿宋_GB2312" w:eastAsia="仿宋_GB2312" w:cs="仿宋_GB2312"/>
          <w:i w:val="0"/>
          <w:iCs w:val="0"/>
          <w:caps w:val="0"/>
          <w:color w:val="333333"/>
          <w:spacing w:val="0"/>
          <w:sz w:val="32"/>
          <w:szCs w:val="32"/>
          <w:bdr w:val="none" w:color="auto" w:sz="0" w:space="0"/>
          <w:shd w:val="clear"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三、部门财政支出管理情况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2"/>
          <w:szCs w:val="32"/>
          <w:bdr w:val="none" w:color="auto" w:sz="0" w:space="0"/>
          <w:shd w:val="clear" w:fill="FFFFFF"/>
        </w:rPr>
        <w:t>（一）预算编制情况。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预算绩效管理的要求，本单位在年初预算编制阶段，对16个项目编制了绩效目标，预算金额630.87万元。分别是：1、财政票据工本费21.69万元，2、用友财务软件升级费用65万元，3、非税系统软件维护费0.35万元，4、财政电子票据改革系统购置及维护费用135.17万元，5、部门预算软件购置4.8万元， 6、金财网网络租赁费12.18万元，7、财政指标管理系统维护2万元，8、资产管理系统维护8万元，9、网络及信息化设备运行及维护4.6万元，10、财政支出绩效管理费用24万元，11、政府投资项目评审及项目结算审核费用300万元，12、用友财务软件运行维护费23.84万元，13、政府融资平台和政府中长期支出事项检测平台维护费2.5万元，14、内控检查聘请第三方机构服务费5万元，15、委托代理记账服务费17.94万元，16、对外援助干部人才补助津贴3.8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2"/>
          <w:szCs w:val="32"/>
          <w:bdr w:val="none" w:color="auto" w:sz="0" w:space="0"/>
          <w:shd w:val="clear" w:fill="FFFFFF"/>
        </w:rPr>
        <w:t>（二）执行管理情况。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在2019年的预算执行中，根据实际情况对8个项目进行预算调减，调整金额128.83万元；1个项目调增1.4万元；5个项目按照年初预算执行完成，还有2个项目在次年年初执行完成。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2"/>
          <w:szCs w:val="32"/>
          <w:bdr w:val="none" w:color="auto" w:sz="0" w:space="0"/>
          <w:shd w:val="clear" w:fill="FFFFFF"/>
        </w:rPr>
        <w:t>（三）支出绩效情况。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绩效目标在执行中有9个项目与年初预算编制发生了偏差。分别是：1、全区财政支出绩效预算管理经费预算金额为24万元，实际执行数为9.18万元；2、全区金财网网络租赁费年初预算为12.18万元，执行金额为9.94万元；3、仁和区财务软件用友A++系统软件升级年初预算为65万元，执行金额64.2万元支付。4、地方政府融资平台债务和政府中长期支出事项监测平台维护费年初预算为2.5万元，执行金额为0.24万元；5、对外援助干部人才补助津贴年初预算为3.8万元，执行金额为3.37万元；6、2019年财政票据工本费年初预算为21.69万元，执行金额为21.28万元； 7、全区财政电子票据管理改革系统软件购置及维护费项目年初预算为135.17万元，执行金额为28.3万元；8、全区政事业单位资产管理信息系统软件运行维护经费年初预算为8万元，执行金额为7万元；9、网络及信息化设备运行维护费年初预算为4.6万元，执行金额为6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四、评价结论及建议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2"/>
          <w:szCs w:val="32"/>
          <w:bdr w:val="none" w:color="auto" w:sz="0" w:space="0"/>
          <w:shd w:val="clear" w:fill="FFFFFF"/>
        </w:rPr>
        <w:t>（一）评价结论。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我单位按要求对2019年部门预算整体绩效评价进行自评，自评分为95分，从评价情况看,2019 年我单位部门整体支出绩效评价自查自评结果良好，全年基本支出保证了部门的正常运行和日常工作的正常开展，项目支出保障了重点工作的开展，绩效目标得到较好实现，绩效管理水平不断提高，绩效指标体系逐渐丰富和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2"/>
          <w:szCs w:val="32"/>
          <w:bdr w:val="none" w:color="auto" w:sz="0" w:space="0"/>
          <w:shd w:val="clear" w:fill="FFFFFF"/>
        </w:rPr>
        <w:t>（二）存在问题。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绩效目标预算执行与年初预算编制有一定偏差。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Style w:val="7"/>
          <w:rFonts w:hint="eastAsia" w:ascii="楷体" w:hAnsi="楷体" w:eastAsia="楷体" w:cs="楷体"/>
          <w:i w:val="0"/>
          <w:iCs w:val="0"/>
          <w:caps w:val="0"/>
          <w:color w:val="333333"/>
          <w:spacing w:val="0"/>
          <w:sz w:val="32"/>
          <w:szCs w:val="32"/>
          <w:bdr w:val="none" w:color="auto" w:sz="0" w:space="0"/>
          <w:shd w:val="clear" w:fill="FFFFFF"/>
        </w:rPr>
        <w:t>（三）改进措施。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72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针对存在的问题，科学设定绩效目标，加强预算执行管理是关键。一是进一步规范部门收支预算编制程序，提高预算编制质量；二是加强项目绩效的目标审核，力求科学合理。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57" w:name="_Toc15396618"/>
      <w:r>
        <w:rPr>
          <w:rFonts w:hint="eastAsia" w:ascii="黑体" w:hAnsi="宋体" w:eastAsia="黑体" w:cs="黑体"/>
          <w:i w:val="0"/>
          <w:iCs w:val="0"/>
          <w:caps w:val="0"/>
          <w:color w:val="000000"/>
          <w:spacing w:val="0"/>
          <w:sz w:val="44"/>
          <w:szCs w:val="44"/>
          <w:bdr w:val="none" w:color="auto" w:sz="0" w:space="0"/>
          <w:shd w:val="clear" w:fill="FFFFFF"/>
        </w:rPr>
        <w:t>第</w:t>
      </w:r>
      <w:bookmarkEnd w:id="57"/>
      <w:r>
        <w:rPr>
          <w:rFonts w:hint="eastAsia" w:ascii="黑体" w:hAnsi="宋体" w:eastAsia="黑体" w:cs="黑体"/>
          <w:i w:val="0"/>
          <w:iCs w:val="0"/>
          <w:caps w:val="0"/>
          <w:color w:val="333333"/>
          <w:spacing w:val="0"/>
          <w:sz w:val="44"/>
          <w:szCs w:val="44"/>
          <w:bdr w:val="none" w:color="auto" w:sz="0" w:space="0"/>
          <w:shd w:val="clear" w:fill="FFFFFF"/>
        </w:rPr>
        <w:t>五部分 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58" w:name="_Toc15396619"/>
      <w:r>
        <w:rPr>
          <w:rFonts w:hint="eastAsia" w:ascii="仿宋" w:hAnsi="仿宋" w:eastAsia="仿宋" w:cs="仿宋"/>
          <w:b w:val="0"/>
          <w:bCs w:val="0"/>
          <w:i w:val="0"/>
          <w:iCs w:val="0"/>
          <w:caps w:val="0"/>
          <w:color w:val="000000"/>
          <w:spacing w:val="0"/>
          <w:sz w:val="36"/>
          <w:szCs w:val="36"/>
          <w:bdr w:val="none" w:color="auto" w:sz="0" w:space="0"/>
          <w:shd w:val="clear" w:fill="FFFFFF"/>
        </w:rPr>
        <w:t>一、收</w:t>
      </w:r>
      <w:bookmarkEnd w:id="58"/>
      <w:r>
        <w:rPr>
          <w:rFonts w:hint="eastAsia" w:ascii="仿宋" w:hAnsi="仿宋" w:eastAsia="仿宋" w:cs="仿宋"/>
          <w:b w:val="0"/>
          <w:bCs w:val="0"/>
          <w:i w:val="0"/>
          <w:iCs w:val="0"/>
          <w:caps w:val="0"/>
          <w:color w:val="333333"/>
          <w:spacing w:val="0"/>
          <w:sz w:val="36"/>
          <w:szCs w:val="36"/>
          <w:bdr w:val="none" w:color="auto" w:sz="0" w:space="0"/>
          <w:shd w:val="clear" w:fill="FFFFFF"/>
        </w:rPr>
        <w:t>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59" w:name="_Toc15396620"/>
      <w:r>
        <w:rPr>
          <w:rFonts w:hint="eastAsia" w:ascii="仿宋" w:hAnsi="仿宋" w:eastAsia="仿宋" w:cs="仿宋"/>
          <w:b w:val="0"/>
          <w:bCs w:val="0"/>
          <w:i w:val="0"/>
          <w:iCs w:val="0"/>
          <w:caps w:val="0"/>
          <w:color w:val="000000"/>
          <w:spacing w:val="0"/>
          <w:sz w:val="36"/>
          <w:szCs w:val="36"/>
          <w:bdr w:val="none" w:color="auto" w:sz="0" w:space="0"/>
          <w:shd w:val="clear" w:fill="FFFFFF"/>
        </w:rPr>
        <w:t>二、收</w:t>
      </w:r>
      <w:bookmarkEnd w:id="59"/>
      <w:r>
        <w:rPr>
          <w:rFonts w:hint="eastAsia" w:ascii="仿宋" w:hAnsi="仿宋" w:eastAsia="仿宋" w:cs="仿宋"/>
          <w:b w:val="0"/>
          <w:bCs w:val="0"/>
          <w:i w:val="0"/>
          <w:iCs w:val="0"/>
          <w:caps w:val="0"/>
          <w:color w:val="333333"/>
          <w:spacing w:val="0"/>
          <w:sz w:val="36"/>
          <w:szCs w:val="36"/>
          <w:bdr w:val="none" w:color="auto" w:sz="0" w:space="0"/>
          <w:shd w:val="clear" w:fill="FFFFFF"/>
        </w:rPr>
        <w:t>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60" w:name="_Toc15396621"/>
      <w:r>
        <w:rPr>
          <w:rFonts w:hint="eastAsia" w:ascii="仿宋" w:hAnsi="仿宋" w:eastAsia="仿宋" w:cs="仿宋"/>
          <w:b w:val="0"/>
          <w:bCs w:val="0"/>
          <w:i w:val="0"/>
          <w:iCs w:val="0"/>
          <w:caps w:val="0"/>
          <w:color w:val="333333"/>
          <w:spacing w:val="0"/>
          <w:sz w:val="36"/>
          <w:szCs w:val="36"/>
          <w:bdr w:val="none" w:color="auto" w:sz="0" w:space="0"/>
          <w:shd w:val="clear" w:fill="FFFFFF"/>
        </w:rPr>
        <w:t>三、</w:t>
      </w:r>
      <w:bookmarkEnd w:id="60"/>
      <w:r>
        <w:rPr>
          <w:rFonts w:hint="eastAsia" w:ascii="仿宋" w:hAnsi="仿宋" w:eastAsia="仿宋" w:cs="仿宋"/>
          <w:b w:val="0"/>
          <w:bCs w:val="0"/>
          <w:i w:val="0"/>
          <w:iCs w:val="0"/>
          <w:caps w:val="0"/>
          <w:color w:val="000000"/>
          <w:spacing w:val="0"/>
          <w:sz w:val="36"/>
          <w:szCs w:val="36"/>
          <w:bdr w:val="none" w:color="auto" w:sz="0" w:space="0"/>
          <w:shd w:val="clear" w:fill="FFFFFF"/>
        </w:rPr>
        <w:t>支</w:t>
      </w:r>
      <w:r>
        <w:rPr>
          <w:rFonts w:hint="eastAsia" w:ascii="仿宋" w:hAnsi="仿宋" w:eastAsia="仿宋" w:cs="仿宋"/>
          <w:b w:val="0"/>
          <w:bCs w:val="0"/>
          <w:i w:val="0"/>
          <w:iCs w:val="0"/>
          <w:caps w:val="0"/>
          <w:color w:val="333333"/>
          <w:spacing w:val="0"/>
          <w:sz w:val="36"/>
          <w:szCs w:val="36"/>
          <w:bdr w:val="none" w:color="auto" w:sz="0" w:space="0"/>
          <w:shd w:val="clear" w:fill="FFFFFF"/>
        </w:rPr>
        <w:t>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61" w:name="_Toc15396622"/>
      <w:r>
        <w:rPr>
          <w:rFonts w:hint="eastAsia" w:ascii="仿宋" w:hAnsi="仿宋" w:eastAsia="仿宋" w:cs="仿宋"/>
          <w:b w:val="0"/>
          <w:bCs w:val="0"/>
          <w:i w:val="0"/>
          <w:iCs w:val="0"/>
          <w:caps w:val="0"/>
          <w:color w:val="333333"/>
          <w:spacing w:val="0"/>
          <w:sz w:val="36"/>
          <w:szCs w:val="36"/>
          <w:bdr w:val="none" w:color="auto" w:sz="0" w:space="0"/>
          <w:shd w:val="clear" w:fill="FFFFFF"/>
        </w:rPr>
        <w:t>四、</w:t>
      </w:r>
      <w:bookmarkEnd w:id="61"/>
      <w:r>
        <w:rPr>
          <w:rFonts w:hint="eastAsia" w:ascii="仿宋" w:hAnsi="仿宋" w:eastAsia="仿宋" w:cs="仿宋"/>
          <w:b w:val="0"/>
          <w:bCs w:val="0"/>
          <w:i w:val="0"/>
          <w:iCs w:val="0"/>
          <w:caps w:val="0"/>
          <w:color w:val="000000"/>
          <w:spacing w:val="0"/>
          <w:sz w:val="36"/>
          <w:szCs w:val="36"/>
          <w:bdr w:val="none" w:color="auto" w:sz="0" w:space="0"/>
          <w:shd w:val="clear" w:fill="FFFFFF"/>
        </w:rPr>
        <w:t>财</w:t>
      </w:r>
      <w:r>
        <w:rPr>
          <w:rFonts w:hint="eastAsia" w:ascii="仿宋" w:hAnsi="仿宋" w:eastAsia="仿宋" w:cs="仿宋"/>
          <w:b w:val="0"/>
          <w:bCs w:val="0"/>
          <w:i w:val="0"/>
          <w:iCs w:val="0"/>
          <w:caps w:val="0"/>
          <w:color w:val="333333"/>
          <w:spacing w:val="0"/>
          <w:sz w:val="36"/>
          <w:szCs w:val="36"/>
          <w:bdr w:val="none" w:color="auto" w:sz="0" w:space="0"/>
          <w:shd w:val="clear" w:fill="FFFFFF"/>
        </w:rPr>
        <w:t>政拨款收入支出决算总表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62" w:name="_Toc15396623"/>
      <w:r>
        <w:rPr>
          <w:rFonts w:hint="eastAsia" w:ascii="仿宋" w:hAnsi="仿宋" w:eastAsia="仿宋" w:cs="仿宋"/>
          <w:b w:val="0"/>
          <w:bCs w:val="0"/>
          <w:i w:val="0"/>
          <w:iCs w:val="0"/>
          <w:caps w:val="0"/>
          <w:color w:val="333333"/>
          <w:spacing w:val="0"/>
          <w:sz w:val="36"/>
          <w:szCs w:val="36"/>
          <w:bdr w:val="none" w:color="auto" w:sz="0" w:space="0"/>
          <w:shd w:val="clear" w:fill="FFFFFF"/>
        </w:rPr>
        <w:t>五、</w:t>
      </w:r>
      <w:bookmarkEnd w:id="62"/>
      <w:r>
        <w:rPr>
          <w:rFonts w:hint="eastAsia" w:ascii="仿宋" w:hAnsi="仿宋" w:eastAsia="仿宋" w:cs="仿宋"/>
          <w:b w:val="0"/>
          <w:bCs w:val="0"/>
          <w:i w:val="0"/>
          <w:iCs w:val="0"/>
          <w:caps w:val="0"/>
          <w:color w:val="000000"/>
          <w:spacing w:val="0"/>
          <w:sz w:val="36"/>
          <w:szCs w:val="36"/>
          <w:bdr w:val="none" w:color="auto" w:sz="0" w:space="0"/>
          <w:shd w:val="clear" w:fill="FFFFFF"/>
        </w:rPr>
        <w:t>财</w:t>
      </w:r>
      <w:r>
        <w:rPr>
          <w:rFonts w:hint="eastAsia" w:ascii="仿宋" w:hAnsi="仿宋" w:eastAsia="仿宋" w:cs="仿宋"/>
          <w:b w:val="0"/>
          <w:bCs w:val="0"/>
          <w:i w:val="0"/>
          <w:iCs w:val="0"/>
          <w:caps w:val="0"/>
          <w:color w:val="333333"/>
          <w:spacing w:val="0"/>
          <w:sz w:val="36"/>
          <w:szCs w:val="36"/>
          <w:bdr w:val="none" w:color="auto" w:sz="0" w:space="0"/>
          <w:shd w:val="clear" w:fill="FFFFFF"/>
        </w:rPr>
        <w:t>政拨款支出决算明细表</w:t>
      </w:r>
      <w:bookmarkStart w:id="63" w:name="_Toc15396624"/>
      <w:bookmarkEnd w:id="63"/>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r>
        <w:rPr>
          <w:rFonts w:hint="eastAsia" w:ascii="仿宋" w:hAnsi="仿宋" w:eastAsia="仿宋" w:cs="仿宋"/>
          <w:b w:val="0"/>
          <w:bCs w:val="0"/>
          <w:i w:val="0"/>
          <w:iCs w:val="0"/>
          <w:caps w:val="0"/>
          <w:color w:val="333333"/>
          <w:spacing w:val="0"/>
          <w:sz w:val="36"/>
          <w:szCs w:val="36"/>
          <w:bdr w:val="none" w:color="auto" w:sz="0" w:space="0"/>
          <w:shd w:val="clear" w:fill="FFFFFF"/>
        </w:rPr>
        <w:t>六、</w:t>
      </w:r>
      <w:r>
        <w:rPr>
          <w:rFonts w:hint="eastAsia" w:ascii="仿宋" w:hAnsi="仿宋" w:eastAsia="仿宋" w:cs="仿宋"/>
          <w:b w:val="0"/>
          <w:bCs w:val="0"/>
          <w:i w:val="0"/>
          <w:iCs w:val="0"/>
          <w:caps w:val="0"/>
          <w:color w:val="000000"/>
          <w:spacing w:val="0"/>
          <w:sz w:val="36"/>
          <w:szCs w:val="36"/>
          <w:bdr w:val="none" w:color="auto" w:sz="0" w:space="0"/>
          <w:shd w:val="clear" w:fill="FFFFFF"/>
        </w:rPr>
        <w:t>一</w:t>
      </w:r>
      <w:r>
        <w:rPr>
          <w:rFonts w:hint="eastAsia" w:ascii="仿宋" w:hAnsi="仿宋" w:eastAsia="仿宋" w:cs="仿宋"/>
          <w:b w:val="0"/>
          <w:bCs w:val="0"/>
          <w:i w:val="0"/>
          <w:iCs w:val="0"/>
          <w:caps w:val="0"/>
          <w:color w:val="333333"/>
          <w:spacing w:val="0"/>
          <w:sz w:val="36"/>
          <w:szCs w:val="36"/>
          <w:bdr w:val="none" w:color="auto" w:sz="0" w:space="0"/>
          <w:shd w:val="clear" w:fill="FFFFFF"/>
        </w:rPr>
        <w:t>般公共预算财政拨款支出决算表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64" w:name="_Toc15396625"/>
      <w:r>
        <w:rPr>
          <w:rFonts w:hint="eastAsia" w:ascii="仿宋" w:hAnsi="仿宋" w:eastAsia="仿宋" w:cs="仿宋"/>
          <w:b w:val="0"/>
          <w:bCs w:val="0"/>
          <w:i w:val="0"/>
          <w:iCs w:val="0"/>
          <w:caps w:val="0"/>
          <w:color w:val="333333"/>
          <w:spacing w:val="0"/>
          <w:sz w:val="36"/>
          <w:szCs w:val="36"/>
          <w:bdr w:val="none" w:color="auto" w:sz="0" w:space="0"/>
          <w:shd w:val="clear" w:fill="FFFFFF"/>
        </w:rPr>
        <w:t>七、</w:t>
      </w:r>
      <w:bookmarkEnd w:id="64"/>
      <w:r>
        <w:rPr>
          <w:rFonts w:hint="eastAsia" w:ascii="仿宋" w:hAnsi="仿宋" w:eastAsia="仿宋" w:cs="仿宋"/>
          <w:b w:val="0"/>
          <w:bCs w:val="0"/>
          <w:i w:val="0"/>
          <w:iCs w:val="0"/>
          <w:caps w:val="0"/>
          <w:color w:val="000000"/>
          <w:spacing w:val="0"/>
          <w:sz w:val="36"/>
          <w:szCs w:val="36"/>
          <w:bdr w:val="none" w:color="auto" w:sz="0" w:space="0"/>
          <w:shd w:val="clear" w:fill="FFFFFF"/>
        </w:rPr>
        <w:t>一</w:t>
      </w:r>
      <w:r>
        <w:rPr>
          <w:rFonts w:hint="eastAsia" w:ascii="仿宋" w:hAnsi="仿宋" w:eastAsia="仿宋" w:cs="仿宋"/>
          <w:b w:val="0"/>
          <w:bCs w:val="0"/>
          <w:i w:val="0"/>
          <w:iCs w:val="0"/>
          <w:caps w:val="0"/>
          <w:color w:val="333333"/>
          <w:spacing w:val="0"/>
          <w:sz w:val="36"/>
          <w:szCs w:val="36"/>
          <w:bdr w:val="none" w:color="auto" w:sz="0" w:space="0"/>
          <w:shd w:val="clear" w:fill="FFFFFF"/>
        </w:rPr>
        <w:t>般公共预算财政拨款支出决算明细表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65" w:name="_Toc15396626"/>
      <w:r>
        <w:rPr>
          <w:rFonts w:hint="eastAsia" w:ascii="仿宋" w:hAnsi="仿宋" w:eastAsia="仿宋" w:cs="仿宋"/>
          <w:b w:val="0"/>
          <w:bCs w:val="0"/>
          <w:i w:val="0"/>
          <w:iCs w:val="0"/>
          <w:caps w:val="0"/>
          <w:color w:val="333333"/>
          <w:spacing w:val="0"/>
          <w:sz w:val="36"/>
          <w:szCs w:val="36"/>
          <w:bdr w:val="none" w:color="auto" w:sz="0" w:space="0"/>
          <w:shd w:val="clear" w:fill="FFFFFF"/>
        </w:rPr>
        <w:t>八、</w:t>
      </w:r>
      <w:bookmarkEnd w:id="65"/>
      <w:r>
        <w:rPr>
          <w:rFonts w:hint="eastAsia" w:ascii="仿宋" w:hAnsi="仿宋" w:eastAsia="仿宋" w:cs="仿宋"/>
          <w:b w:val="0"/>
          <w:bCs w:val="0"/>
          <w:i w:val="0"/>
          <w:iCs w:val="0"/>
          <w:caps w:val="0"/>
          <w:color w:val="000000"/>
          <w:spacing w:val="0"/>
          <w:sz w:val="36"/>
          <w:szCs w:val="36"/>
          <w:bdr w:val="none" w:color="auto" w:sz="0" w:space="0"/>
          <w:shd w:val="clear" w:fill="FFFFFF"/>
        </w:rPr>
        <w:t>一</w:t>
      </w:r>
      <w:r>
        <w:rPr>
          <w:rFonts w:hint="eastAsia" w:ascii="仿宋" w:hAnsi="仿宋" w:eastAsia="仿宋" w:cs="仿宋"/>
          <w:b w:val="0"/>
          <w:bCs w:val="0"/>
          <w:i w:val="0"/>
          <w:iCs w:val="0"/>
          <w:caps w:val="0"/>
          <w:color w:val="333333"/>
          <w:spacing w:val="0"/>
          <w:sz w:val="36"/>
          <w:szCs w:val="36"/>
          <w:bdr w:val="none" w:color="auto" w:sz="0" w:space="0"/>
          <w:shd w:val="clear" w:fill="FFFFFF"/>
        </w:rPr>
        <w:t>般公共预算财政拨款基本支出决算表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66" w:name="_Toc15396627"/>
      <w:r>
        <w:rPr>
          <w:rFonts w:hint="eastAsia" w:ascii="仿宋" w:hAnsi="仿宋" w:eastAsia="仿宋" w:cs="仿宋"/>
          <w:b w:val="0"/>
          <w:bCs w:val="0"/>
          <w:i w:val="0"/>
          <w:iCs w:val="0"/>
          <w:caps w:val="0"/>
          <w:color w:val="333333"/>
          <w:spacing w:val="0"/>
          <w:sz w:val="36"/>
          <w:szCs w:val="36"/>
          <w:bdr w:val="none" w:color="auto" w:sz="0" w:space="0"/>
          <w:shd w:val="clear" w:fill="FFFFFF"/>
        </w:rPr>
        <w:t>九、</w:t>
      </w:r>
      <w:bookmarkEnd w:id="66"/>
      <w:r>
        <w:rPr>
          <w:rFonts w:hint="eastAsia" w:ascii="仿宋" w:hAnsi="仿宋" w:eastAsia="仿宋" w:cs="仿宋"/>
          <w:b w:val="0"/>
          <w:bCs w:val="0"/>
          <w:i w:val="0"/>
          <w:iCs w:val="0"/>
          <w:caps w:val="0"/>
          <w:color w:val="000000"/>
          <w:spacing w:val="0"/>
          <w:sz w:val="36"/>
          <w:szCs w:val="36"/>
          <w:bdr w:val="none" w:color="auto" w:sz="0" w:space="0"/>
          <w:shd w:val="clear" w:fill="FFFFFF"/>
        </w:rPr>
        <w:t>一</w:t>
      </w:r>
      <w:r>
        <w:rPr>
          <w:rFonts w:hint="eastAsia" w:ascii="仿宋" w:hAnsi="仿宋" w:eastAsia="仿宋" w:cs="仿宋"/>
          <w:b w:val="0"/>
          <w:bCs w:val="0"/>
          <w:i w:val="0"/>
          <w:iCs w:val="0"/>
          <w:caps w:val="0"/>
          <w:color w:val="333333"/>
          <w:spacing w:val="0"/>
          <w:sz w:val="36"/>
          <w:szCs w:val="36"/>
          <w:bdr w:val="none" w:color="auto" w:sz="0" w:space="0"/>
          <w:shd w:val="clear" w:fill="FFFFFF"/>
        </w:rPr>
        <w:t>般公共预算财政拨款项目支出决算表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67" w:name="_Toc15396628"/>
      <w:r>
        <w:rPr>
          <w:rFonts w:hint="eastAsia" w:ascii="仿宋" w:hAnsi="仿宋" w:eastAsia="仿宋" w:cs="仿宋"/>
          <w:b w:val="0"/>
          <w:bCs w:val="0"/>
          <w:i w:val="0"/>
          <w:iCs w:val="0"/>
          <w:caps w:val="0"/>
          <w:color w:val="333333"/>
          <w:spacing w:val="0"/>
          <w:sz w:val="36"/>
          <w:szCs w:val="36"/>
          <w:bdr w:val="none" w:color="auto" w:sz="0" w:space="0"/>
          <w:shd w:val="clear" w:fill="FFFFFF"/>
        </w:rPr>
        <w:t>十、</w:t>
      </w:r>
      <w:bookmarkEnd w:id="67"/>
      <w:r>
        <w:rPr>
          <w:rFonts w:hint="eastAsia" w:ascii="仿宋" w:hAnsi="仿宋" w:eastAsia="仿宋" w:cs="仿宋"/>
          <w:b w:val="0"/>
          <w:bCs w:val="0"/>
          <w:i w:val="0"/>
          <w:iCs w:val="0"/>
          <w:caps w:val="0"/>
          <w:color w:val="000000"/>
          <w:spacing w:val="0"/>
          <w:sz w:val="36"/>
          <w:szCs w:val="36"/>
          <w:bdr w:val="none" w:color="auto" w:sz="0" w:space="0"/>
          <w:shd w:val="clear" w:fill="FFFFFF"/>
        </w:rPr>
        <w:t>一</w:t>
      </w:r>
      <w:r>
        <w:rPr>
          <w:rFonts w:hint="eastAsia" w:ascii="仿宋" w:hAnsi="仿宋" w:eastAsia="仿宋" w:cs="仿宋"/>
          <w:b w:val="0"/>
          <w:bCs w:val="0"/>
          <w:i w:val="0"/>
          <w:iCs w:val="0"/>
          <w:caps w:val="0"/>
          <w:color w:val="333333"/>
          <w:spacing w:val="0"/>
          <w:sz w:val="36"/>
          <w:szCs w:val="36"/>
          <w:bdr w:val="none" w:color="auto" w:sz="0" w:space="0"/>
          <w:shd w:val="clear" w:fill="FFFFFF"/>
        </w:rPr>
        <w:t>般公共预算财政拨款“三公”经费支出决算表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68" w:name="_Toc15396629"/>
      <w:r>
        <w:rPr>
          <w:rFonts w:hint="eastAsia" w:ascii="仿宋" w:hAnsi="仿宋" w:eastAsia="仿宋" w:cs="仿宋"/>
          <w:b w:val="0"/>
          <w:bCs w:val="0"/>
          <w:i w:val="0"/>
          <w:iCs w:val="0"/>
          <w:caps w:val="0"/>
          <w:color w:val="333333"/>
          <w:spacing w:val="0"/>
          <w:sz w:val="36"/>
          <w:szCs w:val="36"/>
          <w:bdr w:val="none" w:color="auto" w:sz="0" w:space="0"/>
          <w:shd w:val="clear" w:fill="FFFFFF"/>
        </w:rPr>
        <w:t>十一、</w:t>
      </w:r>
      <w:bookmarkEnd w:id="68"/>
      <w:r>
        <w:rPr>
          <w:rFonts w:hint="eastAsia" w:ascii="仿宋" w:hAnsi="仿宋" w:eastAsia="仿宋" w:cs="仿宋"/>
          <w:b w:val="0"/>
          <w:bCs w:val="0"/>
          <w:i w:val="0"/>
          <w:iCs w:val="0"/>
          <w:caps w:val="0"/>
          <w:color w:val="000000"/>
          <w:spacing w:val="0"/>
          <w:sz w:val="36"/>
          <w:szCs w:val="36"/>
          <w:bdr w:val="none" w:color="auto" w:sz="0" w:space="0"/>
          <w:shd w:val="clear" w:fill="FFFFFF"/>
        </w:rPr>
        <w:t>政</w:t>
      </w:r>
      <w:r>
        <w:rPr>
          <w:rFonts w:hint="eastAsia" w:ascii="仿宋" w:hAnsi="仿宋" w:eastAsia="仿宋" w:cs="仿宋"/>
          <w:b w:val="0"/>
          <w:bCs w:val="0"/>
          <w:i w:val="0"/>
          <w:iCs w:val="0"/>
          <w:caps w:val="0"/>
          <w:color w:val="333333"/>
          <w:spacing w:val="0"/>
          <w:sz w:val="36"/>
          <w:szCs w:val="36"/>
          <w:bdr w:val="none" w:color="auto" w:sz="0" w:space="0"/>
          <w:shd w:val="clear" w:fill="FFFFFF"/>
        </w:rPr>
        <w:t>府性基金预算财政拨款收入支出决算表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69" w:name="_Toc15396630"/>
      <w:r>
        <w:rPr>
          <w:rFonts w:hint="eastAsia" w:ascii="仿宋" w:hAnsi="仿宋" w:eastAsia="仿宋" w:cs="仿宋"/>
          <w:b w:val="0"/>
          <w:bCs w:val="0"/>
          <w:i w:val="0"/>
          <w:iCs w:val="0"/>
          <w:caps w:val="0"/>
          <w:color w:val="333333"/>
          <w:spacing w:val="0"/>
          <w:sz w:val="36"/>
          <w:szCs w:val="36"/>
          <w:bdr w:val="none" w:color="auto" w:sz="0" w:space="0"/>
          <w:shd w:val="clear" w:fill="FFFFFF"/>
        </w:rPr>
        <w:t>十二、</w:t>
      </w:r>
      <w:bookmarkEnd w:id="69"/>
      <w:r>
        <w:rPr>
          <w:rFonts w:hint="eastAsia" w:ascii="仿宋" w:hAnsi="仿宋" w:eastAsia="仿宋" w:cs="仿宋"/>
          <w:b w:val="0"/>
          <w:bCs w:val="0"/>
          <w:i w:val="0"/>
          <w:iCs w:val="0"/>
          <w:caps w:val="0"/>
          <w:color w:val="000000"/>
          <w:spacing w:val="0"/>
          <w:sz w:val="36"/>
          <w:szCs w:val="36"/>
          <w:bdr w:val="none" w:color="auto" w:sz="0" w:space="0"/>
          <w:shd w:val="clear" w:fill="FFFFFF"/>
        </w:rPr>
        <w:t>政</w:t>
      </w:r>
      <w:r>
        <w:rPr>
          <w:rFonts w:hint="eastAsia" w:ascii="仿宋" w:hAnsi="仿宋" w:eastAsia="仿宋" w:cs="仿宋"/>
          <w:b w:val="0"/>
          <w:bCs w:val="0"/>
          <w:i w:val="0"/>
          <w:iCs w:val="0"/>
          <w:caps w:val="0"/>
          <w:color w:val="333333"/>
          <w:spacing w:val="0"/>
          <w:sz w:val="36"/>
          <w:szCs w:val="36"/>
          <w:bdr w:val="none" w:color="auto" w:sz="0" w:space="0"/>
          <w:shd w:val="clear" w:fill="FFFFFF"/>
        </w:rPr>
        <w:t>府性基金预算财政拨款“三公”经费支出决算表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val="0"/>
          <w:bCs w:val="0"/>
          <w:i w:val="0"/>
          <w:iCs w:val="0"/>
          <w:caps w:val="0"/>
          <w:color w:val="333333"/>
          <w:spacing w:val="0"/>
          <w:sz w:val="36"/>
          <w:szCs w:val="36"/>
        </w:rPr>
      </w:pPr>
      <w:bookmarkStart w:id="70" w:name="_Toc15396631"/>
      <w:r>
        <w:rPr>
          <w:rFonts w:hint="eastAsia" w:ascii="仿宋" w:hAnsi="仿宋" w:eastAsia="仿宋" w:cs="仿宋"/>
          <w:b w:val="0"/>
          <w:bCs w:val="0"/>
          <w:i w:val="0"/>
          <w:iCs w:val="0"/>
          <w:caps w:val="0"/>
          <w:color w:val="333333"/>
          <w:spacing w:val="0"/>
          <w:sz w:val="36"/>
          <w:szCs w:val="36"/>
          <w:bdr w:val="none" w:color="auto" w:sz="0" w:space="0"/>
          <w:shd w:val="clear" w:fill="FFFFFF"/>
        </w:rPr>
        <w:t>十三、</w:t>
      </w:r>
      <w:bookmarkEnd w:id="70"/>
      <w:r>
        <w:rPr>
          <w:rFonts w:hint="eastAsia" w:ascii="仿宋" w:hAnsi="仿宋" w:eastAsia="仿宋" w:cs="仿宋"/>
          <w:b w:val="0"/>
          <w:bCs w:val="0"/>
          <w:i w:val="0"/>
          <w:iCs w:val="0"/>
          <w:caps w:val="0"/>
          <w:color w:val="000000"/>
          <w:spacing w:val="0"/>
          <w:sz w:val="36"/>
          <w:szCs w:val="36"/>
          <w:bdr w:val="none" w:color="auto" w:sz="0" w:space="0"/>
          <w:shd w:val="clear" w:fill="FFFFFF"/>
        </w:rPr>
        <w:t>国</w:t>
      </w:r>
      <w:r>
        <w:rPr>
          <w:rFonts w:hint="eastAsia" w:ascii="仿宋" w:hAnsi="仿宋" w:eastAsia="仿宋" w:cs="仿宋"/>
          <w:b w:val="0"/>
          <w:bCs w:val="0"/>
          <w:i w:val="0"/>
          <w:iCs w:val="0"/>
          <w:caps w:val="0"/>
          <w:color w:val="333333"/>
          <w:spacing w:val="0"/>
          <w:sz w:val="36"/>
          <w:szCs w:val="36"/>
          <w:bdr w:val="none" w:color="auto" w:sz="0" w:space="0"/>
          <w:shd w:val="clear" w:fill="FFFFFF"/>
        </w:rPr>
        <w:t>有资本经营预算支出决算表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bookmarkStart w:id="71" w:name="_GoBack"/>
      <w:bookmarkEnd w:id="7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CF307"/>
    <w:multiLevelType w:val="multilevel"/>
    <w:tmpl w:val="807CF30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81F3D19E"/>
    <w:multiLevelType w:val="multilevel"/>
    <w:tmpl w:val="81F3D19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82602385"/>
    <w:multiLevelType w:val="multilevel"/>
    <w:tmpl w:val="8260238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8951860D"/>
    <w:multiLevelType w:val="multilevel"/>
    <w:tmpl w:val="895186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8F8935B4"/>
    <w:multiLevelType w:val="multilevel"/>
    <w:tmpl w:val="8F8935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30E980E4"/>
    <w:multiLevelType w:val="multilevel"/>
    <w:tmpl w:val="30E980E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4A88E011"/>
    <w:multiLevelType w:val="multilevel"/>
    <w:tmpl w:val="4A88E0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05BAC"/>
    <w:rsid w:val="3980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2023-10-09T08:20:00Z</dcterms:created>
  <dc:creator>admin</dc:creator>
  <cp:lastModifiedBy>admin</cp:lastModifiedBy>
  <dcterms:modified xsi:type="dcterms:W3CDTF">2023-10-09T08:28:31Z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18A4831DC1524716A1E76B018A1368CF</vt:lpwstr>
  </property>
</Properties>
</file>