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uto"/>
        <w:contextualSpacing/>
        <w:textAlignment w:val="auto"/>
        <w:rPr>
          <w:rFonts w:eastAsia="宋体"/>
          <w:b/>
          <w:sz w:val="44"/>
          <w:szCs w:val="44"/>
          <w:shd w:val="clear" w:color="auto" w:fill="FFFFFF"/>
        </w:rPr>
      </w:pPr>
    </w:p>
    <w:p>
      <w:pPr>
        <w:keepNext w:val="0"/>
        <w:keepLines w:val="0"/>
        <w:pageBreakBefore w:val="0"/>
        <w:widowControl/>
        <w:kinsoku/>
        <w:wordWrap/>
        <w:overflowPunct/>
        <w:topLinePunct w:val="0"/>
        <w:autoSpaceDE/>
        <w:autoSpaceDN/>
        <w:bidi w:val="0"/>
        <w:spacing w:line="240" w:lineRule="auto"/>
        <w:contextualSpacing/>
        <w:jc w:val="both"/>
        <w:textAlignment w:val="auto"/>
        <w:rPr>
          <w:rFonts w:hint="eastAsia" w:ascii="方正小标宋_GBK" w:hAnsi="方正小标宋_GBK" w:eastAsia="方正小标宋_GBK" w:cs="方正小标宋_GBK"/>
          <w:szCs w:val="32"/>
          <w:shd w:val="clear" w:color="auto" w:fill="FFFFFF"/>
        </w:rPr>
      </w:pPr>
      <w:r>
        <w:rPr>
          <w:rFonts w:hint="eastAsia" w:ascii="方正小标宋_GBK" w:hAnsi="方正小标宋_GBK" w:eastAsia="方正小标宋_GBK" w:cs="方正小标宋_GBK"/>
          <w:b/>
          <w:sz w:val="44"/>
          <w:szCs w:val="44"/>
          <w:shd w:val="clear" w:color="auto" w:fill="FFFFFF"/>
          <w:lang w:val="en-US" w:eastAsia="zh-CN"/>
        </w:rPr>
        <w:t>攀枝花市仁和区中坝乡卫生院</w:t>
      </w:r>
      <w:r>
        <w:rPr>
          <w:rFonts w:hint="eastAsia" w:ascii="方正小标宋_GBK" w:hAnsi="方正小标宋_GBK" w:eastAsia="方正小标宋_GBK" w:cs="方正小标宋_GBK"/>
          <w:b/>
          <w:sz w:val="44"/>
          <w:szCs w:val="44"/>
          <w:shd w:val="clear" w:color="auto" w:fill="FFFFFF"/>
        </w:rPr>
        <w:t>2023年部门整体支出绩效评价报告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contextualSpacing/>
        <w:jc w:val="left"/>
        <w:textAlignment w:val="auto"/>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rPr>
        <w:t>一、</w:t>
      </w:r>
      <w:r>
        <w:rPr>
          <w:rFonts w:hint="eastAsia" w:ascii="仿宋_GB2312" w:hAnsi="仿宋_GB2312" w:eastAsia="仿宋_GB2312" w:cs="仿宋_GB2312"/>
          <w:b/>
          <w:bCs/>
          <w:color w:val="000000"/>
          <w:kern w:val="0"/>
          <w:sz w:val="32"/>
          <w:szCs w:val="32"/>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中坝乡卫生院</w:t>
      </w: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w:t>
      </w:r>
      <w:r>
        <w:rPr>
          <w:rFonts w:hint="eastAsia" w:ascii="仿宋_GB2312" w:hAnsi="仿宋_GB2312" w:eastAsia="仿宋_GB2312" w:cs="仿宋_GB2312"/>
          <w:sz w:val="32"/>
          <w:szCs w:val="32"/>
        </w:rPr>
        <w:t xml:space="preserve">妇幼保健站）下设7个内设机构。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办公室。负责党务、监督检查、财务、行政、人事、宣传、信息、精神文明、档案、信访维稳、安全生 产、后勤保障等工作。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全科医疗科。负责卫生院范围内的基础医疗工 作，开展门诊、住院、会诊、出诊和急诊急救等工作。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公共卫生科。负责预防接种、母婴保健、计划生育、重大传染病防治等国家基本公共卫生服务相关工作。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中医科。负责中医诊断、治疗，开展针灸、拔 罐、刮痧、推拿等中医适宜技术。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药剂科。负责药品调剂，药械采购、储存验收维护和医保结算等工作。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医技科。负责院内超声、心电、临床影像、医疗检验等工作。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护理部。负责临床护理工作及院内感染控制等工作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中坝乡卫生院</w:t>
      </w: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w:t>
      </w:r>
      <w:r>
        <w:rPr>
          <w:rFonts w:hint="eastAsia" w:ascii="仿宋_GB2312" w:hAnsi="仿宋_GB2312" w:eastAsia="仿宋_GB2312" w:cs="仿宋_GB2312"/>
          <w:sz w:val="32"/>
          <w:szCs w:val="32"/>
        </w:rPr>
        <w:t>妇幼保健站）实行党组织领导下的院长负责制，院党支部发挥把方向、管大局、作决策、促改革、保落实的领导作用，决定本单位重大问题，支持院长依法依规独立 负责地行使职权。院长一般作为法定代表人，在院党支部领导下，全面负责医院医疗、教学、科研、行政管理工作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中坝乡卫生院</w:t>
      </w: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w:t>
      </w:r>
      <w:r>
        <w:rPr>
          <w:rFonts w:hint="eastAsia" w:ascii="仿宋_GB2312" w:hAnsi="仿宋_GB2312" w:eastAsia="仿宋_GB2312" w:cs="仿宋_GB2312"/>
          <w:sz w:val="32"/>
          <w:szCs w:val="32"/>
        </w:rPr>
        <w:t xml:space="preserve">妇幼保健站）贯彻落实党中央和省市区委关于卫生健康工作的方针政策和决策部署。主要职责是：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基本医疗服务：负责辖区一般常见病、多发病、 地方病的基本医疗服务；现场救护和转诊服务；慢性病管 理服务；母婴保健技术服务等。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 者管理、结核病患者管理、中医药健康管理、传染病和突发公共卫生事件报告和处理、卫生计生监督协管等基本公共卫生服务。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综合管理服务：协助政府制定和组织实施辖区内卫生健康事业发展规划；管理、指导村卫生室业务工作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并对乡村医生开展相关技能培训；开展医保政策法规宣传咨询，配合做好即时补偿结算等工作。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完成攀枝花市仁和区卫生健康局交办的其他工作任务</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中坝乡卫生院</w:t>
      </w: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w:t>
      </w:r>
      <w:r>
        <w:rPr>
          <w:rFonts w:hint="eastAsia" w:ascii="仿宋_GB2312" w:hAnsi="仿宋_GB2312" w:eastAsia="仿宋_GB2312" w:cs="仿宋_GB2312"/>
          <w:sz w:val="32"/>
          <w:szCs w:val="32"/>
        </w:rPr>
        <w:t>妇幼保健站）</w:t>
      </w:r>
      <w:r>
        <w:rPr>
          <w:rFonts w:hint="eastAsia" w:ascii="仿宋_GB2312" w:hAnsi="仿宋_GB2312" w:cs="仿宋_GB2312"/>
          <w:sz w:val="32"/>
          <w:szCs w:val="32"/>
          <w:lang w:eastAsia="zh-CN"/>
        </w:rPr>
        <w:t>核定</w:t>
      </w:r>
      <w:r>
        <w:rPr>
          <w:rFonts w:hint="eastAsia" w:ascii="仿宋_GB2312" w:hAnsi="仿宋_GB2312" w:eastAsia="仿宋_GB2312" w:cs="仿宋_GB2312"/>
          <w:sz w:val="32"/>
          <w:szCs w:val="32"/>
        </w:rPr>
        <w:t>事业编制</w:t>
      </w:r>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rPr>
        <w:t>名，领导职数3名，其中：党支部书记、院长1名，党支部副书记、副院长1名，副院长1名</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截止</w:t>
      </w:r>
      <w:r>
        <w:rPr>
          <w:rFonts w:hint="eastAsia" w:ascii="仿宋_GB2312" w:hAnsi="仿宋_GB2312" w:cs="仿宋_GB2312"/>
          <w:sz w:val="32"/>
          <w:szCs w:val="32"/>
          <w:lang w:val="en-US" w:eastAsia="zh-CN"/>
        </w:rPr>
        <w:t>2022年12月31日，在职员工共20人，其中在编人员13人，招聘人员6人，特别岗位服务人员1人。</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eastAsia="仿宋_GB2312" w:cs="仿宋_GB2312"/>
          <w:b/>
          <w:bCs/>
          <w:color w:val="auto"/>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contextualSpacing/>
        <w:jc w:val="left"/>
        <w:textAlignment w:val="auto"/>
        <w:outlineLvl w:val="9"/>
        <w:rPr>
          <w:rFonts w:hint="eastAsia" w:ascii="仿宋_GB2312" w:hAnsi="仿宋_GB2312" w:eastAsia="仿宋_GB2312" w:cs="仿宋_GB2312"/>
          <w:color w:val="FF0000"/>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eastAsia="zh-CN"/>
        </w:rPr>
        <w:t>攀枝花市仁和区中坝乡卫生院（攀枝花市仁和区中坝乡妇幼保健站）</w:t>
      </w:r>
      <w:r>
        <w:rPr>
          <w:rFonts w:hint="eastAsia" w:ascii="仿宋_GB2312" w:hAnsi="仿宋_GB2312" w:eastAsia="仿宋_GB2312" w:cs="仿宋_GB2312"/>
          <w:sz w:val="32"/>
          <w:szCs w:val="32"/>
          <w:lang w:val="en-US" w:eastAsia="zh-CN"/>
        </w:rPr>
        <w:t>2022年财政资金预算总收入</w:t>
      </w:r>
      <w:r>
        <w:rPr>
          <w:rFonts w:hint="eastAsia" w:ascii="仿宋_GB2312" w:hAnsi="仿宋_GB2312" w:cs="仿宋_GB2312"/>
          <w:sz w:val="32"/>
          <w:szCs w:val="32"/>
          <w:lang w:val="en-US" w:eastAsia="zh-CN"/>
        </w:rPr>
        <w:t>226.13</w:t>
      </w:r>
      <w:r>
        <w:rPr>
          <w:rFonts w:hint="eastAsia" w:ascii="仿宋_GB2312" w:hAnsi="仿宋_GB2312" w:eastAsia="仿宋_GB2312" w:cs="仿宋_GB2312"/>
          <w:sz w:val="32"/>
          <w:szCs w:val="32"/>
          <w:lang w:val="en-US" w:eastAsia="zh-CN"/>
        </w:rPr>
        <w:t>万元，其中，基本收入</w:t>
      </w:r>
      <w:r>
        <w:rPr>
          <w:rFonts w:hint="eastAsia" w:ascii="仿宋_GB2312" w:hAnsi="仿宋_GB2312" w:cs="仿宋_GB2312"/>
          <w:sz w:val="32"/>
          <w:szCs w:val="32"/>
          <w:lang w:val="en-US" w:eastAsia="zh-CN"/>
        </w:rPr>
        <w:t>226.13</w:t>
      </w:r>
      <w:r>
        <w:rPr>
          <w:rFonts w:hint="eastAsia" w:ascii="仿宋_GB2312" w:hAnsi="仿宋_GB2312" w:eastAsia="仿宋_GB2312" w:cs="仿宋_GB2312"/>
          <w:sz w:val="32"/>
          <w:szCs w:val="32"/>
          <w:lang w:val="en-US" w:eastAsia="zh-CN"/>
        </w:rPr>
        <w:t>万元。2022年决算收入</w:t>
      </w:r>
      <w:r>
        <w:rPr>
          <w:rFonts w:hint="eastAsia" w:ascii="仿宋_GB2312" w:hAnsi="仿宋_GB2312" w:cs="仿宋_GB2312"/>
          <w:sz w:val="32"/>
          <w:szCs w:val="32"/>
          <w:lang w:val="en-US" w:eastAsia="zh-CN"/>
        </w:rPr>
        <w:t>269.17</w:t>
      </w:r>
      <w:r>
        <w:rPr>
          <w:rFonts w:hint="eastAsia" w:ascii="仿宋_GB2312" w:hAnsi="仿宋_GB2312" w:eastAsia="仿宋_GB2312" w:cs="仿宋_GB2312"/>
          <w:sz w:val="32"/>
          <w:szCs w:val="32"/>
          <w:lang w:val="en-US" w:eastAsia="zh-CN"/>
        </w:rPr>
        <w:t>万元，其中一般公共预算财政拨款收入</w:t>
      </w:r>
      <w:r>
        <w:rPr>
          <w:rFonts w:hint="eastAsia" w:ascii="仿宋_GB2312" w:hAnsi="仿宋_GB2312" w:cs="仿宋_GB2312"/>
          <w:sz w:val="32"/>
          <w:szCs w:val="32"/>
          <w:lang w:val="en-US" w:eastAsia="zh-CN"/>
        </w:rPr>
        <w:t>269.02</w:t>
      </w:r>
      <w:r>
        <w:rPr>
          <w:rFonts w:hint="eastAsia" w:ascii="仿宋_GB2312" w:hAnsi="仿宋_GB2312" w:eastAsia="仿宋_GB2312" w:cs="仿宋_GB2312"/>
          <w:sz w:val="32"/>
          <w:szCs w:val="32"/>
          <w:lang w:val="en-US" w:eastAsia="zh-CN"/>
        </w:rPr>
        <w:t>万元，政府性基金预算财政拨款收入</w:t>
      </w:r>
      <w:r>
        <w:rPr>
          <w:rFonts w:hint="eastAsia" w:ascii="仿宋_GB2312" w:hAnsi="仿宋_GB2312" w:cs="仿宋_GB2312"/>
          <w:sz w:val="32"/>
          <w:szCs w:val="32"/>
          <w:lang w:val="en-US" w:eastAsia="zh-CN"/>
        </w:rPr>
        <w:t>0.15</w:t>
      </w:r>
      <w:r>
        <w:rPr>
          <w:rFonts w:hint="eastAsia" w:ascii="仿宋_GB2312" w:hAnsi="仿宋_GB2312" w:eastAsia="仿宋_GB2312" w:cs="仿宋_GB2312"/>
          <w:sz w:val="32"/>
          <w:szCs w:val="32"/>
          <w:lang w:val="en-US" w:eastAsia="zh-CN"/>
        </w:rPr>
        <w:t>万元</w:t>
      </w:r>
    </w:p>
    <w:p>
      <w:pPr>
        <w:keepNext w:val="0"/>
        <w:keepLines w:val="0"/>
        <w:pageBreakBefore w:val="0"/>
        <w:widowControl/>
        <w:numPr>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cs="仿宋_GB2312"/>
          <w:b/>
          <w:bCs/>
          <w:color w:val="auto"/>
          <w:kern w:val="0"/>
          <w:sz w:val="32"/>
          <w:szCs w:val="32"/>
          <w:shd w:val="clear" w:color="auto" w:fill="FFFFFF"/>
          <w:lang w:val="zh-CN" w:eastAsia="zh-CN"/>
        </w:rPr>
        <w:t>（二）</w:t>
      </w:r>
      <w:r>
        <w:rPr>
          <w:rFonts w:hint="eastAsia" w:ascii="仿宋_GB2312" w:hAnsi="仿宋_GB2312" w:eastAsia="仿宋_GB2312" w:cs="仿宋_GB2312"/>
          <w:b/>
          <w:bCs/>
          <w:color w:val="auto"/>
          <w:kern w:val="0"/>
          <w:sz w:val="32"/>
          <w:szCs w:val="32"/>
          <w:shd w:val="clear" w:color="auto" w:fill="FFFFFF"/>
          <w:lang w:val="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contextualSpacing/>
        <w:jc w:val="left"/>
        <w:textAlignment w:val="auto"/>
        <w:outlineLvl w:val="9"/>
        <w:rPr>
          <w:rFonts w:hint="eastAsia" w:ascii="仿宋_GB2312" w:hAnsi="仿宋_GB2312" w:eastAsia="仿宋_GB2312" w:cs="仿宋_GB2312"/>
          <w:color w:val="FF0000"/>
          <w:kern w:val="0"/>
          <w:sz w:val="32"/>
          <w:szCs w:val="32"/>
          <w:shd w:val="clear" w:color="auto" w:fill="FFFFFF"/>
          <w:lang w:val="zh-CN"/>
        </w:rPr>
      </w:pPr>
      <w:r>
        <w:rPr>
          <w:rFonts w:hint="eastAsia" w:ascii="仿宋_GB2312" w:hAnsi="仿宋_GB2312" w:cs="仿宋_GB2312"/>
          <w:sz w:val="32"/>
          <w:szCs w:val="32"/>
          <w:lang w:eastAsia="zh-CN"/>
        </w:rPr>
        <w:t>攀枝花市仁和区中坝乡卫生院（攀枝花市仁和区中坝乡妇幼保健站）</w:t>
      </w:r>
      <w:r>
        <w:rPr>
          <w:rFonts w:hint="eastAsia" w:ascii="仿宋_GB2312" w:hAnsi="仿宋_GB2312" w:eastAsia="仿宋_GB2312" w:cs="仿宋_GB2312"/>
          <w:sz w:val="32"/>
          <w:szCs w:val="32"/>
          <w:lang w:val="en-US" w:eastAsia="zh-CN"/>
        </w:rPr>
        <w:t>2022年财政资金总支出</w:t>
      </w:r>
      <w:r>
        <w:rPr>
          <w:rFonts w:hint="eastAsia" w:ascii="仿宋_GB2312" w:hAnsi="仿宋_GB2312" w:cs="仿宋_GB2312"/>
          <w:sz w:val="32"/>
          <w:szCs w:val="32"/>
          <w:lang w:val="en-US" w:eastAsia="zh-CN"/>
        </w:rPr>
        <w:t>269.17</w:t>
      </w:r>
      <w:r>
        <w:rPr>
          <w:rFonts w:hint="eastAsia" w:ascii="仿宋_GB2312" w:hAnsi="仿宋_GB2312" w:eastAsia="仿宋_GB2312" w:cs="仿宋_GB2312"/>
          <w:sz w:val="32"/>
          <w:szCs w:val="32"/>
          <w:lang w:val="en-US" w:eastAsia="zh-CN"/>
        </w:rPr>
        <w:t>万元，其中，人员经费支出</w:t>
      </w:r>
      <w:r>
        <w:rPr>
          <w:rFonts w:hint="eastAsia" w:ascii="仿宋_GB2312" w:hAnsi="仿宋_GB2312" w:cs="仿宋_GB2312"/>
          <w:color w:val="auto"/>
          <w:sz w:val="32"/>
          <w:szCs w:val="32"/>
          <w:lang w:val="en-US" w:eastAsia="zh-CN"/>
        </w:rPr>
        <w:t>149.76</w:t>
      </w:r>
      <w:r>
        <w:rPr>
          <w:rFonts w:hint="eastAsia" w:ascii="仿宋_GB2312" w:hAnsi="仿宋_GB2312" w:eastAsia="仿宋_GB2312" w:cs="仿宋_GB2312"/>
          <w:sz w:val="32"/>
          <w:szCs w:val="32"/>
          <w:lang w:val="en-US" w:eastAsia="zh-CN"/>
        </w:rPr>
        <w:t>万元，部门预算项目支出</w:t>
      </w:r>
      <w:r>
        <w:rPr>
          <w:rFonts w:hint="eastAsia" w:ascii="仿宋_GB2312" w:hAnsi="仿宋_GB2312" w:cs="仿宋_GB2312"/>
          <w:sz w:val="32"/>
          <w:szCs w:val="32"/>
          <w:lang w:val="en-US" w:eastAsia="zh-CN"/>
        </w:rPr>
        <w:t>37.98</w:t>
      </w:r>
      <w:r>
        <w:rPr>
          <w:rFonts w:hint="eastAsia" w:ascii="仿宋_GB2312" w:hAnsi="仿宋_GB2312" w:eastAsia="仿宋_GB2312" w:cs="仿宋_GB2312"/>
          <w:sz w:val="32"/>
          <w:szCs w:val="32"/>
          <w:lang w:val="en-US" w:eastAsia="zh-CN"/>
        </w:rPr>
        <w:t>万元，专项项目支出</w:t>
      </w:r>
      <w:r>
        <w:rPr>
          <w:rFonts w:hint="eastAsia" w:ascii="仿宋_GB2312" w:hAnsi="仿宋_GB2312" w:cs="仿宋_GB2312"/>
          <w:sz w:val="32"/>
          <w:szCs w:val="32"/>
          <w:lang w:val="en-US" w:eastAsia="zh-CN"/>
        </w:rPr>
        <w:t>81.43</w:t>
      </w:r>
      <w:r>
        <w:rPr>
          <w:rFonts w:hint="eastAsia" w:ascii="仿宋_GB2312" w:hAnsi="仿宋_GB2312" w:eastAsia="仿宋_GB2312" w:cs="仿宋_GB2312"/>
          <w:sz w:val="32"/>
          <w:szCs w:val="32"/>
          <w:lang w:val="en-US" w:eastAsia="zh-CN"/>
        </w:rPr>
        <w:t>万元。</w:t>
      </w:r>
    </w:p>
    <w:p>
      <w:pPr>
        <w:keepNext w:val="0"/>
        <w:keepLines w:val="0"/>
        <w:pageBreakBefore w:val="0"/>
        <w:widowControl/>
        <w:numPr>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cs="仿宋_GB2312"/>
          <w:b/>
          <w:bCs/>
          <w:color w:val="000000"/>
          <w:kern w:val="0"/>
          <w:sz w:val="32"/>
          <w:szCs w:val="32"/>
          <w:shd w:val="clear" w:color="auto" w:fill="FFFFFF"/>
          <w:lang w:eastAsia="zh-CN"/>
        </w:rPr>
        <w:t>三、</w:t>
      </w:r>
      <w:r>
        <w:rPr>
          <w:rFonts w:hint="eastAsia" w:ascii="仿宋_GB2312" w:hAnsi="仿宋_GB2312" w:eastAsia="仿宋_GB2312" w:cs="仿宋_GB2312"/>
          <w:b/>
          <w:bCs/>
          <w:color w:val="000000"/>
          <w:kern w:val="0"/>
          <w:sz w:val="32"/>
          <w:szCs w:val="32"/>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contextualSpacing/>
        <w:jc w:val="left"/>
        <w:textAlignment w:val="auto"/>
        <w:rPr>
          <w:rFonts w:hint="default"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color w:val="000000"/>
          <w:kern w:val="0"/>
          <w:sz w:val="32"/>
          <w:szCs w:val="32"/>
          <w:shd w:val="clear" w:color="auto" w:fill="FFFFFF"/>
          <w:lang w:val="en-US" w:eastAsia="zh-CN"/>
        </w:rPr>
        <w:t xml:space="preserve">   </w:t>
      </w:r>
      <w:bookmarkStart w:id="0" w:name="_GoBack"/>
      <w:r>
        <w:rPr>
          <w:rFonts w:hint="eastAsia" w:ascii="仿宋_GB2312" w:hAnsi="仿宋_GB2312" w:cs="仿宋_GB2312"/>
          <w:b/>
          <w:bCs/>
          <w:color w:val="000000"/>
          <w:kern w:val="0"/>
          <w:sz w:val="32"/>
          <w:szCs w:val="32"/>
          <w:shd w:val="clear" w:color="auto" w:fill="FFFFFF"/>
          <w:lang w:val="en-US" w:eastAsia="zh-CN"/>
        </w:rPr>
        <w:t>（一）目标制定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我单位严格按照规定使用财政拨付资金进行以下工作：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000000"/>
          <w:kern w:val="0"/>
          <w:sz w:val="32"/>
          <w:szCs w:val="32"/>
          <w:shd w:val="clear" w:color="auto" w:fill="FFFFFF"/>
          <w:lang w:val="en-US" w:eastAsia="zh-CN"/>
        </w:rPr>
        <w:t>1.</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辖区一般常见病、多发病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地方病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基本医疗服务</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000000"/>
          <w:kern w:val="0"/>
          <w:sz w:val="32"/>
          <w:szCs w:val="32"/>
          <w:shd w:val="clear" w:color="auto" w:fill="FFFFFF"/>
          <w:lang w:val="en-US" w:eastAsia="zh-CN"/>
        </w:rPr>
        <w:t>2.</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建立城乡居民健康档案，提供健康教育、预防接种、儿童健康管理、孕产妇健康管理、老年人健康管理</w:t>
      </w:r>
      <w:r>
        <w:rPr>
          <w:rFonts w:hint="eastAsia" w:ascii="仿宋_GB2312" w:hAnsi="仿宋_GB2312" w:eastAsia="仿宋_GB2312" w:cs="仿宋_GB2312"/>
          <w:sz w:val="32"/>
          <w:szCs w:val="32"/>
          <w:lang w:eastAsia="zh-CN"/>
        </w:rPr>
        <w:t>等公共卫生服务。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开展乡村医生技能培训、医保政策宣传等综合管理服务。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人员类：完成了对工资、津补贴、绩效、保险、职业年金、住房公积金的支付。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运转类：医疗卫生管理经费完成了对药品、材料、</w:t>
      </w:r>
      <w:r>
        <w:rPr>
          <w:rFonts w:hint="eastAsia" w:ascii="仿宋_GB2312" w:hAnsi="仿宋_GB2312" w:cs="仿宋_GB2312"/>
          <w:sz w:val="32"/>
          <w:szCs w:val="32"/>
          <w:lang w:val="en-US" w:eastAsia="zh-CN"/>
        </w:rPr>
        <w:t>疫苗款、卫生院日常杂支、夜餐补助、年休未休工资</w:t>
      </w:r>
      <w:r>
        <w:rPr>
          <w:rFonts w:hint="eastAsia" w:ascii="仿宋_GB2312" w:hAnsi="仿宋_GB2312" w:eastAsia="仿宋_GB2312" w:cs="仿宋_GB2312"/>
          <w:sz w:val="32"/>
          <w:szCs w:val="32"/>
          <w:lang w:val="en-US" w:eastAsia="zh-CN"/>
        </w:rPr>
        <w:t>等费用的部分支付</w:t>
      </w:r>
      <w:r>
        <w:rPr>
          <w:rFonts w:hint="eastAsia" w:ascii="仿宋_GB2312" w:hAnsi="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支出控制、及时处置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对资金的支出严格按相关规定进行支付、控制，并对工作中支付失败的资金及时进行了重付。</w:t>
      </w:r>
    </w:p>
    <w:p>
      <w:pPr>
        <w:pStyle w:val="3"/>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执行进度</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基药中央资金预算下达数</w:t>
      </w:r>
      <w:r>
        <w:rPr>
          <w:rFonts w:hint="eastAsia" w:ascii="仿宋_GB2312" w:hAnsi="仿宋_GB2312" w:cs="仿宋_GB2312"/>
          <w:sz w:val="32"/>
          <w:szCs w:val="32"/>
          <w:lang w:val="en-US" w:eastAsia="zh-CN"/>
        </w:rPr>
        <w:t>10.2</w:t>
      </w:r>
      <w:r>
        <w:rPr>
          <w:rFonts w:hint="eastAsia" w:ascii="仿宋_GB2312" w:hAnsi="仿宋_GB2312" w:eastAsia="仿宋_GB2312" w:cs="仿宋_GB2312"/>
          <w:sz w:val="32"/>
          <w:szCs w:val="32"/>
          <w:lang w:val="en-US" w:eastAsia="zh-CN"/>
        </w:rPr>
        <w:t>万元，已使用</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lang w:val="en-US" w:eastAsia="zh-CN"/>
        </w:rPr>
        <w:t>万元，使用率</w:t>
      </w:r>
      <w:r>
        <w:rPr>
          <w:rFonts w:hint="eastAsia" w:ascii="仿宋_GB2312" w:hAnsi="仿宋_GB2312" w:cs="仿宋_GB2312"/>
          <w:sz w:val="32"/>
          <w:szCs w:val="32"/>
          <w:lang w:val="en-US" w:eastAsia="zh-CN"/>
        </w:rPr>
        <w:t>27.45</w:t>
      </w:r>
      <w:r>
        <w:rPr>
          <w:rFonts w:hint="eastAsia" w:ascii="仿宋_GB2312" w:hAnsi="仿宋_GB2312" w:eastAsia="仿宋_GB2312" w:cs="仿宋_GB2312"/>
          <w:sz w:val="32"/>
          <w:szCs w:val="32"/>
          <w:lang w:val="en-US" w:eastAsia="zh-CN"/>
        </w:rPr>
        <w:t>%；基药省级资金预算下达数</w:t>
      </w:r>
      <w:r>
        <w:rPr>
          <w:rFonts w:hint="eastAsia" w:ascii="仿宋_GB2312" w:hAnsi="仿宋_GB2312" w:cs="仿宋_GB2312"/>
          <w:sz w:val="32"/>
          <w:szCs w:val="32"/>
          <w:lang w:val="en-US" w:eastAsia="zh-CN"/>
        </w:rPr>
        <w:t>4.54</w:t>
      </w:r>
      <w:r>
        <w:rPr>
          <w:rFonts w:hint="eastAsia" w:ascii="仿宋_GB2312" w:hAnsi="仿宋_GB2312" w:eastAsia="仿宋_GB2312" w:cs="仿宋_GB2312"/>
          <w:sz w:val="32"/>
          <w:szCs w:val="32"/>
          <w:lang w:val="en-US" w:eastAsia="zh-CN"/>
        </w:rPr>
        <w:t>万元，已使用</w:t>
      </w:r>
      <w:r>
        <w:rPr>
          <w:rFonts w:hint="eastAsia" w:ascii="仿宋_GB2312" w:hAnsi="仿宋_GB2312" w:cs="仿宋_GB2312"/>
          <w:sz w:val="32"/>
          <w:szCs w:val="32"/>
          <w:lang w:val="en-US" w:eastAsia="zh-CN"/>
        </w:rPr>
        <w:t>1.39</w:t>
      </w:r>
      <w:r>
        <w:rPr>
          <w:rFonts w:hint="eastAsia" w:ascii="仿宋_GB2312" w:hAnsi="仿宋_GB2312" w:eastAsia="仿宋_GB2312" w:cs="仿宋_GB2312"/>
          <w:sz w:val="32"/>
          <w:szCs w:val="32"/>
          <w:lang w:val="en-US" w:eastAsia="zh-CN"/>
        </w:rPr>
        <w:t>万元，使用率</w:t>
      </w:r>
      <w:r>
        <w:rPr>
          <w:rFonts w:hint="eastAsia" w:ascii="仿宋_GB2312" w:hAnsi="仿宋_GB2312" w:cs="仿宋_GB2312"/>
          <w:sz w:val="32"/>
          <w:szCs w:val="32"/>
          <w:lang w:val="en-US" w:eastAsia="zh-CN"/>
        </w:rPr>
        <w:t>30.61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3"/>
        <w:keepNext w:val="0"/>
        <w:keepLines w:val="0"/>
        <w:pageBreakBefore w:val="0"/>
        <w:numPr>
          <w:ilvl w:val="0"/>
          <w:numId w:val="0"/>
        </w:numP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基本公共卫生中央资金预算下达数</w:t>
      </w:r>
      <w:r>
        <w:rPr>
          <w:rFonts w:hint="eastAsia" w:ascii="仿宋_GB2312" w:hAnsi="仿宋_GB2312" w:cs="仿宋_GB2312"/>
          <w:kern w:val="2"/>
          <w:sz w:val="32"/>
          <w:szCs w:val="32"/>
          <w:lang w:val="en-US" w:eastAsia="zh-CN" w:bidi="ar-SA"/>
        </w:rPr>
        <w:t>55.65</w:t>
      </w:r>
      <w:r>
        <w:rPr>
          <w:rFonts w:hint="eastAsia" w:ascii="仿宋_GB2312" w:hAnsi="仿宋_GB2312" w:eastAsia="仿宋_GB2312" w:cs="仿宋_GB2312"/>
          <w:kern w:val="2"/>
          <w:sz w:val="32"/>
          <w:szCs w:val="32"/>
          <w:lang w:val="en-US" w:eastAsia="zh-CN" w:bidi="ar-SA"/>
        </w:rPr>
        <w:t>万元，已使用</w:t>
      </w:r>
      <w:r>
        <w:rPr>
          <w:rFonts w:hint="eastAsia" w:ascii="仿宋_GB2312" w:hAnsi="仿宋_GB2312" w:cs="仿宋_GB2312"/>
          <w:kern w:val="2"/>
          <w:sz w:val="32"/>
          <w:szCs w:val="32"/>
          <w:lang w:val="en-US" w:eastAsia="zh-CN" w:bidi="ar-SA"/>
        </w:rPr>
        <w:t>55.65</w:t>
      </w:r>
      <w:r>
        <w:rPr>
          <w:rFonts w:hint="eastAsia" w:ascii="仿宋_GB2312" w:hAnsi="仿宋_GB2312" w:eastAsia="仿宋_GB2312" w:cs="仿宋_GB2312"/>
          <w:kern w:val="2"/>
          <w:sz w:val="32"/>
          <w:szCs w:val="32"/>
          <w:lang w:val="en-US" w:eastAsia="zh-CN" w:bidi="ar-SA"/>
        </w:rPr>
        <w:t>万元，使用率</w:t>
      </w:r>
      <w:r>
        <w:rPr>
          <w:rFonts w:hint="eastAsia" w:ascii="仿宋_GB2312"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%；基本公共卫生省级资金预算下达数</w:t>
      </w:r>
      <w:r>
        <w:rPr>
          <w:rFonts w:hint="eastAsia" w:ascii="仿宋_GB2312" w:hAnsi="仿宋_GB2312" w:cs="仿宋_GB2312"/>
          <w:kern w:val="2"/>
          <w:sz w:val="32"/>
          <w:szCs w:val="32"/>
          <w:lang w:val="en-US" w:eastAsia="zh-CN" w:bidi="ar-SA"/>
        </w:rPr>
        <w:t>7.83</w:t>
      </w:r>
      <w:r>
        <w:rPr>
          <w:rFonts w:hint="eastAsia" w:ascii="仿宋_GB2312" w:hAnsi="仿宋_GB2312" w:eastAsia="仿宋_GB2312" w:cs="仿宋_GB2312"/>
          <w:kern w:val="2"/>
          <w:sz w:val="32"/>
          <w:szCs w:val="32"/>
          <w:lang w:val="en-US" w:eastAsia="zh-CN" w:bidi="ar-SA"/>
        </w:rPr>
        <w:t>万元，已使用</w:t>
      </w:r>
      <w:r>
        <w:rPr>
          <w:rFonts w:hint="eastAsia" w:ascii="仿宋_GB2312" w:hAnsi="仿宋_GB2312" w:cs="仿宋_GB2312"/>
          <w:kern w:val="2"/>
          <w:sz w:val="32"/>
          <w:szCs w:val="32"/>
          <w:lang w:val="en-US" w:eastAsia="zh-CN" w:bidi="ar-SA"/>
        </w:rPr>
        <w:t>7.83</w:t>
      </w:r>
      <w:r>
        <w:rPr>
          <w:rFonts w:hint="eastAsia" w:ascii="仿宋_GB2312" w:hAnsi="仿宋_GB2312" w:eastAsia="仿宋_GB2312" w:cs="仿宋_GB2312"/>
          <w:kern w:val="2"/>
          <w:sz w:val="32"/>
          <w:szCs w:val="32"/>
          <w:lang w:val="en-US" w:eastAsia="zh-CN" w:bidi="ar-SA"/>
        </w:rPr>
        <w:t>万元，使用率100%。</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政府资金投入</w:t>
      </w: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万元，已使用</w:t>
      </w:r>
      <w:r>
        <w:rPr>
          <w:rFonts w:hint="eastAsia" w:ascii="仿宋_GB2312" w:hAnsi="仿宋_GB2312" w:cs="仿宋_GB2312"/>
          <w:kern w:val="2"/>
          <w:sz w:val="32"/>
          <w:szCs w:val="32"/>
          <w:lang w:val="en-US" w:eastAsia="zh-CN" w:bidi="ar-SA"/>
        </w:rPr>
        <w:t>0.15</w:t>
      </w:r>
      <w:r>
        <w:rPr>
          <w:rFonts w:hint="eastAsia" w:ascii="仿宋_GB2312" w:hAnsi="仿宋_GB2312" w:eastAsia="仿宋_GB2312" w:cs="仿宋_GB2312"/>
          <w:kern w:val="2"/>
          <w:sz w:val="32"/>
          <w:szCs w:val="32"/>
          <w:lang w:val="en-US" w:eastAsia="zh-CN" w:bidi="ar-SA"/>
        </w:rPr>
        <w:t>万元，使用率</w:t>
      </w:r>
      <w:r>
        <w:rPr>
          <w:rFonts w:hint="eastAsia" w:ascii="仿宋_GB2312" w:hAnsi="仿宋_GB2312" w:cs="仿宋_GB2312"/>
          <w:kern w:val="2"/>
          <w:sz w:val="32"/>
          <w:szCs w:val="32"/>
          <w:lang w:val="en-US" w:eastAsia="zh-CN" w:bidi="ar-SA"/>
        </w:rPr>
        <w:t>7.5</w:t>
      </w:r>
      <w:r>
        <w:rPr>
          <w:rFonts w:hint="eastAsia" w:ascii="仿宋_GB2312" w:hAnsi="仿宋_GB2312" w:eastAsia="仿宋_GB2312" w:cs="仿宋_GB2312"/>
          <w:kern w:val="2"/>
          <w:sz w:val="32"/>
          <w:szCs w:val="32"/>
          <w:lang w:val="en-US" w:eastAsia="zh-CN" w:bidi="ar-SA"/>
        </w:rPr>
        <w:t>%，资金使用率低的主要原因是：</w:t>
      </w:r>
      <w:r>
        <w:rPr>
          <w:rFonts w:hint="eastAsia" w:ascii="仿宋_GB2312" w:hAnsi="仿宋_GB2312" w:cs="仿宋_GB2312"/>
          <w:kern w:val="2"/>
          <w:sz w:val="32"/>
          <w:szCs w:val="32"/>
          <w:lang w:val="en-US" w:eastAsia="zh-CN" w:bidi="ar-SA"/>
        </w:rPr>
        <w:t>其中2个村卫生室已注销，1个村卫生室是由中坝乡卫生院自己管理，故上级将这三个卫生室的拨款资金收回</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numPr>
          <w:ilvl w:val="0"/>
          <w:numId w:val="0"/>
        </w:numPr>
        <w:kinsoku/>
        <w:wordWrap/>
        <w:overflowPunct/>
        <w:topLinePunct w:val="0"/>
        <w:autoSpaceDE/>
        <w:autoSpaceDN/>
        <w:bidi w:val="0"/>
        <w:spacing w:line="240" w:lineRule="auto"/>
        <w:ind w:firstLine="64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（五）</w:t>
      </w:r>
      <w:r>
        <w:rPr>
          <w:rFonts w:hint="eastAsia" w:ascii="仿宋_GB2312" w:hAnsi="仿宋_GB2312" w:eastAsia="仿宋_GB2312" w:cs="仿宋_GB2312"/>
          <w:b/>
          <w:bCs/>
          <w:kern w:val="2"/>
          <w:sz w:val="32"/>
          <w:szCs w:val="32"/>
          <w:lang w:val="en-US" w:eastAsia="zh-CN" w:bidi="ar-SA"/>
        </w:rPr>
        <w:t>预算完成情况</w:t>
      </w:r>
    </w:p>
    <w:p>
      <w:pPr>
        <w:pStyle w:val="3"/>
        <w:keepNext w:val="0"/>
        <w:keepLines w:val="0"/>
        <w:pageBreakBefore w:val="0"/>
        <w:numPr>
          <w:ilvl w:val="0"/>
          <w:numId w:val="0"/>
        </w:numPr>
        <w:kinsoku/>
        <w:wordWrap/>
        <w:overflowPunct/>
        <w:topLinePunct w:val="0"/>
        <w:autoSpaceDE/>
        <w:autoSpaceDN/>
        <w:bidi w:val="0"/>
        <w:spacing w:line="240" w:lineRule="auto"/>
        <w:ind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vertAlign w:val="baseline"/>
        </w:rPr>
        <w:t>从我单位决算报表反映202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年总收入</w:t>
      </w:r>
      <w:r>
        <w:rPr>
          <w:rFonts w:hint="eastAsia" w:ascii="仿宋_GB2312" w:hAnsi="仿宋_GB2312" w:cs="仿宋_GB2312"/>
          <w:sz w:val="32"/>
          <w:szCs w:val="32"/>
          <w:lang w:val="en-US" w:eastAsia="zh-CN"/>
        </w:rPr>
        <w:t>269.17</w:t>
      </w:r>
      <w:r>
        <w:rPr>
          <w:rFonts w:hint="eastAsia" w:ascii="仿宋_GB2312" w:hAnsi="仿宋_GB2312" w:eastAsia="仿宋_GB2312" w:cs="仿宋_GB2312"/>
          <w:i w:val="0"/>
          <w:iCs w:val="0"/>
          <w:caps w:val="0"/>
          <w:color w:val="auto"/>
          <w:spacing w:val="0"/>
          <w:sz w:val="32"/>
          <w:szCs w:val="32"/>
          <w:shd w:val="clear" w:fill="FFFFFF"/>
          <w:vertAlign w:val="baseline"/>
        </w:rPr>
        <w:t>万元，其中：一般公共预算财政拨款收入</w:t>
      </w:r>
      <w:r>
        <w:rPr>
          <w:rFonts w:hint="eastAsia" w:ascii="仿宋_GB2312" w:hAnsi="仿宋_GB2312" w:cs="仿宋_GB2312"/>
          <w:sz w:val="32"/>
          <w:szCs w:val="32"/>
          <w:lang w:val="en-US" w:eastAsia="zh-CN"/>
        </w:rPr>
        <w:t>269.02</w:t>
      </w:r>
      <w:r>
        <w:rPr>
          <w:rFonts w:hint="eastAsia" w:ascii="仿宋_GB2312" w:hAnsi="仿宋_GB2312" w:eastAsia="仿宋_GB2312" w:cs="仿宋_GB2312"/>
          <w:i w:val="0"/>
          <w:iCs w:val="0"/>
          <w:caps w:val="0"/>
          <w:color w:val="auto"/>
          <w:spacing w:val="0"/>
          <w:sz w:val="32"/>
          <w:szCs w:val="32"/>
          <w:shd w:val="clear" w:fill="FFFFFF"/>
          <w:vertAlign w:val="baseline"/>
        </w:rPr>
        <w:t>万元,政府性基金预算财政拨款收入</w:t>
      </w:r>
      <w:r>
        <w:rPr>
          <w:rFonts w:hint="eastAsia" w:ascii="仿宋_GB2312" w:hAnsi="仿宋_GB2312" w:cs="仿宋_GB2312"/>
          <w:i w:val="0"/>
          <w:iCs w:val="0"/>
          <w:caps w:val="0"/>
          <w:color w:val="auto"/>
          <w:spacing w:val="0"/>
          <w:sz w:val="32"/>
          <w:szCs w:val="32"/>
          <w:shd w:val="clear" w:fill="FFFFFF"/>
          <w:vertAlign w:val="baseline"/>
          <w:lang w:val="en-US" w:eastAsia="zh-CN"/>
        </w:rPr>
        <w:t>0.15</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r>
        <w:rPr>
          <w:rFonts w:hint="eastAsia" w:ascii="仿宋_GB2312" w:hAnsi="仿宋_GB2312" w:eastAsia="仿宋_GB2312" w:cs="仿宋_GB2312"/>
          <w:i w:val="0"/>
          <w:iCs w:val="0"/>
          <w:caps w:val="0"/>
          <w:color w:val="auto"/>
          <w:spacing w:val="0"/>
          <w:sz w:val="32"/>
          <w:szCs w:val="32"/>
          <w:shd w:val="clear" w:fill="FFFFFF"/>
          <w:vertAlign w:val="baseline"/>
        </w:rPr>
        <w:t>。202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年实际支出</w:t>
      </w:r>
      <w:r>
        <w:rPr>
          <w:rFonts w:hint="eastAsia" w:ascii="仿宋_GB2312" w:hAnsi="仿宋_GB2312" w:cs="仿宋_GB2312"/>
          <w:sz w:val="32"/>
          <w:szCs w:val="32"/>
          <w:lang w:val="en-US" w:eastAsia="zh-CN"/>
        </w:rPr>
        <w:t>269.17</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其中：</w:t>
      </w:r>
      <w:r>
        <w:rPr>
          <w:rFonts w:hint="eastAsia" w:ascii="仿宋_GB2312" w:hAnsi="仿宋_GB2312" w:eastAsia="仿宋_GB2312" w:cs="仿宋_GB2312"/>
          <w:i w:val="0"/>
          <w:iCs w:val="0"/>
          <w:caps w:val="0"/>
          <w:color w:val="auto"/>
          <w:spacing w:val="0"/>
          <w:sz w:val="32"/>
          <w:szCs w:val="32"/>
          <w:shd w:val="clear" w:fill="FFFFFF"/>
          <w:vertAlign w:val="baseline"/>
        </w:rPr>
        <w:t>基本支出</w:t>
      </w:r>
      <w:r>
        <w:rPr>
          <w:rFonts w:hint="eastAsia" w:ascii="仿宋_GB2312" w:hAnsi="仿宋_GB2312" w:cs="仿宋_GB2312"/>
          <w:i w:val="0"/>
          <w:iCs w:val="0"/>
          <w:caps w:val="0"/>
          <w:color w:val="auto"/>
          <w:spacing w:val="0"/>
          <w:sz w:val="32"/>
          <w:szCs w:val="32"/>
          <w:shd w:val="clear" w:fill="FFFFFF"/>
          <w:vertAlign w:val="baseline"/>
          <w:lang w:val="en-US" w:eastAsia="zh-CN"/>
        </w:rPr>
        <w:t>149.76</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，项目支出</w:t>
      </w:r>
      <w:r>
        <w:rPr>
          <w:rFonts w:hint="eastAsia" w:ascii="仿宋_GB2312" w:hAnsi="仿宋_GB2312" w:cs="仿宋_GB2312"/>
          <w:i w:val="0"/>
          <w:iCs w:val="0"/>
          <w:caps w:val="0"/>
          <w:color w:val="auto"/>
          <w:spacing w:val="0"/>
          <w:sz w:val="32"/>
          <w:szCs w:val="32"/>
          <w:shd w:val="clear" w:fill="FFFFFF"/>
          <w:vertAlign w:val="baseline"/>
          <w:lang w:val="en-US" w:eastAsia="zh-CN"/>
        </w:rPr>
        <w:t>119.41</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r>
        <w:rPr>
          <w:rFonts w:hint="eastAsia" w:ascii="仿宋_GB2312" w:hAnsi="仿宋_GB2312" w:eastAsia="仿宋_GB2312" w:cs="仿宋_GB2312"/>
          <w:i w:val="0"/>
          <w:iCs w:val="0"/>
          <w:caps w:val="0"/>
          <w:color w:val="auto"/>
          <w:spacing w:val="0"/>
          <w:sz w:val="32"/>
          <w:szCs w:val="32"/>
          <w:shd w:val="clear" w:fill="FFFFFF"/>
          <w:vertAlign w:val="baseline"/>
        </w:rPr>
        <w:t>。</w:t>
      </w:r>
    </w:p>
    <w:p>
      <w:pPr>
        <w:pStyle w:val="3"/>
        <w:keepNext w:val="0"/>
        <w:keepLines w:val="0"/>
        <w:pageBreakBefore w:val="0"/>
        <w:widowControl w:val="0"/>
        <w:numPr>
          <w:ilvl w:val="0"/>
          <w:numId w:val="0"/>
        </w:numPr>
        <w:kinsoku/>
        <w:wordWrap/>
        <w:overflowPunct/>
        <w:topLinePunct w:val="0"/>
        <w:autoSpaceDE/>
        <w:autoSpaceDN/>
        <w:bidi w:val="0"/>
        <w:spacing w:line="240" w:lineRule="auto"/>
        <w:ind w:firstLine="643" w:firstLineChars="200"/>
        <w:jc w:val="left"/>
        <w:textAlignment w:val="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kern w:val="2"/>
          <w:sz w:val="32"/>
          <w:szCs w:val="32"/>
          <w:lang w:val="en-US" w:eastAsia="zh-CN" w:bidi="ar-SA"/>
        </w:rPr>
        <w:t>（六）</w:t>
      </w:r>
      <w:r>
        <w:rPr>
          <w:rFonts w:hint="eastAsia" w:ascii="仿宋_GB2312" w:hAnsi="仿宋_GB2312" w:eastAsia="仿宋_GB2312" w:cs="仿宋_GB2312"/>
          <w:b/>
          <w:bCs/>
          <w:kern w:val="2"/>
          <w:sz w:val="32"/>
          <w:szCs w:val="32"/>
          <w:lang w:val="en-US" w:eastAsia="zh-CN" w:bidi="ar-SA"/>
        </w:rPr>
        <w:t>本年度我单位无资金违规记录</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cs="仿宋_GB2312"/>
          <w:b/>
          <w:bCs/>
          <w:color w:val="000000"/>
          <w:kern w:val="0"/>
          <w:sz w:val="32"/>
          <w:szCs w:val="32"/>
          <w:shd w:val="clear" w:color="auto" w:fill="FFFFFF"/>
          <w:lang w:val="en-US" w:eastAsia="zh-CN"/>
        </w:rPr>
        <w:t>三、</w:t>
      </w:r>
      <w:r>
        <w:rPr>
          <w:rFonts w:hint="eastAsia" w:ascii="仿宋_GB2312" w:hAnsi="仿宋_GB2312" w:eastAsia="仿宋_GB2312" w:cs="仿宋_GB2312"/>
          <w:b/>
          <w:bCs/>
          <w:color w:val="000000"/>
          <w:kern w:val="0"/>
          <w:sz w:val="32"/>
          <w:szCs w:val="32"/>
          <w:shd w:val="clear" w:color="auto" w:fill="FFFFFF"/>
          <w:lang w:val="zh-CN"/>
        </w:rPr>
        <w:t>结果应用情况</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总体</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highlight w:val="none"/>
          <w:lang w:eastAsia="zh-CN"/>
        </w:rPr>
        <w:t>完成情况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、基本医疗服务：医院门诊人次在202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年基础上增加</w:t>
      </w:r>
      <w:r>
        <w:rPr>
          <w:rFonts w:hint="eastAsia" w:ascii="仿宋_GB2312" w:hAnsi="仿宋_GB2312" w:cs="仿宋_GB2312"/>
          <w:sz w:val="32"/>
          <w:szCs w:val="32"/>
          <w:highlight w:val="none"/>
          <w:lang w:val="en-US" w:eastAsia="zh-CN"/>
        </w:rPr>
        <w:t>4.95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住院人次与上年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cs="仿宋_GB2312"/>
          <w:color w:val="auto"/>
          <w:sz w:val="32"/>
          <w:szCs w:val="32"/>
          <w:highlight w:val="none"/>
          <w:lang w:val="en-US" w:eastAsia="zh-CN"/>
        </w:rPr>
        <w:t>2353.84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、基本公共卫生：已完成全年基本公共卫生工作指标；高血压管理率达90%、糖尿病管理率达90%、老年人管理率达90%、孕产妇管理率达</w:t>
      </w:r>
      <w:r>
        <w:rPr>
          <w:rFonts w:hint="eastAsia" w:ascii="仿宋_GB2312" w:hAnsi="仿宋_GB2312" w:cs="仿宋_GB2312"/>
          <w:sz w:val="32"/>
          <w:szCs w:val="32"/>
          <w:highlight w:val="none"/>
          <w:lang w:val="en-US" w:eastAsia="zh-CN"/>
        </w:rPr>
        <w:t>98.182</w:t>
      </w:r>
      <w:r>
        <w:rPr>
          <w:rFonts w:hint="eastAsia" w:ascii="仿宋_GB2312" w:hAnsi="仿宋_GB2312" w:eastAsia="仿宋_GB2312" w:cs="仿宋_GB2312"/>
          <w:sz w:val="32"/>
          <w:szCs w:val="32"/>
          <w:highlight w:val="none"/>
        </w:rPr>
        <w:t>%、儿童管理率达</w:t>
      </w:r>
      <w:r>
        <w:rPr>
          <w:rFonts w:hint="eastAsia" w:ascii="仿宋_GB2312" w:hAnsi="仿宋_GB2312" w:cs="仿宋_GB2312"/>
          <w:sz w:val="32"/>
          <w:szCs w:val="32"/>
          <w:highlight w:val="none"/>
          <w:lang w:val="en-US" w:eastAsia="zh-CN"/>
        </w:rPr>
        <w:t>91.525</w:t>
      </w:r>
      <w:r>
        <w:rPr>
          <w:rFonts w:hint="eastAsia" w:ascii="仿宋_GB2312" w:hAnsi="仿宋_GB2312" w:eastAsia="仿宋_GB2312" w:cs="仿宋_GB2312"/>
          <w:sz w:val="32"/>
          <w:szCs w:val="32"/>
          <w:highlight w:val="none"/>
        </w:rPr>
        <w:t>%。</w:t>
      </w:r>
    </w:p>
    <w:p>
      <w:pPr>
        <w:pStyle w:val="3"/>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lang w:val="en-US" w:eastAsia="zh-CN"/>
        </w:rPr>
        <w:t>财政资金完成情况</w:t>
      </w:r>
    </w:p>
    <w:p>
      <w:pPr>
        <w:keepNext w:val="0"/>
        <w:keepLines w:val="0"/>
        <w:pageBreakBefore w:val="0"/>
        <w:numPr>
          <w:ilvl w:val="0"/>
          <w:numId w:val="0"/>
        </w:numPr>
        <w:kinsoku/>
        <w:wordWrap/>
        <w:overflowPunct/>
        <w:topLinePunct w:val="0"/>
        <w:autoSpaceDE/>
        <w:autoSpaceDN/>
        <w:bidi w:val="0"/>
        <w:spacing w:line="240" w:lineRule="auto"/>
        <w:ind w:left="400" w:leftChars="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数量指标</w:t>
      </w:r>
    </w:p>
    <w:p>
      <w:pPr>
        <w:keepNext w:val="0"/>
        <w:keepLines w:val="0"/>
        <w:pageBreakBefore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仁和区</w:t>
      </w:r>
      <w:r>
        <w:rPr>
          <w:rFonts w:hint="eastAsia" w:ascii="仿宋_GB2312" w:hAnsi="仿宋_GB2312" w:cs="仿宋_GB2312"/>
          <w:sz w:val="32"/>
          <w:szCs w:val="32"/>
          <w:highlight w:val="none"/>
          <w:lang w:val="en-US" w:eastAsia="zh-CN"/>
        </w:rPr>
        <w:t>中坝乡卫生院</w:t>
      </w:r>
      <w:r>
        <w:rPr>
          <w:rFonts w:hint="eastAsia" w:ascii="仿宋_GB2312" w:hAnsi="仿宋_GB2312" w:eastAsia="仿宋_GB2312" w:cs="仿宋_GB2312"/>
          <w:sz w:val="32"/>
          <w:szCs w:val="32"/>
          <w:highlight w:val="none"/>
          <w:lang w:val="en-US" w:eastAsia="zh-CN"/>
        </w:rPr>
        <w:t>2022年财政供养人数</w:t>
      </w:r>
      <w:r>
        <w:rPr>
          <w:rFonts w:hint="eastAsia" w:ascii="仿宋_GB2312" w:hAnsi="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val="en-US" w:eastAsia="zh-CN"/>
        </w:rPr>
        <w:t>人，实际完成数1</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人，完成率100%。</w:t>
      </w:r>
    </w:p>
    <w:p>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质量指标</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人员经费保障率100%。</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US" w:eastAsia="zh-CN"/>
        </w:rPr>
        <w:t>时效指标</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人员支出保障时限为2022年1--12月，已经100%完成。</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US" w:eastAsia="zh-CN"/>
        </w:rPr>
        <w:t>成本指标</w:t>
      </w:r>
    </w:p>
    <w:p>
      <w:pPr>
        <w:keepNext w:val="0"/>
        <w:keepLines w:val="0"/>
        <w:pageBreakBefore w:val="0"/>
        <w:numPr>
          <w:ilvl w:val="0"/>
          <w:numId w:val="0"/>
        </w:numPr>
        <w:kinsoku/>
        <w:wordWrap/>
        <w:overflowPunct/>
        <w:topLinePunct w:val="0"/>
        <w:autoSpaceDE/>
        <w:autoSpaceDN/>
        <w:bidi w:val="0"/>
        <w:spacing w:line="240" w:lineRule="auto"/>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2022年全年支出</w:t>
      </w:r>
      <w:r>
        <w:rPr>
          <w:rFonts w:hint="eastAsia" w:ascii="仿宋_GB2312" w:hAnsi="仿宋_GB2312" w:cs="仿宋_GB2312"/>
          <w:color w:val="auto"/>
          <w:sz w:val="32"/>
          <w:szCs w:val="32"/>
          <w:highlight w:val="none"/>
          <w:lang w:val="en-US" w:eastAsia="zh-CN"/>
        </w:rPr>
        <w:t>269.17</w:t>
      </w:r>
      <w:r>
        <w:rPr>
          <w:rFonts w:hint="eastAsia" w:ascii="仿宋_GB2312" w:hAnsi="仿宋_GB2312" w:eastAsia="仿宋_GB2312" w:cs="仿宋_GB2312"/>
          <w:color w:val="auto"/>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社会效益指标</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提高卫生院在群众中的知晓率和满意度，推动卫生健康事业高质量发展，群众满意度达到98%。</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可持续影响指标</w:t>
      </w:r>
    </w:p>
    <w:p>
      <w:pPr>
        <w:keepNext w:val="0"/>
        <w:keepLines w:val="0"/>
        <w:pageBreakBefore w:val="0"/>
        <w:numPr>
          <w:ilvl w:val="0"/>
          <w:numId w:val="0"/>
        </w:numPr>
        <w:kinsoku/>
        <w:wordWrap/>
        <w:overflowPunct/>
        <w:topLinePunct w:val="0"/>
        <w:autoSpaceDE/>
        <w:autoSpaceDN/>
        <w:bidi w:val="0"/>
        <w:spacing w:line="240" w:lineRule="auto"/>
        <w:ind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推动卫生健康事业高质量发展，完成率95%。</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满意度指标</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highlight w:val="none"/>
          <w:lang w:val="en-US" w:eastAsia="zh-CN"/>
        </w:rPr>
        <w:t>群众满意度达到98%。</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cs="仿宋_GB2312"/>
          <w:b/>
          <w:bCs/>
          <w:color w:val="000000"/>
          <w:kern w:val="0"/>
          <w:sz w:val="32"/>
          <w:szCs w:val="32"/>
          <w:highlight w:val="none"/>
          <w:shd w:val="clear" w:color="auto" w:fill="FFFFFF"/>
          <w:lang w:val="en-US" w:eastAsia="zh-CN"/>
        </w:rPr>
        <w:t>二</w:t>
      </w: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eastAsia="仿宋_GB2312" w:cs="仿宋_GB2312"/>
          <w:b/>
          <w:bCs/>
          <w:color w:val="000000"/>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FF"/>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经过对我院2022年项目支出情况进行总体评估，我院完善了院内财务内控制度，所有支出均按照财务相关规定支付，不存在违规支付、超标准支付等情况。</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项目支出符合</w:t>
      </w:r>
      <w:r>
        <w:rPr>
          <w:rFonts w:hint="eastAsia" w:ascii="仿宋_GB2312" w:hAnsi="仿宋_GB2312" w:cs="仿宋_GB2312"/>
          <w:color w:val="000000"/>
          <w:kern w:val="0"/>
          <w:sz w:val="32"/>
          <w:szCs w:val="32"/>
          <w:highlight w:val="none"/>
          <w:shd w:val="clear" w:color="auto" w:fill="FFFFFF"/>
          <w:lang w:val="en-US" w:eastAsia="zh-CN"/>
        </w:rPr>
        <w:t>各项</w:t>
      </w:r>
      <w:r>
        <w:rPr>
          <w:rFonts w:hint="eastAsia" w:ascii="仿宋_GB2312" w:hAnsi="仿宋_GB2312" w:eastAsia="仿宋_GB2312" w:cs="仿宋_GB2312"/>
          <w:color w:val="000000"/>
          <w:kern w:val="0"/>
          <w:sz w:val="32"/>
          <w:szCs w:val="32"/>
          <w:highlight w:val="none"/>
          <w:shd w:val="clear" w:color="auto" w:fill="FFFFFF"/>
          <w:lang w:val="en-US" w:eastAsia="zh-CN"/>
        </w:rPr>
        <w:t>管理规定</w:t>
      </w:r>
      <w:r>
        <w:rPr>
          <w:rFonts w:hint="eastAsia" w:ascii="仿宋_GB2312" w:hAnsi="仿宋_GB2312" w:cs="仿宋_GB2312"/>
          <w:color w:val="000000"/>
          <w:kern w:val="0"/>
          <w:sz w:val="32"/>
          <w:szCs w:val="32"/>
          <w:highlight w:val="none"/>
          <w:shd w:val="clear" w:color="auto" w:fill="FFFFFF"/>
          <w:lang w:val="en-US" w:eastAsia="zh-CN"/>
        </w:rPr>
        <w:t>，严格按照支付程序支出</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。经过对我院2022年项目支出情况进行总体评估，我院完善了院内财务内控制度，所有支出均按照财务相关规定支付，不存在违规支付、超标准支付等情况。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cs="仿宋_GB2312"/>
          <w:b/>
          <w:bCs/>
          <w:color w:val="000000"/>
          <w:kern w:val="0"/>
          <w:sz w:val="32"/>
          <w:szCs w:val="32"/>
          <w:highlight w:val="none"/>
          <w:shd w:val="clear" w:color="auto" w:fill="FFFFFF"/>
          <w:lang w:val="en-US" w:eastAsia="zh-CN"/>
        </w:rPr>
        <w:t>二</w:t>
      </w: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eastAsia="仿宋_GB2312" w:cs="仿宋_GB2312"/>
          <w:b/>
          <w:bCs/>
          <w:color w:val="000000"/>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预算数低于决算数，是因为预算不够精确，预算水平有待进一步提高。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cs="仿宋_GB2312"/>
          <w:b/>
          <w:bCs/>
          <w:color w:val="000000"/>
          <w:kern w:val="0"/>
          <w:sz w:val="32"/>
          <w:szCs w:val="32"/>
          <w:highlight w:val="none"/>
          <w:shd w:val="clear" w:color="auto" w:fill="FFFFFF"/>
          <w:lang w:val="en-US" w:eastAsia="zh-CN"/>
        </w:rPr>
        <w:t>三</w:t>
      </w: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eastAsia="仿宋_GB2312" w:cs="仿宋_GB2312"/>
          <w:b/>
          <w:bCs/>
          <w:color w:val="000000"/>
          <w:kern w:val="0"/>
          <w:sz w:val="32"/>
          <w:szCs w:val="32"/>
          <w:highlight w:val="none"/>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加强预算人员培训学习，提升预算人员专业技能水平，提升预算准确性。</w:t>
      </w:r>
    </w:p>
    <w:p>
      <w:pPr>
        <w:keepNext w:val="0"/>
        <w:keepLines w:val="0"/>
        <w:pageBreakBefore w:val="0"/>
        <w:widowControl/>
        <w:kinsoku/>
        <w:wordWrap/>
        <w:overflowPunct/>
        <w:topLinePunct w:val="0"/>
        <w:autoSpaceDE/>
        <w:autoSpaceDN/>
        <w:bidi w:val="0"/>
        <w:adjustRightInd w:val="0"/>
        <w:snapToGrid w:val="0"/>
        <w:spacing w:line="240" w:lineRule="auto"/>
        <w:ind w:firstLine="6080" w:firstLineChars="1900"/>
        <w:contextualSpacing/>
        <w:jc w:val="left"/>
        <w:textAlignment w:val="auto"/>
        <w:rPr>
          <w:rFonts w:hint="eastAsia" w:ascii="仿宋_GB2312" w:hAnsi="仿宋_GB2312" w:cs="仿宋_GB2312"/>
          <w:color w:val="000000"/>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 xml:space="preserve">附件：1. 2022年部门整体支出绩效评价    </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1600" w:leftChars="0" w:firstLine="0" w:firstLineChars="0"/>
        <w:contextualSpacing/>
        <w:jc w:val="left"/>
        <w:textAlignment w:val="auto"/>
        <w:rPr>
          <w:rFonts w:hint="eastAsia" w:ascii="仿宋_GB2312" w:hAnsi="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2022年专项预算项目支出绩效评价</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1600" w:leftChars="0" w:firstLine="0" w:firstLineChars="0"/>
        <w:contextualSpacing/>
        <w:jc w:val="left"/>
        <w:textAlignment w:val="auto"/>
        <w:rPr>
          <w:rFonts w:hint="eastAsia" w:ascii="仿宋_GB2312" w:hAnsi="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 xml:space="preserve">2022年专项预算项目支出绩效自评报告    </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1600" w:leftChars="0" w:firstLine="0" w:firstLineChars="0"/>
        <w:contextualSpacing/>
        <w:jc w:val="left"/>
        <w:textAlignment w:val="auto"/>
        <w:rPr>
          <w:rFonts w:hint="default" w:ascii="仿宋_GB2312" w:hAnsi="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 xml:space="preserve">2022年度财政资金使用情况表       </w:t>
      </w:r>
      <w:bookmarkEnd w:id="0"/>
      <w:r>
        <w:rPr>
          <w:rFonts w:hint="eastAsia" w:ascii="仿宋_GB2312" w:hAnsi="仿宋_GB2312" w:cs="仿宋_GB2312"/>
          <w:color w:val="000000"/>
          <w:kern w:val="0"/>
          <w:sz w:val="32"/>
          <w:szCs w:val="32"/>
          <w:shd w:val="clear" w:color="auto" w:fill="FFFFFF"/>
          <w:lang w:val="en-US" w:eastAsia="zh-CN"/>
        </w:rPr>
        <w:t xml:space="preserve">                          </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39B1A"/>
    <w:multiLevelType w:val="singleLevel"/>
    <w:tmpl w:val="A7E39B1A"/>
    <w:lvl w:ilvl="0" w:tentative="0">
      <w:start w:val="2"/>
      <w:numFmt w:val="decimal"/>
      <w:suff w:val="space"/>
      <w:lvlText w:val="%1."/>
      <w:lvlJc w:val="left"/>
      <w:pPr>
        <w:ind w:left="1600" w:leftChars="0" w:firstLine="0" w:firstLineChars="0"/>
      </w:pPr>
    </w:lvl>
  </w:abstractNum>
  <w:abstractNum w:abstractNumId="1">
    <w:nsid w:val="D2FDD749"/>
    <w:multiLevelType w:val="singleLevel"/>
    <w:tmpl w:val="D2FDD74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YyNjZmNWNhMDIxNWFhMGVhMDViOGUyZDc1YWU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3B6C21"/>
    <w:rsid w:val="02624585"/>
    <w:rsid w:val="055B3585"/>
    <w:rsid w:val="09581A6F"/>
    <w:rsid w:val="0A29711D"/>
    <w:rsid w:val="0A69184D"/>
    <w:rsid w:val="0C2648BA"/>
    <w:rsid w:val="0C6B0EE1"/>
    <w:rsid w:val="0CA154B4"/>
    <w:rsid w:val="0D591029"/>
    <w:rsid w:val="0DC31556"/>
    <w:rsid w:val="0DFC7883"/>
    <w:rsid w:val="101E03E8"/>
    <w:rsid w:val="10BE1D2E"/>
    <w:rsid w:val="15000F17"/>
    <w:rsid w:val="173253C1"/>
    <w:rsid w:val="1A3D6143"/>
    <w:rsid w:val="1B936EF8"/>
    <w:rsid w:val="1BD96B02"/>
    <w:rsid w:val="1C013801"/>
    <w:rsid w:val="1C701E46"/>
    <w:rsid w:val="1C8A66C6"/>
    <w:rsid w:val="1CB5359E"/>
    <w:rsid w:val="1D794956"/>
    <w:rsid w:val="1DDB32DF"/>
    <w:rsid w:val="21284607"/>
    <w:rsid w:val="2128547F"/>
    <w:rsid w:val="212A14EE"/>
    <w:rsid w:val="21647A64"/>
    <w:rsid w:val="23897A75"/>
    <w:rsid w:val="24964F52"/>
    <w:rsid w:val="249D7540"/>
    <w:rsid w:val="25C5042C"/>
    <w:rsid w:val="260E5F3D"/>
    <w:rsid w:val="292E0DF3"/>
    <w:rsid w:val="2A903EAD"/>
    <w:rsid w:val="2B124DD6"/>
    <w:rsid w:val="2B1653EB"/>
    <w:rsid w:val="2C0A01B3"/>
    <w:rsid w:val="2D527252"/>
    <w:rsid w:val="2DD85AA2"/>
    <w:rsid w:val="2EAE55F2"/>
    <w:rsid w:val="2EDF4302"/>
    <w:rsid w:val="2FD63926"/>
    <w:rsid w:val="335833CC"/>
    <w:rsid w:val="33A60AF9"/>
    <w:rsid w:val="36864C66"/>
    <w:rsid w:val="36DC2DB6"/>
    <w:rsid w:val="379738DA"/>
    <w:rsid w:val="396A7640"/>
    <w:rsid w:val="3CEC0CA1"/>
    <w:rsid w:val="3D675EB7"/>
    <w:rsid w:val="3D9B642E"/>
    <w:rsid w:val="3E7E5894"/>
    <w:rsid w:val="43E63E97"/>
    <w:rsid w:val="45484803"/>
    <w:rsid w:val="46DB5B5E"/>
    <w:rsid w:val="47550EBA"/>
    <w:rsid w:val="47682569"/>
    <w:rsid w:val="47F12A63"/>
    <w:rsid w:val="48737158"/>
    <w:rsid w:val="49E6291A"/>
    <w:rsid w:val="4A424663"/>
    <w:rsid w:val="4A477539"/>
    <w:rsid w:val="4ACF16AD"/>
    <w:rsid w:val="4F1B019A"/>
    <w:rsid w:val="525A1DDF"/>
    <w:rsid w:val="5A7A4C80"/>
    <w:rsid w:val="5BA631F6"/>
    <w:rsid w:val="5BCF2793"/>
    <w:rsid w:val="5C670DF1"/>
    <w:rsid w:val="5F0A19FF"/>
    <w:rsid w:val="624B0784"/>
    <w:rsid w:val="62B4751F"/>
    <w:rsid w:val="63C2133D"/>
    <w:rsid w:val="643A7875"/>
    <w:rsid w:val="659B528A"/>
    <w:rsid w:val="66040357"/>
    <w:rsid w:val="6636451A"/>
    <w:rsid w:val="67FA6681"/>
    <w:rsid w:val="68447580"/>
    <w:rsid w:val="690754B2"/>
    <w:rsid w:val="6A415D0D"/>
    <w:rsid w:val="6B8F25E0"/>
    <w:rsid w:val="6CDA6CF7"/>
    <w:rsid w:val="6D0112EE"/>
    <w:rsid w:val="6EF65E9C"/>
    <w:rsid w:val="71397E03"/>
    <w:rsid w:val="71601583"/>
    <w:rsid w:val="740B464C"/>
    <w:rsid w:val="740B59A1"/>
    <w:rsid w:val="758E2CCD"/>
    <w:rsid w:val="76A21717"/>
    <w:rsid w:val="77C3049B"/>
    <w:rsid w:val="77C57280"/>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Char"/>
    <w:basedOn w:val="9"/>
    <w:link w:val="2"/>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5"/>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1</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陶筱萱</cp:lastModifiedBy>
  <cp:lastPrinted>2022-03-26T08:26:00Z</cp:lastPrinted>
  <dcterms:modified xsi:type="dcterms:W3CDTF">2023-05-11T09:02:01Z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E6F3C2D9CD52452F82A230D7B40F29AA</vt:lpwstr>
  </property>
</Properties>
</file>