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8441"/>
      <w:bookmarkStart w:id="3" w:name="_Toc15377193"/>
      <w:bookmarkStart w:id="4" w:name="_Toc15377425"/>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78442"/>
      <w:bookmarkStart w:id="8" w:name="_Toc15377194"/>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攀枝花市仁和区中坝乡卫生院单位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 xml:space="preserve"> 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eastAsia" w:eastAsia="微软雅黑"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4</w:t>
      </w:r>
    </w:p>
    <w:p>
      <w:pPr>
        <w:pStyle w:val="11"/>
        <w:adjustRightInd w:val="0"/>
        <w:snapToGrid w:val="0"/>
        <w:spacing w:line="440" w:lineRule="exact"/>
        <w:jc w:val="left"/>
        <w:rPr>
          <w:rFonts w:hint="eastAsia" w:eastAsia="微软雅黑"/>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4</w:t>
      </w:r>
    </w:p>
    <w:p>
      <w:pPr>
        <w:pStyle w:val="11"/>
        <w:adjustRightInd w:val="0"/>
        <w:snapToGrid w:val="0"/>
        <w:spacing w:line="440" w:lineRule="exact"/>
        <w:jc w:val="left"/>
        <w:rPr>
          <w:rFonts w:hint="eastAsia" w:eastAsia="微软雅黑"/>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5</w:t>
      </w:r>
    </w:p>
    <w:p>
      <w:pPr>
        <w:pStyle w:val="10"/>
        <w:adjustRightInd w:val="0"/>
        <w:snapToGrid w:val="0"/>
        <w:spacing w:before="0" w:line="440" w:lineRule="exact"/>
        <w:jc w:val="left"/>
        <w:rPr>
          <w:rFonts w:hint="eastAsia" w:eastAsia="微软雅黑"/>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5</w:t>
      </w:r>
    </w:p>
    <w:p>
      <w:pPr>
        <w:pStyle w:val="11"/>
        <w:adjustRightInd w:val="0"/>
        <w:snapToGrid w:val="0"/>
        <w:spacing w:line="440" w:lineRule="exact"/>
        <w:jc w:val="left"/>
        <w:rPr>
          <w:rFonts w:hint="eastAsia" w:ascii="仿宋" w:hAnsi="仿宋" w:eastAsia="微软雅黑" w:cstheme="minorBidi"/>
          <w:color w:val="auto"/>
          <w:sz w:val="24"/>
          <w:highlight w:val="none"/>
          <w:lang w:val="en-US" w:eastAsia="zh-CN"/>
        </w:rPr>
      </w:pPr>
      <w:r>
        <w:rPr>
          <w:rFonts w:hint="eastAsia"/>
          <w:color w:val="auto"/>
          <w:sz w:val="24"/>
          <w:highlight w:val="none"/>
        </w:rPr>
        <w:t>一、收入支出决算总体情况说明</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5</w:t>
      </w:r>
    </w:p>
    <w:p>
      <w:pPr>
        <w:pStyle w:val="11"/>
        <w:adjustRightInd w:val="0"/>
        <w:snapToGrid w:val="0"/>
        <w:spacing w:line="440" w:lineRule="exact"/>
        <w:jc w:val="left"/>
        <w:rPr>
          <w:rFonts w:hint="eastAsia" w:ascii="仿宋" w:hAnsi="仿宋" w:eastAsia="微软雅黑" w:cstheme="minorBidi"/>
          <w:color w:val="auto"/>
          <w:sz w:val="24"/>
          <w:highlight w:val="none"/>
          <w:lang w:val="en-US" w:eastAsia="zh-CN"/>
        </w:rPr>
      </w:pPr>
      <w:r>
        <w:rPr>
          <w:rFonts w:hint="eastAsia"/>
          <w:color w:val="auto"/>
          <w:sz w:val="24"/>
          <w:highlight w:val="none"/>
        </w:rPr>
        <w:t>二、收入决算情况说明</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6</w:t>
      </w:r>
    </w:p>
    <w:p>
      <w:pPr>
        <w:pStyle w:val="11"/>
        <w:adjustRightInd w:val="0"/>
        <w:snapToGrid w:val="0"/>
        <w:spacing w:line="440" w:lineRule="exact"/>
        <w:jc w:val="left"/>
        <w:rPr>
          <w:rFonts w:hint="eastAsia" w:ascii="仿宋" w:hAnsi="仿宋" w:eastAsia="微软雅黑" w:cstheme="minorBidi"/>
          <w:color w:val="auto"/>
          <w:sz w:val="24"/>
          <w:highlight w:val="none"/>
          <w:lang w:val="en-US" w:eastAsia="zh-CN"/>
        </w:rPr>
      </w:pPr>
      <w:r>
        <w:rPr>
          <w:rFonts w:hint="eastAsia"/>
          <w:color w:val="auto"/>
          <w:sz w:val="24"/>
          <w:highlight w:val="none"/>
        </w:rPr>
        <w:t>三、支出决算情况说明</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6</w:t>
      </w:r>
    </w:p>
    <w:p>
      <w:pPr>
        <w:pStyle w:val="11"/>
        <w:adjustRightInd w:val="0"/>
        <w:snapToGrid w:val="0"/>
        <w:spacing w:line="440" w:lineRule="exact"/>
        <w:jc w:val="left"/>
        <w:rPr>
          <w:rFonts w:hint="eastAsia" w:ascii="仿宋" w:hAnsi="仿宋" w:eastAsia="微软雅黑" w:cstheme="minorBidi"/>
          <w:color w:val="auto"/>
          <w:sz w:val="24"/>
          <w:highlight w:val="none"/>
          <w:lang w:val="en-US" w:eastAsia="zh-CN"/>
        </w:rPr>
      </w:pPr>
      <w:r>
        <w:rPr>
          <w:rFonts w:hint="eastAsia"/>
          <w:color w:val="auto"/>
          <w:sz w:val="24"/>
          <w:highlight w:val="none"/>
        </w:rPr>
        <w:t>四、财政拨款收入支出决算总体情况说明</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7</w:t>
      </w:r>
    </w:p>
    <w:p>
      <w:pPr>
        <w:pStyle w:val="11"/>
        <w:adjustRightInd w:val="0"/>
        <w:snapToGrid w:val="0"/>
        <w:spacing w:line="440" w:lineRule="exact"/>
        <w:jc w:val="left"/>
        <w:rPr>
          <w:rFonts w:hint="eastAsia" w:ascii="仿宋" w:hAnsi="仿宋" w:eastAsia="微软雅黑" w:cstheme="minorBidi"/>
          <w:color w:val="auto"/>
          <w:sz w:val="24"/>
          <w:highlight w:val="none"/>
          <w:lang w:val="en-US" w:eastAsia="zh-CN"/>
        </w:rPr>
      </w:pPr>
      <w:r>
        <w:rPr>
          <w:rFonts w:hint="eastAsia"/>
          <w:color w:val="auto"/>
          <w:sz w:val="24"/>
          <w:highlight w:val="none"/>
        </w:rPr>
        <w:t>五、一般公共预算财政拨款支出决算情况说明</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7</w:t>
      </w:r>
    </w:p>
    <w:p>
      <w:pPr>
        <w:pStyle w:val="11"/>
        <w:adjustRightInd w:val="0"/>
        <w:snapToGrid w:val="0"/>
        <w:spacing w:line="440" w:lineRule="exact"/>
        <w:jc w:val="left"/>
        <w:rPr>
          <w:rFonts w:hint="default" w:ascii="仿宋" w:hAnsi="仿宋" w:eastAsia="微软雅黑" w:cstheme="minorBidi"/>
          <w:color w:val="auto"/>
          <w:sz w:val="24"/>
          <w:highlight w:val="none"/>
          <w:lang w:val="en-US" w:eastAsia="zh-CN"/>
        </w:rPr>
      </w:pPr>
      <w:r>
        <w:rPr>
          <w:rFonts w:hint="eastAsia"/>
          <w:color w:val="auto"/>
          <w:sz w:val="24"/>
          <w:highlight w:val="none"/>
        </w:rPr>
        <w:t>六、一般公共预算财政拨款基本支出决算情况说明</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11</w:t>
      </w:r>
    </w:p>
    <w:p>
      <w:pPr>
        <w:pStyle w:val="11"/>
        <w:adjustRightInd w:val="0"/>
        <w:snapToGrid w:val="0"/>
        <w:spacing w:line="440" w:lineRule="exact"/>
        <w:jc w:val="left"/>
        <w:rPr>
          <w:rFonts w:hint="default" w:ascii="仿宋" w:hAnsi="仿宋" w:eastAsia="微软雅黑"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11</w:t>
      </w:r>
    </w:p>
    <w:p>
      <w:pPr>
        <w:pStyle w:val="11"/>
        <w:adjustRightInd w:val="0"/>
        <w:snapToGrid w:val="0"/>
        <w:spacing w:line="440" w:lineRule="exact"/>
        <w:jc w:val="left"/>
        <w:rPr>
          <w:rFonts w:hint="default" w:ascii="仿宋" w:hAnsi="仿宋" w:eastAsia="微软雅黑" w:cstheme="minorBidi"/>
          <w:color w:val="auto"/>
          <w:sz w:val="24"/>
          <w:highlight w:val="none"/>
          <w:lang w:val="en-US" w:eastAsia="zh-CN"/>
        </w:rPr>
      </w:pPr>
      <w:r>
        <w:rPr>
          <w:rFonts w:hint="eastAsia"/>
          <w:color w:val="auto"/>
          <w:sz w:val="24"/>
          <w:highlight w:val="none"/>
        </w:rPr>
        <w:t>八、政府性基金预算支出决算情况说明</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13</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九、国有资本经营预算支出决算情况说明</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13</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十、其他重要事项的情况说明</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13</w:t>
      </w:r>
    </w:p>
    <w:p>
      <w:pPr>
        <w:pStyle w:val="10"/>
        <w:adjustRightInd w:val="0"/>
        <w:snapToGrid w:val="0"/>
        <w:spacing w:before="0" w:line="440" w:lineRule="exact"/>
        <w:jc w:val="left"/>
        <w:rPr>
          <w:rFonts w:hint="default" w:eastAsia="微软雅黑"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15</w:t>
      </w:r>
    </w:p>
    <w:p>
      <w:pPr>
        <w:pStyle w:val="10"/>
        <w:adjustRightInd w:val="0"/>
        <w:snapToGrid w:val="0"/>
        <w:spacing w:before="0" w:line="440" w:lineRule="exact"/>
        <w:jc w:val="left"/>
        <w:rPr>
          <w:rFonts w:hint="default" w:eastAsia="微软雅黑"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20</w:t>
      </w:r>
    </w:p>
    <w:p>
      <w:pPr>
        <w:pStyle w:val="10"/>
        <w:adjustRightInd w:val="0"/>
        <w:snapToGrid w:val="0"/>
        <w:spacing w:before="0" w:line="440" w:lineRule="exact"/>
        <w:jc w:val="left"/>
        <w:rPr>
          <w:rFonts w:hint="default" w:eastAsia="微软雅黑"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一、收入支出决算总表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二、收入决算表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三、支出决算表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四、财政拨款收入支出决算总表</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ascii="Times New Roman" w:hAnsi="Times New Roman" w:eastAsia="微软雅黑" w:cs="Times New Roman"/>
          <w:i w:val="0"/>
          <w:iCs w:val="0"/>
          <w:caps w:val="0"/>
          <w:color w:val="333333"/>
          <w:spacing w:val="0"/>
          <w:sz w:val="24"/>
          <w:szCs w:val="24"/>
          <w:shd w:val="clear" w:fill="FFFFFF"/>
          <w:lang w:val="en-US" w:eastAsia="zh-CN"/>
        </w:rPr>
      </w:pPr>
      <w:r>
        <w:rPr>
          <w:rFonts w:hint="eastAsia"/>
          <w:color w:val="auto"/>
          <w:sz w:val="24"/>
          <w:highlight w:val="none"/>
        </w:rPr>
        <w:t>五、财政拨款支出决算明细表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六、一般公共预算财政拨款支出决算表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七、一般公共预算财政拨款支出决算明细表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九、一般公共预算财政拨款项目支出决算表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十、政府性基金预算财政拨款收入支出决算表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十一、国有资本经营预算财政拨款收入支出决算表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pStyle w:val="11"/>
        <w:adjustRightInd w:val="0"/>
        <w:snapToGrid w:val="0"/>
        <w:spacing w:line="440" w:lineRule="exact"/>
        <w:jc w:val="left"/>
        <w:rPr>
          <w:rFonts w:hint="default" w:eastAsia="微软雅黑"/>
          <w:color w:val="auto"/>
          <w:sz w:val="24"/>
          <w:highlight w:val="none"/>
          <w:lang w:val="en-US" w:eastAsia="zh-CN"/>
        </w:rPr>
      </w:pPr>
      <w:r>
        <w:rPr>
          <w:rFonts w:hint="eastAsia"/>
          <w:color w:val="auto"/>
          <w:sz w:val="24"/>
          <w:highlight w:val="none"/>
        </w:rPr>
        <w:t>十三、财政拨款“三公”经费支出决算表</w:t>
      </w:r>
      <w:r>
        <w:rPr>
          <w:rFonts w:ascii="Times New Roman" w:hAnsi="Times New Roman" w:eastAsia="微软雅黑" w:cs="Times New Roman"/>
          <w:i w:val="0"/>
          <w:iCs w:val="0"/>
          <w:caps w:val="0"/>
          <w:color w:val="333333"/>
          <w:spacing w:val="0"/>
          <w:sz w:val="24"/>
          <w:szCs w:val="24"/>
          <w:shd w:val="clear" w:fill="FFFFFF"/>
        </w:rPr>
        <w:t>…………………………………</w:t>
      </w:r>
      <w:r>
        <w:rPr>
          <w:rFonts w:hint="eastAsia" w:ascii="Times New Roman" w:hAnsi="Times New Roman" w:eastAsia="微软雅黑" w:cs="Times New Roman"/>
          <w:i w:val="0"/>
          <w:iCs w:val="0"/>
          <w:caps w:val="0"/>
          <w:color w:val="333333"/>
          <w:spacing w:val="0"/>
          <w:sz w:val="24"/>
          <w:szCs w:val="24"/>
          <w:shd w:val="clear" w:fill="FFFFFF"/>
          <w:lang w:val="en-US" w:eastAsia="zh-CN"/>
        </w:rPr>
        <w:t>21</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lang w:eastAsia="zh-CN"/>
        </w:rPr>
        <w:t>主要职责</w:t>
      </w:r>
    </w:p>
    <w:p>
      <w:pPr>
        <w:keepNext w:val="0"/>
        <w:keepLines w:val="0"/>
        <w:widowControl/>
        <w:suppressLineNumbers w:val="0"/>
        <w:jc w:val="left"/>
      </w:pPr>
      <w:r>
        <w:rPr>
          <w:rFonts w:ascii="FZFangSong-Z02" w:hAnsi="FZFangSong-Z02" w:eastAsia="FZFangSong-Z02" w:cs="FZFangSong-Z02"/>
          <w:color w:val="000000"/>
          <w:kern w:val="0"/>
          <w:sz w:val="32"/>
          <w:szCs w:val="32"/>
          <w:lang w:val="en-US" w:eastAsia="zh-CN" w:bidi="ar"/>
        </w:rPr>
        <w:t xml:space="preserve">（一）基本医疗服务：负责辖区一般常见病、多发病、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地方病的基本医疗服务；现场救护和转诊服务；慢性病管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理服务；母婴保健技术服务等。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（二）公共卫生服务：坚持预防为主，及时处理辖区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重大疫情和公共卫生突发事件；重点预防控制地方病、传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染病、职业病等重大疾病；开展医学康复、精神卫生、基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本职业卫生、保健咨询服务；建立城乡居民健康档案，提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供健康教育、预防接种、儿童健康管理、孕产妇健康管理、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老年人健康管理、慢性病患者健康管理、严重精神障碍患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者管理、结核病患者管理、中医药健康管理、传染病和突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发公共卫生事件报告和处理、卫生计生监督协管等基本公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共卫生服务。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（三）综合管理服务：协助政府制定和组织实施辖区</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28"/>
          <w:szCs w:val="28"/>
          <w:lang w:val="en-US" w:eastAsia="zh-CN" w:bidi="ar"/>
        </w:rPr>
        <w:t xml:space="preserve">33 </w:t>
      </w:r>
      <w:r>
        <w:rPr>
          <w:rFonts w:hint="eastAsia" w:ascii="宋体" w:hAnsi="宋体" w:eastAsia="宋体" w:cs="宋体"/>
          <w:color w:val="000000"/>
          <w:kern w:val="0"/>
          <w:sz w:val="18"/>
          <w:szCs w:val="18"/>
          <w:lang w:val="en-US" w:eastAsia="zh-CN" w:bidi="ar"/>
        </w:rPr>
        <w:t xml:space="preserve">—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内卫生健康事业发展规划；管理、指导村卫生室业务工作，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并对乡村医生开展相关技能培训；开展医保政策法规宣传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咨询，配合做好即时补偿结算等工作。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（四）完成攀枝花市仁和区卫生健康局交办的其他工作任务。</w:t>
      </w:r>
    </w:p>
    <w:p>
      <w:pPr>
        <w:rPr>
          <w:rFonts w:hint="eastAsia"/>
          <w:lang w:eastAsia="zh-CN"/>
        </w:rPr>
      </w:pPr>
    </w:p>
    <w:p>
      <w:pPr>
        <w:pStyle w:val="4"/>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pPr>
        <w:numPr>
          <w:ilvl w:val="0"/>
          <w:numId w:val="0"/>
        </w:numPr>
        <w:ind w:leftChars="0"/>
        <w:rPr>
          <w:rFonts w:hint="eastAsia"/>
          <w:lang w:val="en-US" w:eastAsia="zh-CN"/>
        </w:rPr>
      </w:pPr>
    </w:p>
    <w:bookmarkEnd w:id="14"/>
    <w:bookmarkEnd w:id="15"/>
    <w:p>
      <w:pPr>
        <w:keepNext w:val="0"/>
        <w:keepLines w:val="0"/>
        <w:widowControl/>
        <w:suppressLineNumbers w:val="0"/>
        <w:ind w:firstLine="640" w:firstLineChars="200"/>
        <w:jc w:val="left"/>
      </w:pPr>
      <w:bookmarkStart w:id="67" w:name="_GoBack"/>
      <w:bookmarkEnd w:id="67"/>
      <w:r>
        <w:rPr>
          <w:rFonts w:ascii="FZFangSong-Z02" w:hAnsi="FZFangSong-Z02" w:eastAsia="FZFangSong-Z02" w:cs="FZFangSong-Z02"/>
          <w:color w:val="000000"/>
          <w:kern w:val="0"/>
          <w:sz w:val="32"/>
          <w:szCs w:val="32"/>
          <w:lang w:val="en-US" w:eastAsia="zh-CN" w:bidi="ar"/>
        </w:rPr>
        <w:t>攀枝花市仁和区</w:t>
      </w:r>
      <w:r>
        <w:rPr>
          <w:rFonts w:hint="eastAsia" w:ascii="FZFangSong-Z02" w:hAnsi="FZFangSong-Z02" w:eastAsia="FZFangSong-Z02" w:cs="FZFangSong-Z02"/>
          <w:color w:val="000000"/>
          <w:kern w:val="0"/>
          <w:sz w:val="32"/>
          <w:szCs w:val="32"/>
          <w:lang w:val="en-US" w:eastAsia="zh-CN" w:bidi="ar"/>
        </w:rPr>
        <w:t>中坝乡卫生院</w:t>
      </w:r>
      <w:r>
        <w:rPr>
          <w:rFonts w:hint="default" w:ascii="FZFangSong-Z02" w:hAnsi="FZFangSong-Z02" w:eastAsia="FZFangSong-Z02" w:cs="FZFangSong-Z02"/>
          <w:color w:val="000000"/>
          <w:kern w:val="0"/>
          <w:sz w:val="32"/>
          <w:szCs w:val="32"/>
          <w:lang w:val="en-US" w:eastAsia="zh-CN" w:bidi="ar"/>
        </w:rPr>
        <w:t>下设</w:t>
      </w:r>
      <w:r>
        <w:rPr>
          <w:rFonts w:hint="eastAsia" w:ascii="FZFangSong-Z02" w:hAnsi="FZFangSong-Z02" w:eastAsia="宋体" w:cs="FZFangSong-Z02"/>
          <w:color w:val="000000"/>
          <w:kern w:val="0"/>
          <w:sz w:val="32"/>
          <w:szCs w:val="32"/>
          <w:lang w:val="en-US" w:eastAsia="zh-CN" w:bidi="ar"/>
        </w:rPr>
        <w:t>办公室、全科医疗科、公共卫生科、中医科、药剂科、医技科、护理部</w:t>
      </w:r>
      <w:r>
        <w:rPr>
          <w:rFonts w:hint="eastAsia" w:ascii="宋体" w:hAnsi="宋体" w:eastAsia="宋体" w:cs="宋体"/>
          <w:color w:val="000000"/>
          <w:kern w:val="0"/>
          <w:sz w:val="32"/>
          <w:szCs w:val="32"/>
          <w:lang w:val="en-US" w:eastAsia="zh-CN" w:bidi="ar"/>
        </w:rPr>
        <w:t>7</w:t>
      </w:r>
      <w:r>
        <w:rPr>
          <w:rFonts w:hint="default" w:ascii="FZFangSong-Z02" w:hAnsi="FZFangSong-Z02" w:eastAsia="FZFangSong-Z02" w:cs="FZFangSong-Z02"/>
          <w:color w:val="000000"/>
          <w:kern w:val="0"/>
          <w:sz w:val="32"/>
          <w:szCs w:val="32"/>
          <w:lang w:val="en-US" w:eastAsia="zh-CN" w:bidi="ar"/>
        </w:rPr>
        <w:t>个内设</w:t>
      </w:r>
      <w:r>
        <w:rPr>
          <w:rFonts w:hint="eastAsia" w:ascii="FZFangSong-Z02" w:hAnsi="FZFangSong-Z02" w:eastAsia="FZFangSong-Z02" w:cs="FZFangSong-Z02"/>
          <w:color w:val="000000"/>
          <w:kern w:val="0"/>
          <w:sz w:val="32"/>
          <w:szCs w:val="32"/>
          <w:lang w:val="en-US" w:eastAsia="zh-CN" w:bidi="ar"/>
        </w:rPr>
        <w:t>职能科室</w:t>
      </w:r>
      <w:r>
        <w:rPr>
          <w:rFonts w:hint="default" w:ascii="FZFangSong-Z02" w:hAnsi="FZFangSong-Z02" w:eastAsia="FZFangSong-Z02" w:cs="FZFangSong-Z02"/>
          <w:color w:val="000000"/>
          <w:kern w:val="0"/>
          <w:sz w:val="32"/>
          <w:szCs w:val="32"/>
          <w:lang w:val="en-US" w:eastAsia="zh-CN" w:bidi="ar"/>
        </w:rPr>
        <w:t>。</w:t>
      </w:r>
      <w:r>
        <w:rPr>
          <w:rFonts w:hint="eastAsia" w:ascii="FZFangSong-Z02" w:hAnsi="FZFangSong-Z02" w:eastAsia="宋体" w:cs="FZFangSong-Z02"/>
          <w:color w:val="000000"/>
          <w:kern w:val="0"/>
          <w:sz w:val="32"/>
          <w:szCs w:val="32"/>
          <w:lang w:val="en-US" w:eastAsia="zh-CN" w:bidi="ar"/>
        </w:rPr>
        <w:t>我单位核定编制</w:t>
      </w:r>
      <w:r>
        <w:rPr>
          <w:rFonts w:hint="eastAsia" w:ascii="宋体" w:hAnsi="宋体" w:eastAsia="宋体" w:cs="宋体"/>
          <w:color w:val="000000"/>
          <w:kern w:val="0"/>
          <w:sz w:val="32"/>
          <w:szCs w:val="32"/>
          <w:lang w:val="en-US" w:eastAsia="zh-CN" w:bidi="ar"/>
        </w:rPr>
        <w:t>14</w:t>
      </w:r>
      <w:r>
        <w:rPr>
          <w:rFonts w:hint="eastAsia" w:ascii="FZFangSong-Z02" w:hAnsi="FZFangSong-Z02" w:eastAsia="宋体" w:cs="FZFangSong-Z02"/>
          <w:color w:val="000000"/>
          <w:kern w:val="0"/>
          <w:sz w:val="32"/>
          <w:szCs w:val="32"/>
          <w:lang w:val="en-US" w:eastAsia="zh-CN" w:bidi="ar"/>
        </w:rPr>
        <w:t>人，现有职工</w:t>
      </w:r>
      <w:r>
        <w:rPr>
          <w:rFonts w:hint="eastAsia" w:ascii="宋体" w:hAnsi="宋体" w:eastAsia="宋体" w:cs="宋体"/>
          <w:color w:val="000000"/>
          <w:kern w:val="0"/>
          <w:sz w:val="32"/>
          <w:szCs w:val="32"/>
          <w:lang w:val="en-US" w:eastAsia="zh-CN" w:bidi="ar"/>
        </w:rPr>
        <w:t>19</w:t>
      </w:r>
      <w:r>
        <w:rPr>
          <w:rFonts w:hint="eastAsia" w:ascii="FZFangSong-Z02" w:hAnsi="FZFangSong-Z02" w:eastAsia="宋体" w:cs="FZFangSong-Z02"/>
          <w:color w:val="000000"/>
          <w:kern w:val="0"/>
          <w:sz w:val="32"/>
          <w:szCs w:val="32"/>
          <w:lang w:val="en-US" w:eastAsia="zh-CN" w:bidi="ar"/>
        </w:rPr>
        <w:t>人，其中在编</w:t>
      </w:r>
      <w:r>
        <w:rPr>
          <w:rFonts w:hint="eastAsia" w:ascii="宋体" w:hAnsi="宋体" w:eastAsia="宋体" w:cs="宋体"/>
          <w:color w:val="000000"/>
          <w:kern w:val="0"/>
          <w:sz w:val="32"/>
          <w:szCs w:val="32"/>
          <w:lang w:val="en-US" w:eastAsia="zh-CN" w:bidi="ar"/>
        </w:rPr>
        <w:t>13</w:t>
      </w:r>
      <w:r>
        <w:rPr>
          <w:rFonts w:hint="eastAsia" w:ascii="FZFangSong-Z02" w:hAnsi="FZFangSong-Z02" w:eastAsia="宋体" w:cs="FZFangSong-Z02"/>
          <w:color w:val="000000"/>
          <w:kern w:val="0"/>
          <w:sz w:val="32"/>
          <w:szCs w:val="32"/>
          <w:lang w:val="en-US" w:eastAsia="zh-CN" w:bidi="ar"/>
        </w:rPr>
        <w:t>人,临聘</w:t>
      </w:r>
      <w:r>
        <w:rPr>
          <w:rFonts w:hint="eastAsia" w:ascii="宋体" w:hAnsi="宋体" w:eastAsia="宋体" w:cs="宋体"/>
          <w:color w:val="000000"/>
          <w:kern w:val="0"/>
          <w:sz w:val="32"/>
          <w:szCs w:val="32"/>
          <w:lang w:val="en-US" w:eastAsia="zh-CN" w:bidi="ar"/>
        </w:rPr>
        <w:t>6</w:t>
      </w:r>
      <w:r>
        <w:rPr>
          <w:rFonts w:hint="eastAsia" w:ascii="FZFangSong-Z02" w:hAnsi="FZFangSong-Z02" w:eastAsia="宋体" w:cs="FZFangSong-Z02"/>
          <w:color w:val="000000"/>
          <w:kern w:val="0"/>
          <w:sz w:val="32"/>
          <w:szCs w:val="32"/>
          <w:lang w:val="en-US" w:eastAsia="zh-CN" w:bidi="ar"/>
        </w:rPr>
        <w:t>人；退休职工</w:t>
      </w:r>
      <w:r>
        <w:rPr>
          <w:rFonts w:hint="eastAsia" w:ascii="宋体" w:hAnsi="宋体" w:eastAsia="宋体" w:cs="宋体"/>
          <w:color w:val="000000"/>
          <w:kern w:val="0"/>
          <w:sz w:val="32"/>
          <w:szCs w:val="32"/>
          <w:lang w:val="en-US" w:eastAsia="zh-CN" w:bidi="ar"/>
        </w:rPr>
        <w:t>2</w:t>
      </w:r>
      <w:r>
        <w:rPr>
          <w:rFonts w:hint="eastAsia" w:ascii="FZFangSong-Z02" w:hAnsi="FZFangSong-Z02" w:eastAsia="宋体" w:cs="FZFangSong-Z02"/>
          <w:color w:val="000000"/>
          <w:kern w:val="0"/>
          <w:sz w:val="32"/>
          <w:szCs w:val="32"/>
          <w:lang w:val="en-US" w:eastAsia="zh-CN" w:bidi="ar"/>
        </w:rPr>
        <w:t>人。</w:t>
      </w:r>
    </w:p>
    <w:p>
      <w:pPr>
        <w:widowControl/>
        <w:jc w:val="left"/>
        <w:rPr>
          <w:rFonts w:ascii="仿宋" w:hAnsi="仿宋" w:eastAsia="仿宋"/>
          <w:color w:val="auto"/>
          <w:kern w:val="0"/>
          <w:sz w:val="32"/>
          <w:szCs w:val="32"/>
          <w:highlight w:val="none"/>
        </w:rPr>
      </w:pPr>
    </w:p>
    <w:p>
      <w:pPr>
        <w:pStyle w:val="3"/>
        <w:ind w:right="440"/>
        <w:jc w:val="center"/>
        <w:rPr>
          <w:rStyle w:val="25"/>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417.13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103.87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33.16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仿宋"/>
          <w:i w:val="0"/>
          <w:iCs w:val="0"/>
          <w:caps w:val="0"/>
          <w:color w:val="333333"/>
          <w:spacing w:val="0"/>
          <w:sz w:val="32"/>
          <w:szCs w:val="32"/>
          <w:shd w:val="clear" w:fill="FFFFFF"/>
        </w:rPr>
        <w:t>医疗业务收入</w:t>
      </w:r>
      <w:r>
        <w:rPr>
          <w:rFonts w:hint="eastAsia" w:ascii="仿宋" w:hAnsi="仿宋" w:eastAsia="仿宋" w:cs="仿宋"/>
          <w:i w:val="0"/>
          <w:iCs w:val="0"/>
          <w:caps w:val="0"/>
          <w:color w:val="333333"/>
          <w:spacing w:val="0"/>
          <w:sz w:val="32"/>
          <w:szCs w:val="32"/>
          <w:shd w:val="clear" w:fill="FFFFFF"/>
          <w:lang w:eastAsia="zh-CN"/>
        </w:rPr>
        <w:t>增加</w:t>
      </w:r>
      <w:r>
        <w:rPr>
          <w:rFonts w:hint="eastAsia" w:ascii="仿宋" w:hAnsi="仿宋" w:eastAsia="仿宋"/>
          <w:color w:val="auto"/>
          <w:sz w:val="32"/>
          <w:szCs w:val="32"/>
          <w:highlight w:val="none"/>
          <w:lang w:eastAsia="zh-CN"/>
        </w:rPr>
        <w:t>。</w:t>
      </w:r>
    </w:p>
    <w:p>
      <w:pPr>
        <w:pStyle w:val="2"/>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r>
        <w:drawing>
          <wp:inline distT="0" distB="0" distL="114300" distR="114300">
            <wp:extent cx="4572000" cy="2562225"/>
            <wp:effectExtent l="4445" t="4445" r="14605" b="5080"/>
            <wp:docPr id="152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微软雅黑" w:hAnsi="微软雅黑" w:eastAsia="微软雅黑" w:cs="微软雅黑"/>
          <w:i w:val="0"/>
          <w:iCs w:val="0"/>
          <w:caps w:val="0"/>
          <w:color w:val="333333"/>
          <w:spacing w:val="0"/>
          <w:sz w:val="24"/>
          <w:szCs w:val="24"/>
          <w:shd w:val="clear"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417.13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269.03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64.5</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0.04</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147.95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35.46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2"/>
        <w:rPr>
          <w:rFonts w:hint="eastAsia" w:ascii="微软雅黑" w:hAnsi="微软雅黑" w:eastAsia="微软雅黑" w:cs="微软雅黑"/>
          <w:i w:val="0"/>
          <w:iCs w:val="0"/>
          <w:caps w:val="0"/>
          <w:color w:val="333333"/>
          <w:spacing w:val="0"/>
          <w:sz w:val="24"/>
          <w:szCs w:val="24"/>
          <w:shd w:val="clear" w:fill="FFFFFF"/>
        </w:rPr>
      </w:pPr>
      <w:r>
        <w:drawing>
          <wp:inline distT="0" distB="0" distL="114300" distR="114300">
            <wp:extent cx="4679950" cy="3264535"/>
            <wp:effectExtent l="4445" t="4445" r="20955" b="7620"/>
            <wp:docPr id="153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269.18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149.76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55.64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119.42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44.36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r>
        <w:drawing>
          <wp:inline distT="0" distB="0" distL="114300" distR="114300">
            <wp:extent cx="3888105" cy="2844165"/>
            <wp:effectExtent l="4445" t="4445" r="12700" b="8890"/>
            <wp:docPr id="153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6"/>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417.13</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103.87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33.16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仿宋"/>
          <w:i w:val="0"/>
          <w:iCs w:val="0"/>
          <w:caps w:val="0"/>
          <w:color w:val="333333"/>
          <w:spacing w:val="0"/>
          <w:sz w:val="32"/>
          <w:szCs w:val="32"/>
          <w:shd w:val="clear" w:fill="FFFFFF"/>
        </w:rPr>
        <w:t>医疗业务收入</w:t>
      </w:r>
      <w:r>
        <w:rPr>
          <w:rFonts w:hint="eastAsia" w:ascii="仿宋" w:hAnsi="仿宋" w:eastAsia="仿宋" w:cs="仿宋"/>
          <w:i w:val="0"/>
          <w:iCs w:val="0"/>
          <w:caps w:val="0"/>
          <w:color w:val="333333"/>
          <w:spacing w:val="0"/>
          <w:sz w:val="32"/>
          <w:szCs w:val="32"/>
          <w:shd w:val="clear" w:fill="FFFFFF"/>
          <w:lang w:eastAsia="zh-CN"/>
        </w:rPr>
        <w:t>增加。</w:t>
      </w:r>
    </w:p>
    <w:p>
      <w:pPr>
        <w:pStyle w:val="2"/>
        <w:rPr>
          <w:rFonts w:ascii="仿宋" w:hAnsi="仿宋" w:eastAsia="仿宋"/>
          <w:color w:val="auto"/>
          <w:sz w:val="32"/>
          <w:szCs w:val="32"/>
          <w:highlight w:val="none"/>
        </w:rPr>
      </w:pPr>
      <w:r>
        <w:drawing>
          <wp:inline distT="0" distB="0" distL="114300" distR="114300">
            <wp:extent cx="4572000" cy="2743835"/>
            <wp:effectExtent l="4445" t="4445" r="14605" b="13970"/>
            <wp:docPr id="153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6"/>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269.03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5.88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2.14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财政支付困难。</w:t>
      </w:r>
    </w:p>
    <w:p>
      <w:pPr>
        <w:pStyle w:val="2"/>
        <w:rPr>
          <w:rFonts w:ascii="仿宋" w:hAnsi="仿宋" w:eastAsia="仿宋"/>
          <w:color w:val="auto"/>
          <w:sz w:val="32"/>
          <w:szCs w:val="32"/>
          <w:highlight w:val="none"/>
        </w:rPr>
      </w:pPr>
      <w:r>
        <w:drawing>
          <wp:inline distT="0" distB="0" distL="114300" distR="114300">
            <wp:extent cx="4572000" cy="2744470"/>
            <wp:effectExtent l="4445" t="4445" r="14605" b="13335"/>
            <wp:docPr id="153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269.03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14.26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242.38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12.39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r>
        <w:drawing>
          <wp:inline distT="0" distB="0" distL="114300" distR="114300">
            <wp:extent cx="3905885" cy="3114040"/>
            <wp:effectExtent l="4445" t="5080" r="13970" b="5080"/>
            <wp:docPr id="153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269.03</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1、社会保障和就业（类）行政事业单位养老支出（款）事业单位离退休（项）</w:t>
      </w: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32"/>
          <w:szCs w:val="32"/>
          <w:shd w:val="clear" w:fill="FFFFFF"/>
        </w:rPr>
        <w:t>支出决算为</w:t>
      </w:r>
      <w:r>
        <w:rPr>
          <w:rFonts w:hint="eastAsia" w:ascii="仿宋" w:hAnsi="仿宋" w:eastAsia="仿宋" w:cs="仿宋"/>
          <w:i w:val="0"/>
          <w:iCs w:val="0"/>
          <w:caps w:val="0"/>
          <w:color w:val="333333"/>
          <w:spacing w:val="0"/>
          <w:sz w:val="32"/>
          <w:szCs w:val="32"/>
          <w:shd w:val="clear" w:fill="FFFFFF"/>
          <w:lang w:val="en-US" w:eastAsia="zh-CN"/>
        </w:rPr>
        <w:t>1.98</w:t>
      </w:r>
      <w:r>
        <w:rPr>
          <w:rFonts w:hint="eastAsia" w:ascii="仿宋" w:hAnsi="仿宋" w:eastAsia="仿宋" w:cs="仿宋"/>
          <w:i w:val="0"/>
          <w:iCs w:val="0"/>
          <w:caps w:val="0"/>
          <w:color w:val="333333"/>
          <w:spacing w:val="0"/>
          <w:sz w:val="32"/>
          <w:szCs w:val="32"/>
          <w:shd w:val="clear" w:fill="FFFFFF"/>
        </w:rPr>
        <w:t>万元，完成预算100%，与预算数持平。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2、社会保障和就业（类）行政事业单位养老支出（款）机关事业单位基本养老保险缴费支出（项）</w:t>
      </w: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32"/>
          <w:szCs w:val="32"/>
          <w:shd w:val="clear" w:fill="FFFFFF"/>
        </w:rPr>
        <w:t>支出决算为</w:t>
      </w:r>
      <w:r>
        <w:rPr>
          <w:rFonts w:hint="eastAsia" w:ascii="仿宋" w:hAnsi="仿宋" w:eastAsia="仿宋" w:cs="仿宋"/>
          <w:i w:val="0"/>
          <w:iCs w:val="0"/>
          <w:caps w:val="0"/>
          <w:color w:val="333333"/>
          <w:spacing w:val="0"/>
          <w:sz w:val="32"/>
          <w:szCs w:val="32"/>
          <w:shd w:val="clear" w:fill="FFFFFF"/>
          <w:lang w:val="en-US" w:eastAsia="zh-CN"/>
        </w:rPr>
        <w:t>12.28</w:t>
      </w:r>
      <w:r>
        <w:rPr>
          <w:rFonts w:hint="eastAsia" w:ascii="仿宋" w:hAnsi="仿宋" w:eastAsia="仿宋" w:cs="仿宋"/>
          <w:i w:val="0"/>
          <w:iCs w:val="0"/>
          <w:caps w:val="0"/>
          <w:color w:val="333333"/>
          <w:spacing w:val="0"/>
          <w:sz w:val="32"/>
          <w:szCs w:val="32"/>
          <w:shd w:val="clear" w:fill="FFFFFF"/>
        </w:rPr>
        <w:t>万元，完成预算100%，与预算数持平。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、卫生健康支出（类）基层医疗卫生机构（款）乡镇卫生院（项）:支出决算为</w:t>
      </w:r>
      <w:r>
        <w:rPr>
          <w:rFonts w:hint="eastAsia" w:ascii="仿宋" w:hAnsi="仿宋" w:eastAsia="仿宋" w:cs="仿宋"/>
          <w:i w:val="0"/>
          <w:iCs w:val="0"/>
          <w:caps w:val="0"/>
          <w:color w:val="333333"/>
          <w:spacing w:val="0"/>
          <w:sz w:val="32"/>
          <w:szCs w:val="32"/>
          <w:shd w:val="clear" w:fill="FFFFFF"/>
          <w:lang w:val="en-US" w:eastAsia="zh-CN"/>
        </w:rPr>
        <w:t>151.82万</w:t>
      </w:r>
      <w:r>
        <w:rPr>
          <w:rFonts w:hint="eastAsia" w:ascii="仿宋" w:hAnsi="仿宋" w:eastAsia="仿宋" w:cs="仿宋"/>
          <w:i w:val="0"/>
          <w:iCs w:val="0"/>
          <w:caps w:val="0"/>
          <w:color w:val="333333"/>
          <w:spacing w:val="0"/>
          <w:sz w:val="32"/>
          <w:szCs w:val="32"/>
          <w:shd w:val="clear" w:fill="FFFFFF"/>
        </w:rPr>
        <w:t>元，完成预算100%，与预算数持平。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、卫生健康支出（类）基层医疗卫生机构（款）其他基层医疗卫生机构支出（项）:支出决算为</w:t>
      </w:r>
      <w:r>
        <w:rPr>
          <w:rFonts w:hint="eastAsia" w:ascii="仿宋" w:hAnsi="仿宋" w:eastAsia="仿宋" w:cs="仿宋"/>
          <w:i w:val="0"/>
          <w:iCs w:val="0"/>
          <w:caps w:val="0"/>
          <w:color w:val="333333"/>
          <w:spacing w:val="0"/>
          <w:sz w:val="32"/>
          <w:szCs w:val="32"/>
          <w:shd w:val="clear" w:fill="FFFFFF"/>
          <w:lang w:val="en-US" w:eastAsia="zh-CN"/>
        </w:rPr>
        <w:t>10.38</w:t>
      </w:r>
      <w:r>
        <w:rPr>
          <w:rFonts w:hint="eastAsia" w:ascii="仿宋" w:hAnsi="仿宋" w:eastAsia="仿宋" w:cs="仿宋"/>
          <w:i w:val="0"/>
          <w:iCs w:val="0"/>
          <w:caps w:val="0"/>
          <w:color w:val="333333"/>
          <w:spacing w:val="0"/>
          <w:sz w:val="32"/>
          <w:szCs w:val="32"/>
          <w:shd w:val="clear" w:fill="FFFFFF"/>
        </w:rPr>
        <w:t>万元，完成预算100%，与预算数持平。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、卫生健康支出（类）公共卫生（款）基本公共卫生服务（项）:支出决算为70.</w:t>
      </w:r>
      <w:r>
        <w:rPr>
          <w:rFonts w:hint="eastAsia" w:ascii="仿宋" w:hAnsi="仿宋" w:eastAsia="仿宋" w:cs="仿宋"/>
          <w:i w:val="0"/>
          <w:iCs w:val="0"/>
          <w:caps w:val="0"/>
          <w:color w:val="333333"/>
          <w:spacing w:val="0"/>
          <w:sz w:val="32"/>
          <w:szCs w:val="32"/>
          <w:shd w:val="clear" w:fill="FFFFFF"/>
          <w:lang w:val="en-US" w:eastAsia="zh-CN"/>
        </w:rPr>
        <w:t>76</w:t>
      </w:r>
      <w:r>
        <w:rPr>
          <w:rFonts w:hint="eastAsia" w:ascii="仿宋" w:hAnsi="仿宋" w:eastAsia="仿宋" w:cs="仿宋"/>
          <w:i w:val="0"/>
          <w:iCs w:val="0"/>
          <w:caps w:val="0"/>
          <w:color w:val="333333"/>
          <w:spacing w:val="0"/>
          <w:sz w:val="32"/>
          <w:szCs w:val="32"/>
          <w:shd w:val="clear" w:fill="FFFFFF"/>
        </w:rPr>
        <w:t>万元，完成预算100%，与预算数持平。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7、卫生健康支出（类）公共卫生（款）重大公共卫生服务（项）:支出决算为0.</w:t>
      </w:r>
      <w:r>
        <w:rPr>
          <w:rFonts w:hint="eastAsia" w:ascii="仿宋" w:hAnsi="仿宋" w:eastAsia="仿宋" w:cs="仿宋"/>
          <w:i w:val="0"/>
          <w:iCs w:val="0"/>
          <w:caps w:val="0"/>
          <w:color w:val="333333"/>
          <w:spacing w:val="0"/>
          <w:sz w:val="32"/>
          <w:szCs w:val="32"/>
          <w:shd w:val="clear" w:fill="FFFFFF"/>
          <w:lang w:val="en-US" w:eastAsia="zh-CN"/>
        </w:rPr>
        <w:t>14</w:t>
      </w:r>
      <w:r>
        <w:rPr>
          <w:rFonts w:hint="eastAsia" w:ascii="仿宋" w:hAnsi="仿宋" w:eastAsia="仿宋" w:cs="仿宋"/>
          <w:i w:val="0"/>
          <w:iCs w:val="0"/>
          <w:caps w:val="0"/>
          <w:color w:val="333333"/>
          <w:spacing w:val="0"/>
          <w:sz w:val="32"/>
          <w:szCs w:val="32"/>
          <w:shd w:val="clear" w:fill="FFFFFF"/>
        </w:rPr>
        <w:t>万元，完成预算100%，与预算数持平。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lang w:val="en-US" w:eastAsia="zh-CN"/>
        </w:rPr>
        <w:t>8</w:t>
      </w:r>
      <w:r>
        <w:rPr>
          <w:rFonts w:hint="eastAsia" w:ascii="仿宋" w:hAnsi="仿宋" w:eastAsia="仿宋" w:cs="仿宋"/>
          <w:i w:val="0"/>
          <w:iCs w:val="0"/>
          <w:caps w:val="0"/>
          <w:color w:val="333333"/>
          <w:spacing w:val="0"/>
          <w:sz w:val="32"/>
          <w:szCs w:val="32"/>
          <w:shd w:val="clear" w:fill="FFFFFF"/>
        </w:rPr>
        <w:t>、卫生健康支出（类）行政事业单位医疗（款）事业单位医疗（项）:支出决算为8.</w:t>
      </w:r>
      <w:r>
        <w:rPr>
          <w:rFonts w:hint="eastAsia" w:ascii="仿宋" w:hAnsi="仿宋" w:eastAsia="仿宋" w:cs="仿宋"/>
          <w:i w:val="0"/>
          <w:iCs w:val="0"/>
          <w:caps w:val="0"/>
          <w:color w:val="333333"/>
          <w:spacing w:val="0"/>
          <w:sz w:val="32"/>
          <w:szCs w:val="32"/>
          <w:shd w:val="clear" w:fill="FFFFFF"/>
          <w:lang w:val="en-US" w:eastAsia="zh-CN"/>
        </w:rPr>
        <w:t>15</w:t>
      </w:r>
      <w:r>
        <w:rPr>
          <w:rFonts w:hint="eastAsia" w:ascii="仿宋" w:hAnsi="仿宋" w:eastAsia="仿宋" w:cs="仿宋"/>
          <w:i w:val="0"/>
          <w:iCs w:val="0"/>
          <w:caps w:val="0"/>
          <w:color w:val="333333"/>
          <w:spacing w:val="0"/>
          <w:sz w:val="32"/>
          <w:szCs w:val="32"/>
          <w:shd w:val="clear" w:fill="FFFFFF"/>
        </w:rPr>
        <w:t>万元，完成预算100%，与预算数持平。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lang w:val="en-US" w:eastAsia="zh-CN"/>
        </w:rPr>
        <w:t>9</w:t>
      </w:r>
      <w:r>
        <w:rPr>
          <w:rFonts w:hint="eastAsia" w:ascii="仿宋" w:hAnsi="仿宋" w:eastAsia="仿宋" w:cs="仿宋"/>
          <w:i w:val="0"/>
          <w:iCs w:val="0"/>
          <w:caps w:val="0"/>
          <w:color w:val="333333"/>
          <w:spacing w:val="0"/>
          <w:sz w:val="32"/>
          <w:szCs w:val="32"/>
          <w:shd w:val="clear" w:fill="FFFFFF"/>
        </w:rPr>
        <w:t>、卫生健康支出（类）行政事业单位医疗（款）公务员医疗补助（项）:支出决算为1.1</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万元，完成预算100%，与预算数持平。</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s="仿宋"/>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lang w:val="en-US" w:eastAsia="zh-CN"/>
        </w:rPr>
        <w:t>0</w:t>
      </w:r>
      <w:r>
        <w:rPr>
          <w:rFonts w:hint="eastAsia" w:ascii="仿宋" w:hAnsi="仿宋" w:eastAsia="仿宋" w:cs="仿宋"/>
          <w:i w:val="0"/>
          <w:iCs w:val="0"/>
          <w:caps w:val="0"/>
          <w:color w:val="333333"/>
          <w:spacing w:val="0"/>
          <w:sz w:val="32"/>
          <w:szCs w:val="32"/>
          <w:shd w:val="clear" w:fill="FFFFFF"/>
        </w:rPr>
        <w:t>、住房保障支出（类）住房改革支出（款）住房公积金（项）：支出决算为</w:t>
      </w:r>
      <w:r>
        <w:rPr>
          <w:rFonts w:hint="eastAsia" w:ascii="仿宋" w:hAnsi="仿宋" w:eastAsia="仿宋" w:cs="仿宋"/>
          <w:i w:val="0"/>
          <w:iCs w:val="0"/>
          <w:caps w:val="0"/>
          <w:color w:val="333333"/>
          <w:spacing w:val="0"/>
          <w:sz w:val="32"/>
          <w:szCs w:val="32"/>
          <w:shd w:val="clear" w:fill="FFFFFF"/>
          <w:lang w:val="en-US" w:eastAsia="zh-CN"/>
        </w:rPr>
        <w:t>12.39</w:t>
      </w:r>
      <w:r>
        <w:rPr>
          <w:rFonts w:hint="eastAsia" w:ascii="仿宋" w:hAnsi="仿宋" w:eastAsia="仿宋" w:cs="仿宋"/>
          <w:i w:val="0"/>
          <w:iCs w:val="0"/>
          <w:caps w:val="0"/>
          <w:color w:val="333333"/>
          <w:spacing w:val="0"/>
          <w:sz w:val="32"/>
          <w:szCs w:val="32"/>
          <w:shd w:val="clear" w:fill="FFFFFF"/>
        </w:rPr>
        <w:t>万元，完成预算100%，与预算数持平。</w:t>
      </w:r>
    </w:p>
    <w:p>
      <w:pPr>
        <w:tabs>
          <w:tab w:val="right" w:pos="8306"/>
        </w:tabs>
        <w:spacing w:line="600" w:lineRule="exact"/>
        <w:ind w:firstLine="640"/>
        <w:outlineLvl w:val="1"/>
        <w:rPr>
          <w:rStyle w:val="26"/>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269.03</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149.76</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49.52万元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8.26万元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49.56万元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12.28万元</w:t>
      </w:r>
      <w:r>
        <w:rPr>
          <w:rFonts w:hint="eastAsia" w:ascii="仿宋" w:hAnsi="仿宋" w:eastAsia="仿宋"/>
          <w:color w:val="auto"/>
          <w:sz w:val="32"/>
          <w:szCs w:val="32"/>
          <w:highlight w:val="none"/>
        </w:rPr>
        <w:t>、职工基本医疗保险缴费</w:t>
      </w:r>
      <w:r>
        <w:rPr>
          <w:rFonts w:hint="eastAsia" w:ascii="仿宋" w:hAnsi="仿宋" w:eastAsia="仿宋"/>
          <w:color w:val="auto"/>
          <w:sz w:val="32"/>
          <w:szCs w:val="32"/>
          <w:highlight w:val="none"/>
          <w:lang w:val="en-US" w:eastAsia="zh-CN"/>
        </w:rPr>
        <w:t>8.15万元、公务员医疗补助缴费1.13万元、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1.07万元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12.39万元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医疗费</w:t>
      </w:r>
      <w:r>
        <w:rPr>
          <w:rFonts w:hint="eastAsia" w:ascii="仿宋" w:hAnsi="仿宋" w:eastAsia="仿宋"/>
          <w:color w:val="auto"/>
          <w:sz w:val="32"/>
          <w:szCs w:val="32"/>
          <w:highlight w:val="none"/>
          <w:lang w:val="en-US" w:eastAsia="zh-CN"/>
        </w:rPr>
        <w:t>4.2万元、</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val="en-US" w:eastAsia="zh-CN"/>
        </w:rPr>
        <w:t>3.2万元</w:t>
      </w:r>
      <w:r>
        <w:rPr>
          <w:rFonts w:hint="eastAsia" w:ascii="仿宋" w:hAnsi="仿宋" w:eastAsia="仿宋"/>
          <w:color w:val="auto"/>
          <w:sz w:val="32"/>
          <w:szCs w:val="32"/>
          <w:highlight w:val="none"/>
        </w:rPr>
        <w:t>。</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119.27</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2.23万元</w:t>
      </w:r>
      <w:r>
        <w:rPr>
          <w:rFonts w:hint="eastAsia" w:ascii="仿宋" w:hAnsi="仿宋" w:eastAsia="仿宋"/>
          <w:color w:val="auto"/>
          <w:sz w:val="32"/>
          <w:szCs w:val="32"/>
          <w:highlight w:val="none"/>
        </w:rPr>
        <w:t>、印刷费</w:t>
      </w:r>
      <w:r>
        <w:rPr>
          <w:rFonts w:hint="eastAsia" w:ascii="仿宋" w:hAnsi="仿宋" w:eastAsia="仿宋"/>
          <w:color w:val="auto"/>
          <w:sz w:val="32"/>
          <w:szCs w:val="32"/>
          <w:highlight w:val="none"/>
          <w:lang w:val="en-US" w:eastAsia="zh-CN"/>
        </w:rPr>
        <w:t>2.66万元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0.87万元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4万元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1.72万元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0.31万元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0.82万元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0.12万元</w:t>
      </w:r>
      <w:r>
        <w:rPr>
          <w:rFonts w:hint="eastAsia" w:ascii="仿宋" w:hAnsi="仿宋" w:eastAsia="仿宋"/>
          <w:color w:val="auto"/>
          <w:sz w:val="32"/>
          <w:szCs w:val="32"/>
          <w:highlight w:val="none"/>
        </w:rPr>
        <w:t>、公务接待费</w:t>
      </w:r>
      <w:r>
        <w:rPr>
          <w:rFonts w:hint="eastAsia" w:ascii="仿宋" w:hAnsi="仿宋" w:eastAsia="仿宋"/>
          <w:color w:val="auto"/>
          <w:sz w:val="32"/>
          <w:szCs w:val="32"/>
          <w:highlight w:val="none"/>
          <w:lang w:val="en-US" w:eastAsia="zh-CN"/>
        </w:rPr>
        <w:t>0.02万元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lang w:val="en-US" w:eastAsia="zh-CN"/>
        </w:rPr>
        <w:t>42.48万元、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56.77万元</w:t>
      </w:r>
      <w:r>
        <w:rPr>
          <w:rFonts w:hint="eastAsia" w:ascii="仿宋" w:hAnsi="仿宋" w:eastAsia="仿宋"/>
          <w:color w:val="auto"/>
          <w:sz w:val="32"/>
          <w:szCs w:val="32"/>
          <w:highlight w:val="none"/>
        </w:rPr>
        <w:t>、委托业务费</w:t>
      </w:r>
      <w:r>
        <w:rPr>
          <w:rFonts w:hint="eastAsia" w:ascii="仿宋" w:hAnsi="仿宋" w:eastAsia="仿宋"/>
          <w:color w:val="auto"/>
          <w:sz w:val="32"/>
          <w:szCs w:val="32"/>
          <w:highlight w:val="none"/>
          <w:lang w:val="en-US" w:eastAsia="zh-CN"/>
        </w:rPr>
        <w:t>0.17万元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0.88万元</w:t>
      </w:r>
      <w:r>
        <w:rPr>
          <w:rFonts w:hint="eastAsia" w:ascii="仿宋" w:hAnsi="仿宋" w:eastAsia="仿宋"/>
          <w:color w:val="auto"/>
          <w:sz w:val="32"/>
          <w:szCs w:val="32"/>
          <w:highlight w:val="none"/>
        </w:rPr>
        <w:t>、公务用车运行维护费</w:t>
      </w:r>
      <w:r>
        <w:rPr>
          <w:rFonts w:hint="eastAsia" w:ascii="仿宋" w:hAnsi="仿宋" w:eastAsia="仿宋"/>
          <w:color w:val="auto"/>
          <w:sz w:val="32"/>
          <w:szCs w:val="32"/>
          <w:highlight w:val="none"/>
          <w:lang w:val="en-US" w:eastAsia="zh-CN"/>
        </w:rPr>
        <w:t>5.2万元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0.11万元</w:t>
      </w:r>
      <w:r>
        <w:rPr>
          <w:rFonts w:hint="eastAsia" w:ascii="仿宋" w:hAnsi="仿宋" w:eastAsia="仿宋"/>
          <w:color w:val="auto"/>
          <w:sz w:val="32"/>
          <w:szCs w:val="32"/>
          <w:highlight w:val="none"/>
        </w:rPr>
        <w:t>、专用设备购置</w:t>
      </w:r>
      <w:r>
        <w:rPr>
          <w:rFonts w:hint="eastAsia" w:ascii="仿宋" w:hAnsi="仿宋" w:eastAsia="仿宋"/>
          <w:color w:val="auto"/>
          <w:sz w:val="32"/>
          <w:szCs w:val="32"/>
          <w:highlight w:val="none"/>
          <w:lang w:val="en-US" w:eastAsia="zh-CN"/>
        </w:rPr>
        <w:t>0.91万元</w:t>
      </w:r>
      <w:r>
        <w:rPr>
          <w:rFonts w:hint="eastAsia" w:ascii="仿宋" w:hAnsi="仿宋" w:eastAsia="仿宋"/>
          <w:color w:val="auto"/>
          <w:sz w:val="32"/>
          <w:szCs w:val="32"/>
          <w:highlight w:val="none"/>
        </w:rPr>
        <w:t>。</w:t>
      </w:r>
    </w:p>
    <w:p>
      <w:pPr>
        <w:spacing w:line="600" w:lineRule="exact"/>
        <w:ind w:firstLine="640"/>
        <w:outlineLvl w:val="1"/>
        <w:rPr>
          <w:rStyle w:val="26"/>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5.22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i w:val="0"/>
          <w:iCs w:val="0"/>
          <w:caps w:val="0"/>
          <w:color w:val="333333"/>
          <w:spacing w:val="0"/>
          <w:sz w:val="32"/>
          <w:szCs w:val="32"/>
          <w:shd w:val="clear" w:fill="FFFFFF"/>
        </w:rPr>
        <w:t>主要原因是我单位严格按照“三公”经费预算执行该经费的使用</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99.61</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0.39</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r>
        <w:drawing>
          <wp:inline distT="0" distB="0" distL="114300" distR="114300">
            <wp:extent cx="4572635" cy="2743200"/>
            <wp:effectExtent l="4445" t="4445" r="13970" b="14605"/>
            <wp:docPr id="15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hAnsi="仿宋_GB2312" w:eastAsia="仿宋_GB2312" w:cs="仿宋_GB2312"/>
          <w:i w:val="0"/>
          <w:iCs w:val="0"/>
          <w:caps w:val="0"/>
          <w:color w:val="333333"/>
          <w:spacing w:val="0"/>
          <w:sz w:val="32"/>
          <w:szCs w:val="32"/>
          <w:shd w:val="clear" w:fill="FFFFFF"/>
        </w:rPr>
        <w:t>因公出国（境）支出决算比2020年持平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5.2</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4.16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仿宋_GB2312" w:eastAsia="仿宋_GB2312" w:cs="仿宋_GB2312"/>
          <w:i w:val="0"/>
          <w:iCs w:val="0"/>
          <w:caps w:val="0"/>
          <w:color w:val="333333"/>
          <w:spacing w:val="0"/>
          <w:sz w:val="32"/>
          <w:szCs w:val="32"/>
          <w:shd w:val="clear" w:fill="FFFFFF"/>
        </w:rPr>
        <w:t>车辆运行维护费</w:t>
      </w:r>
      <w:r>
        <w:rPr>
          <w:rFonts w:hint="eastAsia" w:ascii="仿宋_GB2312" w:hAnsi="仿宋_GB2312" w:eastAsia="仿宋_GB2312" w:cs="仿宋_GB2312"/>
          <w:i w:val="0"/>
          <w:iCs w:val="0"/>
          <w:caps w:val="0"/>
          <w:color w:val="333333"/>
          <w:spacing w:val="0"/>
          <w:sz w:val="32"/>
          <w:szCs w:val="32"/>
          <w:shd w:val="clear" w:fill="FFFFFF"/>
          <w:lang w:eastAsia="zh-CN"/>
        </w:rPr>
        <w:t>增加</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、其他车型</w:t>
      </w:r>
      <w:r>
        <w:rPr>
          <w:rFonts w:hint="eastAsia" w:ascii="仿宋_GB2312" w:eastAsia="仿宋_GB2312"/>
          <w:color w:val="auto"/>
          <w:sz w:val="32"/>
          <w:szCs w:val="32"/>
          <w:highlight w:val="none"/>
          <w:lang w:val="en-US" w:eastAsia="zh-CN"/>
        </w:rPr>
        <w:t>1辆</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5.2</w:t>
      </w:r>
      <w:r>
        <w:rPr>
          <w:rFonts w:hint="eastAsia" w:ascii="仿宋_GB2312" w:eastAsia="仿宋_GB2312"/>
          <w:color w:val="auto"/>
          <w:sz w:val="32"/>
          <w:szCs w:val="32"/>
          <w:highlight w:val="none"/>
        </w:rPr>
        <w:t>万元。主要用于</w:t>
      </w:r>
      <w:r>
        <w:rPr>
          <w:rFonts w:hint="eastAsia" w:ascii="仿宋_GB2312" w:hAnsi="仿宋_GB2312" w:eastAsia="仿宋_GB2312" w:cs="仿宋_GB2312"/>
          <w:i w:val="0"/>
          <w:iCs w:val="0"/>
          <w:caps w:val="0"/>
          <w:color w:val="333333"/>
          <w:spacing w:val="0"/>
          <w:sz w:val="32"/>
          <w:szCs w:val="32"/>
          <w:shd w:val="clear" w:fill="FFFFFF"/>
        </w:rPr>
        <w:t>公共卫生下乡体检、新冠疫情防控值守卡点及核酸转运</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0.02</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0.13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86.67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仿宋_GB2312" w:eastAsia="仿宋_GB2312" w:cs="仿宋_GB2312"/>
          <w:i w:val="0"/>
          <w:iCs w:val="0"/>
          <w:caps w:val="0"/>
          <w:color w:val="333333"/>
          <w:spacing w:val="0"/>
          <w:sz w:val="32"/>
          <w:szCs w:val="32"/>
          <w:shd w:val="clear" w:fill="FFFFFF"/>
        </w:rPr>
        <w:t>卫生院当年</w:t>
      </w:r>
      <w:r>
        <w:rPr>
          <w:rFonts w:hint="eastAsia" w:ascii="仿宋_GB2312" w:hAnsi="仿宋_GB2312" w:eastAsia="仿宋_GB2312" w:cs="仿宋_GB2312"/>
          <w:i w:val="0"/>
          <w:iCs w:val="0"/>
          <w:caps w:val="0"/>
          <w:color w:val="333333"/>
          <w:spacing w:val="0"/>
          <w:sz w:val="32"/>
          <w:szCs w:val="32"/>
          <w:shd w:val="clear" w:fill="FFFFFF"/>
          <w:lang w:eastAsia="zh-CN"/>
        </w:rPr>
        <w:t>未</w:t>
      </w:r>
      <w:r>
        <w:rPr>
          <w:rFonts w:hint="eastAsia" w:ascii="仿宋_GB2312" w:hAnsi="仿宋_GB2312" w:eastAsia="仿宋_GB2312" w:cs="仿宋_GB2312"/>
          <w:i w:val="0"/>
          <w:iCs w:val="0"/>
          <w:caps w:val="0"/>
          <w:color w:val="333333"/>
          <w:spacing w:val="0"/>
          <w:sz w:val="32"/>
          <w:szCs w:val="32"/>
          <w:shd w:val="clear" w:fill="FFFFFF"/>
        </w:rPr>
        <w:t>接受省检</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0.02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用于攀枝花市第三人民医院到我单位检查重精工作接待费。</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40" w:name="_Toc15396610"/>
      <w:bookmarkStart w:id="41"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0.15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主要为委托业务费</w:t>
      </w:r>
      <w:r>
        <w:rPr>
          <w:rFonts w:hint="eastAsia" w:ascii="仿宋_GB2312" w:eastAsia="仿宋_GB2312"/>
          <w:color w:val="auto"/>
          <w:sz w:val="32"/>
          <w:szCs w:val="32"/>
          <w:highlight w:val="none"/>
          <w:lang w:val="en-US" w:eastAsia="zh-CN"/>
        </w:rPr>
        <w:t>0.15万元。</w:t>
      </w:r>
    </w:p>
    <w:p>
      <w:pPr>
        <w:numPr>
          <w:ilvl w:val="0"/>
          <w:numId w:val="3"/>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4" w:name="_Toc15396612"/>
      <w:bookmarkStart w:id="45" w:name="_Toc15377221"/>
      <w:r>
        <w:rPr>
          <w:rStyle w:val="26"/>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年，仁和区中坝乡卫生院属于财政补助的事业单位，无机关运行经费。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ascii="仿宋_GB2312" w:eastAsia="仿宋_GB2312"/>
          <w:color w:val="auto"/>
          <w:sz w:val="32"/>
          <w:szCs w:val="32"/>
          <w:highlight w:val="none"/>
        </w:rPr>
      </w:pPr>
      <w:r>
        <w:rPr>
          <w:rFonts w:hint="eastAsia" w:ascii="仿宋_GB2312" w:hAnsi="仿宋_GB2312" w:eastAsia="仿宋_GB2312" w:cs="仿宋_GB2312"/>
          <w:i w:val="0"/>
          <w:iCs w:val="0"/>
          <w:caps w:val="0"/>
          <w:color w:val="333333"/>
          <w:spacing w:val="0"/>
          <w:sz w:val="32"/>
          <w:szCs w:val="32"/>
          <w:shd w:val="clear" w:fill="FFFFFF"/>
        </w:rPr>
        <w:t>2021年，仁和区中坝乡卫生院未发生政府采购支出。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仿宋_GB2312" w:eastAsia="仿宋_GB2312" w:cs="仿宋_GB2312"/>
          <w:i w:val="0"/>
          <w:iCs w:val="0"/>
          <w:caps w:val="0"/>
          <w:color w:val="333333"/>
          <w:spacing w:val="0"/>
          <w:sz w:val="32"/>
          <w:szCs w:val="32"/>
          <w:shd w:val="clear" w:fill="FFFFFF"/>
        </w:rPr>
        <w:t>仁和区中坝乡卫生院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w:t>
      </w:r>
      <w:r>
        <w:rPr>
          <w:rFonts w:hint="eastAsia" w:ascii="仿宋_GB2312" w:hAnsi="仿宋_GB2312" w:eastAsia="仿宋_GB2312" w:cs="仿宋_GB2312"/>
          <w:i w:val="0"/>
          <w:iCs w:val="0"/>
          <w:caps w:val="0"/>
          <w:color w:val="333333"/>
          <w:spacing w:val="0"/>
          <w:sz w:val="32"/>
          <w:szCs w:val="32"/>
          <w:shd w:val="clear" w:fill="FFFFFF"/>
        </w:rPr>
        <w:t>主要是用于医院基本公共卫生服务下乡体检、入户随访及疫情防控相关工作所用。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i w:val="0"/>
          <w:iCs w:val="0"/>
          <w:caps w:val="0"/>
          <w:color w:val="333333"/>
          <w:spacing w:val="0"/>
          <w:sz w:val="32"/>
          <w:szCs w:val="32"/>
          <w:shd w:val="clear" w:fill="FFFFFF"/>
        </w:rPr>
        <w:t>基本公卫项目、实施基本药物制度及村卫生室补助项目、医疗卫生管理经费</w:t>
      </w:r>
      <w:r>
        <w:rPr>
          <w:rFonts w:hint="eastAsia" w:ascii="仿宋_GB2312" w:hAnsi="仿宋_GB2312" w:eastAsia="仿宋_GB2312" w:cs="仿宋_GB2312"/>
          <w:color w:val="auto"/>
          <w:sz w:val="32"/>
          <w:szCs w:val="32"/>
          <w:highlight w:val="none"/>
        </w:rPr>
        <w:t>项目开展了预算事前绩效评估，</w:t>
      </w:r>
      <w:r>
        <w:rPr>
          <w:rFonts w:hint="eastAsia" w:ascii="仿宋_GB2312" w:hAnsi="仿宋_GB2312" w:eastAsia="仿宋_GB2312" w:cs="仿宋_GB2312"/>
          <w:i w:val="0"/>
          <w:iCs w:val="0"/>
          <w:caps w:val="0"/>
          <w:color w:val="333333"/>
          <w:spacing w:val="0"/>
          <w:sz w:val="32"/>
          <w:szCs w:val="32"/>
          <w:shd w:val="clear" w:fill="FFFFFF"/>
        </w:rPr>
        <w:t>对医疗卫生管理经费</w:t>
      </w:r>
      <w:r>
        <w:rPr>
          <w:rFonts w:hint="eastAsia" w:ascii="仿宋_GB2312" w:hAnsi="仿宋_GB2312" w:eastAsia="仿宋_GB2312" w:cs="仿宋_GB2312"/>
          <w:color w:val="auto"/>
          <w:sz w:val="32"/>
          <w:szCs w:val="32"/>
          <w:highlight w:val="none"/>
        </w:rPr>
        <w:t>项目编制了绩效目标，预算执行过程中，选取</w:t>
      </w:r>
      <w:r>
        <w:rPr>
          <w:rFonts w:hint="eastAsia" w:ascii="仿宋_GB2312" w:hAnsi="仿宋_GB2312" w:eastAsia="仿宋_GB2312" w:cs="仿宋_GB2312"/>
          <w:i w:val="0"/>
          <w:iCs w:val="0"/>
          <w:caps w:val="0"/>
          <w:color w:val="333333"/>
          <w:spacing w:val="0"/>
          <w:sz w:val="32"/>
          <w:szCs w:val="32"/>
          <w:shd w:val="clear" w:fill="FFFFFF"/>
        </w:rPr>
        <w:t>医疗卫生管理经费</w:t>
      </w:r>
      <w:r>
        <w:rPr>
          <w:rFonts w:hint="eastAsia" w:ascii="仿宋_GB2312" w:hAnsi="仿宋_GB2312" w:eastAsia="仿宋_GB2312" w:cs="仿宋_GB2312"/>
          <w:color w:val="auto"/>
          <w:sz w:val="32"/>
          <w:szCs w:val="32"/>
          <w:highlight w:val="none"/>
        </w:rPr>
        <w:t>项目开展绩效监控，组织对</w:t>
      </w:r>
      <w:r>
        <w:rPr>
          <w:rFonts w:hint="eastAsia" w:ascii="仿宋_GB2312" w:hAnsi="仿宋_GB2312" w:eastAsia="仿宋_GB2312" w:cs="仿宋_GB2312"/>
          <w:i w:val="0"/>
          <w:iCs w:val="0"/>
          <w:caps w:val="0"/>
          <w:color w:val="333333"/>
          <w:spacing w:val="0"/>
          <w:sz w:val="32"/>
          <w:szCs w:val="32"/>
          <w:shd w:val="clear" w:fill="FFFFFF"/>
        </w:rPr>
        <w:t>医疗卫生管理经费</w:t>
      </w:r>
      <w:r>
        <w:rPr>
          <w:rFonts w:hint="eastAsia" w:hAnsi="仿宋_GB2312" w:cs="仿宋_GB2312"/>
          <w:i w:val="0"/>
          <w:iCs w:val="0"/>
          <w:caps w:val="0"/>
          <w:color w:val="333333"/>
          <w:spacing w:val="0"/>
          <w:sz w:val="32"/>
          <w:szCs w:val="32"/>
          <w:shd w:val="clear" w:fill="FFFFFF"/>
          <w:lang w:eastAsia="zh-CN"/>
        </w:rPr>
        <w:t>等</w:t>
      </w:r>
      <w:r>
        <w:rPr>
          <w:rFonts w:hint="eastAsia" w:ascii="仿宋_GB2312" w:hAnsi="仿宋_GB2312" w:eastAsia="仿宋_GB2312" w:cs="仿宋_GB2312"/>
          <w:color w:val="auto"/>
          <w:sz w:val="32"/>
          <w:szCs w:val="32"/>
          <w:highlight w:val="none"/>
        </w:rPr>
        <w:t>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firstLineChars="20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1.财政拨款收入：指单位从同级财政部门取得的财政预算资金。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2.事业收入：指事业单位开展专业业务活动及辅助活动取得的收入。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3.经营收入：指事业单位在专业业务活动及其辅助活动之外开展非独立核算经营活动取得的收入。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4.其他收入：指单位取得的除上述收入以外的各项收入。主要是利息收入。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5.使用非财政拨款结余：指事业单位使用以前年度积累的非财政拨款结余弥补当年收支差额的金额。</w:t>
      </w:r>
      <w:r>
        <w:rPr>
          <w:rFonts w:hint="eastAsia" w:ascii="微软雅黑" w:hAnsi="微软雅黑" w:eastAsia="微软雅黑" w:cs="微软雅黑"/>
          <w:i w:val="0"/>
          <w:iCs w:val="0"/>
          <w:caps w:val="0"/>
          <w:color w:val="333333"/>
          <w:spacing w:val="0"/>
          <w:sz w:val="24"/>
          <w:szCs w:val="24"/>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6.年初结转和结余：指以前年度尚未完成、结转到本年按有关规定继续使用的资金。</w:t>
      </w:r>
      <w:r>
        <w:rPr>
          <w:rFonts w:hint="eastAsia" w:ascii="微软雅黑" w:hAnsi="微软雅黑" w:eastAsia="微软雅黑" w:cs="微软雅黑"/>
          <w:i w:val="0"/>
          <w:iCs w:val="0"/>
          <w:caps w:val="0"/>
          <w:color w:val="333333"/>
          <w:spacing w:val="0"/>
          <w:sz w:val="24"/>
          <w:szCs w:val="24"/>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7.结余分配：指事业单位按照会计制度规定缴纳的所得税、提取的专用结余以及转入非财政拨款结余的金额等。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8.年末结转和结余：指单位按有关规定结转到下年或以后年度继续使用的资金。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9.一般公共服务支出（类）财政事务（款） 财政委托业务支出（项）：指反应财政事务方面的支出。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10.社会保障和就业（类）行政事业单位养老支出（款）事业单位离退休（项）: 指事业单位开支的离退休经费。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11.社会保障和就业（类）行政事业单位养老支出（款）     机关事业单位基本养老保险缴费支出（项）: 指机关事业单位实施养老保险制度由单位缴纳的基本养老保险费支出。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12.社会保障和就业（类）行政事业单位养老支出（款）     机关事业单位职业年金缴费支出（项）: 指机关事业单位实施养老保险制度由单位缴纳的实际缴纳的职业年金支出。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13.社会保障和就业（类）抚恤（款）死亡抚恤（项）：指按规定用于烈士和牺牲、病故人员家属的一次性和定期抚恤金及丧葬补助费。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14.社会保障和就业（类）其他社会保障和就业支出（款）其他社会保障和就业支出（项）：指反映机关事业单位其他用于社会保障和就业方面的支出。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15.卫生健康支出（类）基层医疗卫生机构（款）乡镇卫生院（项）：指反映用于乡镇卫生院支出。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16.卫生健康（类）卫生健康管理事务（款） 一般行政管理事务（项）:指行政单位未单独设置项级科目的其他项目支出。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17.卫生健康（类）基层医疗卫生机构（款）其他基层医疗卫生机构（项）：指其他用于基层医疗卫生机构的支出。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18.卫生健康支出（类）公共卫生（款）疾病控制机构（项）：指反映用于卫生健康部门所属疾病控制机构的支出。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19.卫生健康（类）公共卫生（款）基本公共卫生服务（项）：指基本公共卫生服务支出。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20.卫生健康（类）公共卫生（款）重大公共卫生服务（项）：指重大疾病、重大传染病预防控制等重大公共卫生服务项目支出。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21.卫生健康（类）公共卫生（款）突发公共卫生事件应急处理（项）：指用于突发公共卫生事件应急处理的支出。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22.卫生健康（类）公共卫生（款）其他公共卫生支出（项）：指其他用于公共卫生方面的支出。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23.卫生健康（类）中医药（款）中医（民族医）药专项（项）：指中医（民族医）药方面的专项支出。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24.卫生健康支出（类）计划生育事务（款）计划生育服务（项）:指计划生育服务支出。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25.卫生健康支出（类）行政事业单位医疗（款）事业单位医疗（项）：指反映财政部门安排的事业单位基本养老保险缴纳经费、未参加医疗保险的事业单位的公费医疗经费，按国家规定享受离休人员待遇的医疗经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26.卫生健康支出（类）行政事业单位医疗（款）公务员医疗补助（项）:指反映财政部门安排的公务员医疗补助经费。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27.卫生健康支出（类）其他卫生健康支出（款）其他卫生健康支出（项）:指反映用于其他卫生健康方面的支出。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28.住房保障支出（类）住房改革支出（款）住房公积金（项）：指行政事业单位按人力资源和社会保障部、财政部规定的基本工资和津贴补贴以及规定比例为职工缴纳的住房公积金。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29.基本支出：指为保障机构正常运转、完成日常工作任务而发生的人员支出和公用支出。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30.项目支出：指在基本支出之外为完成特定行政任务和事业发展目标所发生的支出。</w:t>
      </w:r>
      <w:r>
        <w:rPr>
          <w:rFonts w:hint="eastAsia" w:ascii="微软雅黑" w:hAnsi="微软雅黑" w:eastAsia="微软雅黑" w:cs="微软雅黑"/>
          <w:i w:val="0"/>
          <w:iCs w:val="0"/>
          <w:caps w:val="0"/>
          <w:color w:val="333333"/>
          <w:spacing w:val="0"/>
          <w:sz w:val="24"/>
          <w:szCs w:val="24"/>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    31.经营支出：指事业单位在专业业务活动及其辅助活动之外开展非独立核算经营活动发生的支出。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    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   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b/>
          <w:color w:val="auto"/>
          <w:sz w:val="32"/>
          <w:szCs w:val="32"/>
          <w:highlight w:val="none"/>
        </w:rPr>
      </w:pPr>
    </w:p>
    <w:p>
      <w:pPr>
        <w:spacing w:line="600" w:lineRule="exact"/>
        <w:jc w:val="center"/>
        <w:outlineLvl w:val="0"/>
        <w:rPr>
          <w:rStyle w:val="25"/>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default" w:ascii="仿宋_GB2312" w:hAnsi="Calibri" w:eastAsia="仿宋_GB2312" w:cs="仿宋"/>
          <w:color w:val="auto"/>
          <w:kern w:val="0"/>
          <w:sz w:val="32"/>
          <w:szCs w:val="32"/>
          <w:highlight w:val="none"/>
          <w:lang w:val="en-US" w:eastAsia="zh-CN" w:bidi="ar-SA"/>
        </w:rPr>
      </w:pPr>
      <w:r>
        <w:rPr>
          <w:rFonts w:hint="eastAsia" w:hAnsi="Calibri" w:cs="仿宋"/>
          <w:color w:val="auto"/>
          <w:kern w:val="0"/>
          <w:sz w:val="32"/>
          <w:szCs w:val="32"/>
          <w:highlight w:val="none"/>
          <w:lang w:val="en-US" w:eastAsia="zh-CN" w:bidi="ar-SA"/>
        </w:rPr>
        <w:t>s</w:t>
      </w: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4"/>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bookmarkEnd w:id="65"/>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6"/>
          <w:rFonts w:hint="eastAsia" w:ascii="仿宋" w:hAnsi="仿宋" w:eastAsia="仿宋"/>
          <w:b w:val="0"/>
          <w:bCs w:val="0"/>
          <w:color w:val="auto"/>
          <w:highlight w:val="none"/>
        </w:rPr>
        <w:t>十三、</w:t>
      </w:r>
      <w:bookmarkEnd w:id="66"/>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WYyNjZmNWNhMDIxNWFhMGVhMDViOGUyZDc1YW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E6884"/>
    <w:rsid w:val="053A62B5"/>
    <w:rsid w:val="05583D96"/>
    <w:rsid w:val="0A2032A3"/>
    <w:rsid w:val="0B151566"/>
    <w:rsid w:val="0B8A37D8"/>
    <w:rsid w:val="105C3C2C"/>
    <w:rsid w:val="107B1851"/>
    <w:rsid w:val="10C055FF"/>
    <w:rsid w:val="118107EC"/>
    <w:rsid w:val="11DD6519"/>
    <w:rsid w:val="131B4080"/>
    <w:rsid w:val="14A676D6"/>
    <w:rsid w:val="16BB723D"/>
    <w:rsid w:val="17822E75"/>
    <w:rsid w:val="18015F3F"/>
    <w:rsid w:val="190A476B"/>
    <w:rsid w:val="1BE8440E"/>
    <w:rsid w:val="1CA33A3D"/>
    <w:rsid w:val="1D155CEE"/>
    <w:rsid w:val="20F57F95"/>
    <w:rsid w:val="2139660E"/>
    <w:rsid w:val="21E52177"/>
    <w:rsid w:val="240371BF"/>
    <w:rsid w:val="243944B5"/>
    <w:rsid w:val="25711CC6"/>
    <w:rsid w:val="25AE752B"/>
    <w:rsid w:val="25C741E6"/>
    <w:rsid w:val="27842671"/>
    <w:rsid w:val="28EF7C3E"/>
    <w:rsid w:val="29F67C95"/>
    <w:rsid w:val="29FD04D3"/>
    <w:rsid w:val="2A8B196A"/>
    <w:rsid w:val="2ABE7A3E"/>
    <w:rsid w:val="2CA234A8"/>
    <w:rsid w:val="2E6B0814"/>
    <w:rsid w:val="2EFA178C"/>
    <w:rsid w:val="30B46D73"/>
    <w:rsid w:val="30D942FB"/>
    <w:rsid w:val="310C3CE5"/>
    <w:rsid w:val="319F7F4E"/>
    <w:rsid w:val="37E41754"/>
    <w:rsid w:val="383D272C"/>
    <w:rsid w:val="39AE70AB"/>
    <w:rsid w:val="3A246042"/>
    <w:rsid w:val="3C0C0783"/>
    <w:rsid w:val="3F9F3A96"/>
    <w:rsid w:val="418973B2"/>
    <w:rsid w:val="48BF60AB"/>
    <w:rsid w:val="493C27E9"/>
    <w:rsid w:val="496F39ED"/>
    <w:rsid w:val="49FF41D3"/>
    <w:rsid w:val="4BE068DB"/>
    <w:rsid w:val="4BF6002B"/>
    <w:rsid w:val="4E9E76D4"/>
    <w:rsid w:val="4ECE2238"/>
    <w:rsid w:val="51DB4B86"/>
    <w:rsid w:val="53E85FEF"/>
    <w:rsid w:val="55333C3E"/>
    <w:rsid w:val="55D24A78"/>
    <w:rsid w:val="55E339E7"/>
    <w:rsid w:val="5805720D"/>
    <w:rsid w:val="5CC834A7"/>
    <w:rsid w:val="5F116B5C"/>
    <w:rsid w:val="60464805"/>
    <w:rsid w:val="631300CA"/>
    <w:rsid w:val="6368499B"/>
    <w:rsid w:val="64AD346A"/>
    <w:rsid w:val="64CA39A1"/>
    <w:rsid w:val="66772A46"/>
    <w:rsid w:val="690E657E"/>
    <w:rsid w:val="69630ADE"/>
    <w:rsid w:val="69BF3F3C"/>
    <w:rsid w:val="6C4A05C8"/>
    <w:rsid w:val="6CAD1C9E"/>
    <w:rsid w:val="6D3B1A89"/>
    <w:rsid w:val="6F890692"/>
    <w:rsid w:val="71BF4EC2"/>
    <w:rsid w:val="724D4B5E"/>
    <w:rsid w:val="72734D90"/>
    <w:rsid w:val="7412278C"/>
    <w:rsid w:val="74BB2697"/>
    <w:rsid w:val="74F70144"/>
    <w:rsid w:val="76EB1A01"/>
    <w:rsid w:val="76F435C1"/>
    <w:rsid w:val="79E7B28D"/>
    <w:rsid w:val="7B125F37"/>
    <w:rsid w:val="7B93008F"/>
    <w:rsid w:val="7BA91B97"/>
    <w:rsid w:val="7BE1760E"/>
    <w:rsid w:val="7D550CC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2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中坝乡卫生院财政拨款收、支决算总计变动情况</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 val="0.027"/>
          <c:y val="0.013"/>
        </c:manualLayout>
      </c:layout>
      <c:overlay val="0"/>
      <c:spPr>
        <a:noFill/>
        <a:ln w="3175">
          <a:noFill/>
        </a:ln>
      </c:spPr>
    </c:title>
    <c:autoTitleDeleted val="0"/>
    <c:plotArea>
      <c:layout>
        <c:manualLayout>
          <c:layoutTarget val="inner"/>
          <c:xMode val="edge"/>
          <c:yMode val="edge"/>
          <c:x val="0.1285"/>
          <c:y val="0.1975"/>
          <c:w val="0.8405"/>
          <c:h val="0.443"/>
        </c:manualLayout>
      </c:layout>
      <c:barChart>
        <c:barDir val="col"/>
        <c:grouping val="clustered"/>
        <c:varyColors val="0"/>
        <c:ser>
          <c:idx val="0"/>
          <c:order val="0"/>
          <c:tx>
            <c:strRef>
              <c:f>'[做图表 Microsoft Excel 97-2003 工作表 (2) (1).xls]Sheet1'!$A$29</c:f>
              <c:strCache>
                <c:ptCount val="1"/>
                <c:pt idx="0">
                  <c:v>财政拨款收、支总计</c:v>
                </c:pt>
              </c:strCache>
            </c:strRef>
          </c:tx>
          <c:spPr>
            <a:solidFill>
              <a:srgbClr val="5B9BD5">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rgbClr val="3366FF">
                    <a:alpha val="100000"/>
                  </a:srgbClr>
                </a:solidFill>
                <a:prstDash val="sysDash"/>
                <a:round/>
              </a:ln>
            </c:spPr>
            <c:trendlineType val="linear"/>
            <c:forward val="0"/>
            <c:backward val="0"/>
            <c:dispRSqr val="0"/>
            <c:dispEq val="0"/>
          </c:trendline>
          <c:cat>
            <c:multiLvlStrRef>
              <c:f>'[做图表 Microsoft Excel 97-2003 工作表 (2) (1).xls]Sheet1'!$B$27:$C$28</c:f>
              <c:multiLvlStrCache>
                <c:ptCount val="2"/>
                <c:lvl>
                  <c:pt idx="0">
                    <c:v>2021年</c:v>
                  </c:pt>
                  <c:pt idx="1">
                    <c:v>2022年</c:v>
                  </c:pt>
                </c:lvl>
                <c:lvl/>
              </c:multiLvlStrCache>
            </c:multiLvlStrRef>
          </c:cat>
          <c:val>
            <c:numRef>
              <c:f>'[做图表 Microsoft Excel 97-2003 工作表 (2) (1).xls]Sheet1'!$B$29:$C$29</c:f>
              <c:numCache>
                <c:formatCode>General</c:formatCode>
                <c:ptCount val="2"/>
                <c:pt idx="0">
                  <c:v>313.26</c:v>
                </c:pt>
                <c:pt idx="1">
                  <c:v>417.13</c:v>
                </c:pt>
              </c:numCache>
            </c:numRef>
          </c:val>
        </c:ser>
        <c:ser>
          <c:idx val="1"/>
          <c:order val="1"/>
          <c:tx>
            <c:strRef>
              <c:f>'[做图表 Microsoft Excel 97-2003 工作表 (2) (1).xls]Sheet1'!#REF!</c:f>
              <c:strCache>
                <c:ptCount val="1"/>
                <c:pt idx="0">
                  <c:v/>
                </c:pt>
              </c:strCache>
            </c:strRef>
          </c:tx>
          <c:spPr>
            <a:solidFill>
              <a:srgbClr val="ED7D31">
                <a:alpha val="100000"/>
              </a:srgbClr>
            </a:solidFill>
            <a:ln w="3175">
              <a:noFill/>
            </a:ln>
          </c:spPr>
          <c:invertIfNegative val="0"/>
          <c:dLbls>
            <c:delete val="1"/>
          </c:dLbls>
          <c:trendline>
            <c:spPr>
              <a:ln w="19050" cap="rnd" cmpd="sng" algn="ctr">
                <a:solidFill>
                  <a:srgbClr val="FF6600">
                    <a:alpha val="100000"/>
                  </a:srgbClr>
                </a:solidFill>
                <a:prstDash val="sysDash"/>
                <a:round/>
              </a:ln>
            </c:spPr>
            <c:trendlineType val="linear"/>
            <c:forward val="0"/>
            <c:backward val="0"/>
            <c:dispRSqr val="0"/>
            <c:dispEq val="0"/>
          </c:trendline>
          <c:cat>
            <c:multiLvlStrRef>
              <c:f>'[做图表 Microsoft Excel 97-2003 工作表 (2) (1).xls]Sheet1'!$B$27:$C$28</c:f>
              <c:multiLvlStrCache>
                <c:ptCount val="2"/>
                <c:lvl>
                  <c:pt idx="0">
                    <c:v>2021年</c:v>
                  </c:pt>
                  <c:pt idx="1">
                    <c:v>2022年</c:v>
                  </c:pt>
                </c:lvl>
                <c:lvl/>
              </c:multiLvlStrCache>
            </c:multiLvlStrRef>
          </c:cat>
          <c:val>
            <c:numRef>
              <c:f>'[做图表 Microsoft Excel 97-2003 工作表 (2) (1).xls]Sheet1'!#REF!</c:f>
              <c:numCache>
                <c:formatCode>General</c:formatCode>
                <c:ptCount val="1"/>
                <c:pt idx="0">
                  <c:v>1</c:v>
                </c:pt>
              </c:numCache>
            </c:numRef>
          </c:val>
        </c:ser>
        <c:dLbls>
          <c:showLegendKey val="0"/>
          <c:showVal val="0"/>
          <c:showCatName val="0"/>
          <c:showSerName val="0"/>
          <c:showPercent val="0"/>
          <c:showBubbleSize val="0"/>
        </c:dLbls>
        <c:gapWidth val="219"/>
        <c:overlap val="-27"/>
        <c:axId val="194567681"/>
        <c:axId val="509930573"/>
      </c:barChart>
      <c:catAx>
        <c:axId val="194567681"/>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509930573"/>
        <c:crosses val="autoZero"/>
        <c:auto val="1"/>
        <c:lblAlgn val="ctr"/>
        <c:lblOffset val="100"/>
        <c:tickLblSkip val="1"/>
        <c:noMultiLvlLbl val="0"/>
      </c:catAx>
      <c:valAx>
        <c:axId val="509930573"/>
        <c:scaling>
          <c:orientation val="minMax"/>
        </c:scaling>
        <c:delete val="0"/>
        <c:axPos val="l"/>
        <c:majorGridlines>
          <c:spPr>
            <a:ln w="3175" cap="flat" cmpd="sng" algn="ctr">
              <a:solidFill>
                <a:srgbClr val="C0C0C0">
                  <a:alpha val="100000"/>
                </a:srgbClr>
              </a:solidFill>
              <a:prstDash val="solid"/>
              <a:round/>
            </a:ln>
          </c:spPr>
        </c:majorGridlines>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194567681"/>
        <c:crosses val="autoZero"/>
        <c:crossBetween val="between"/>
      </c:valAx>
      <c:spPr>
        <a:noFill/>
        <a:ln w="3175">
          <a:noFill/>
        </a:ln>
      </c:spPr>
    </c:plotArea>
    <c:legend>
      <c:legendPos val="r"/>
      <c:legendEntry>
        <c:idx val="1"/>
        <c:delete val="1"/>
      </c:legendEntry>
      <c:legendEntry>
        <c:idx val="3"/>
        <c:delete val="1"/>
      </c:legendEntry>
      <c:layout>
        <c:manualLayout>
          <c:xMode val="edge"/>
          <c:yMode val="edge"/>
          <c:x val="0.129"/>
          <c:y val="0.7465"/>
          <c:w val="0.72175"/>
          <c:h val="0.1935"/>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Pt>
            <c:idx val="7"/>
            <c:bubble3D val="0"/>
            <c:explosion val="0"/>
            <c:spPr>
              <a:solidFill>
                <a:schemeClr val="accent2">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 (1).xls]Sheet1'!$A$69:$A$76</c:f>
              <c:strCache>
                <c:ptCount val="8"/>
                <c:pt idx="0">
                  <c:v>一般公共预算财政拨款收入</c:v>
                </c:pt>
              </c:strCache>
            </c:strRef>
          </c:cat>
          <c:val>
            <c:numRef>
              <c:f>'[做图表 Microsoft Excel 97-2003 工作表 (2) (1).xls]Sheet1'!$B$69:$B$76</c:f>
              <c:numCache>
                <c:formatCode>General</c:formatCode>
                <c:ptCount val="8"/>
                <c:pt idx="0">
                  <c:v>269.03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spc="0" baseline="0">
                <a:solidFill>
                  <a:srgbClr val="333333"/>
                </a:solidFill>
                <a:latin typeface="Calibri" panose="020F0502020204030204" pitchFamily="2" charset="0"/>
                <a:ea typeface="Calibri" panose="020F0502020204030204" pitchFamily="2" charset="0"/>
                <a:cs typeface="Calibri" panose="020F0502020204030204" pitchFamily="2" charset="0"/>
              </a:rPr>
              <a:t>2021</a:t>
            </a:r>
            <a:r>
              <a:rPr altLang="en-US" sz="1400" b="0" i="0" u="none" strike="noStrike" kern="1200" spc="0" baseline="0">
                <a:solidFill>
                  <a:srgbClr val="333333"/>
                </a:solidFill>
                <a:latin typeface="宋体" panose="02010600030101010101" charset="-122"/>
                <a:ea typeface="宋体" panose="02010600030101010101" charset="-122"/>
                <a:cs typeface="宋体" panose="02010600030101010101" charset="-122"/>
              </a:rPr>
              <a:t>年大田医院支出决算结构图</a:t>
            </a:r>
            <a:endParaRPr lang="en-US" altLang="zh-CN" sz="1200" b="0" i="0" u="none" strike="noStrike" kern="1200" spc="0"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1"/>
              </a:solidFill>
              <a:ln w="12700" cap="flat" cmpd="sng" algn="ctr">
                <a:solidFill>
                  <a:schemeClr val="accent1">
                    <a:shade val="50000"/>
                  </a:schemeClr>
                </a:solidFill>
                <a:prstDash val="solid"/>
                <a:miter lim="800000"/>
              </a:ln>
              <a:sp3d>
                <a:extrusionClr>
                  <a:srgbClr val="FFFFFF"/>
                </a:extrusionClr>
                <a:contourClr>
                  <a:srgbClr val="FFFFFF"/>
                </a:contourClr>
              </a:sp3d>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 (1).xls]Sheet1'!$A$5:$A$7</c:f>
              <c:strCache>
                <c:ptCount val="3"/>
                <c:pt idx="0">
                  <c:v>单位：万元</c:v>
                </c:pt>
                <c:pt idx="1">
                  <c:v>基本支出</c:v>
                </c:pt>
                <c:pt idx="2">
                  <c:v>项目支出</c:v>
                </c:pt>
              </c:strCache>
            </c:strRef>
          </c:cat>
          <c:val>
            <c:numRef>
              <c:f>'[做图表 Microsoft Excel 97-2003 工作表 (2) (1).xls]Sheet1'!$B$5:$B$7</c:f>
              <c:numCache>
                <c:formatCode>General</c:formatCode>
                <c:ptCount val="3"/>
                <c:pt idx="1">
                  <c:v>149.76</c:v>
                </c:pt>
                <c:pt idx="2">
                  <c:v>119.42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25525"/>
          <c:y val="0.90325"/>
          <c:w val="0.4885"/>
          <c:h val="0.0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741111111111111"/>
          <c:y val="0.159027777777778"/>
          <c:w val="0.894638888888889"/>
          <c:h val="0.711666666666667"/>
        </c:manualLayout>
      </c:layout>
      <c:barChart>
        <c:barDir val="col"/>
        <c:grouping val="clustered"/>
        <c:varyColors val="0"/>
        <c:ser>
          <c:idx val="0"/>
          <c:order val="0"/>
          <c:tx>
            <c:strRef>
              <c:f>'[做图表 Microsoft Excel 97-2003 工作表 (2) (1).xls]Sheet1'!$Q$27</c:f>
              <c:strCache>
                <c:ptCount val="1"/>
                <c:pt idx="0">
                  <c:v>收、支总计</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chemeClr val="accent1"/>
                </a:solidFill>
                <a:prstDash val="sysDot"/>
                <a:round/>
              </a:ln>
              <a:effectLst/>
            </c:spPr>
            <c:trendlineType val="linear"/>
            <c:forward val="0"/>
            <c:backward val="0"/>
            <c:dispRSqr val="0"/>
            <c:dispEq val="0"/>
          </c:trendline>
          <c:trendline>
            <c:spPr>
              <a:ln w="19050" cap="rnd" cmpd="sng" algn="ctr">
                <a:solidFill>
                  <a:schemeClr val="accent1"/>
                </a:solidFill>
                <a:prstDash val="sysDot"/>
                <a:round/>
              </a:ln>
              <a:effectLst/>
            </c:spPr>
            <c:trendlineType val="exp"/>
            <c:forward val="0"/>
            <c:backward val="0"/>
            <c:dispRSqr val="0"/>
            <c:dispEq val="0"/>
          </c:trendline>
          <c:trendline>
            <c:spPr>
              <a:ln w="19050" cap="rnd" cmpd="sng" algn="ctr">
                <a:solidFill>
                  <a:schemeClr val="accent1"/>
                </a:solidFill>
                <a:prstDash val="sysDot"/>
                <a:round/>
              </a:ln>
              <a:effectLst/>
            </c:spPr>
            <c:trendlineType val="linear"/>
            <c:forward val="0"/>
            <c:backward val="0"/>
            <c:dispRSqr val="0"/>
            <c:dispEq val="0"/>
          </c:trendline>
          <c:cat>
            <c:strRef>
              <c:f>'[做图表 Microsoft Excel 97-2003 工作表 (2) (1).xls]Sheet1'!$R$26:$S$26</c:f>
              <c:strCache>
                <c:ptCount val="2"/>
                <c:pt idx="0">
                  <c:v>2021年</c:v>
                </c:pt>
                <c:pt idx="1">
                  <c:v>2022年</c:v>
                </c:pt>
              </c:strCache>
            </c:strRef>
          </c:cat>
          <c:val>
            <c:numRef>
              <c:f>'[做图表 Microsoft Excel 97-2003 工作表 (2) (1).xls]Sheet1'!$R$27:$S$27</c:f>
              <c:numCache>
                <c:formatCode>General</c:formatCode>
                <c:ptCount val="2"/>
                <c:pt idx="0">
                  <c:v>313.26</c:v>
                </c:pt>
                <c:pt idx="1">
                  <c:v>417.13</c:v>
                </c:pt>
              </c:numCache>
            </c:numRef>
          </c:val>
        </c:ser>
        <c:dLbls>
          <c:showLegendKey val="0"/>
          <c:showVal val="0"/>
          <c:showCatName val="0"/>
          <c:showSerName val="0"/>
          <c:showPercent val="0"/>
          <c:showBubbleSize val="0"/>
        </c:dLbls>
        <c:gapWidth val="219"/>
        <c:overlap val="-27"/>
        <c:axId val="993535222"/>
        <c:axId val="607139185"/>
      </c:barChart>
      <c:catAx>
        <c:axId val="99353522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139185"/>
        <c:crosses val="autoZero"/>
        <c:auto val="1"/>
        <c:lblAlgn val="ctr"/>
        <c:lblOffset val="100"/>
        <c:noMultiLvlLbl val="0"/>
      </c:catAx>
      <c:valAx>
        <c:axId val="60713918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5352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rPr>
              <a:t>一般公共预算财政拨款支出决算变动情况</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128694444444444"/>
          <c:y val="0.197176579495487"/>
          <c:w val="0.839777777777778"/>
          <c:h val="0.469428373061791"/>
        </c:manualLayout>
      </c:layout>
      <c:barChart>
        <c:barDir val="col"/>
        <c:grouping val="stacked"/>
        <c:varyColors val="0"/>
        <c:ser>
          <c:idx val="0"/>
          <c:order val="0"/>
          <c:spPr>
            <a:solidFill>
              <a:srgbClr val="5B9BD5">
                <a:alpha val="100000"/>
              </a:srgbClr>
            </a:solidFill>
            <a:ln w="3175">
              <a:noFill/>
            </a:ln>
          </c:spPr>
          <c:invertIfNegative val="0"/>
          <c:dLbls>
            <c:dLbl>
              <c:idx val="1"/>
              <c:layout>
                <c:manualLayout>
                  <c:x val="0"/>
                  <c:y val="-0.2360564684100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8333333333333"/>
                  <c:y val="-0.25341356167553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'[做图表 Microsoft Excel 97-2003 工作表 (2) (1).xls]Sheet1'!$A$52:$C$53</c:f>
              <c:multiLvlStrCache>
                <c:ptCount val="3"/>
                <c:lvl>
                  <c:pt idx="1">
                    <c:v>2021年</c:v>
                  </c:pt>
                  <c:pt idx="2">
                    <c:v>2022年</c:v>
                  </c:pt>
                </c:lvl>
                <c:lvl>
                  <c:pt idx="0">
                    <c:v>单位：万元</c:v>
                  </c:pt>
                </c:lvl>
              </c:multiLvlStrCache>
            </c:multiLvlStrRef>
          </c:cat>
          <c:val>
            <c:numRef>
              <c:f>'[做图表 Microsoft Excel 97-2003 工作表 (2) (1).xls]Sheet1'!$A$54:$C$54</c:f>
              <c:numCache>
                <c:formatCode>General</c:formatCode>
                <c:ptCount val="3"/>
                <c:pt idx="1">
                  <c:v>263.15</c:v>
                </c:pt>
                <c:pt idx="2">
                  <c:v>269.03</c:v>
                </c:pt>
              </c:numCache>
            </c:numRef>
          </c:val>
        </c:ser>
        <c:dLbls>
          <c:showLegendKey val="0"/>
          <c:showVal val="0"/>
          <c:showCatName val="0"/>
          <c:showSerName val="0"/>
          <c:showPercent val="0"/>
          <c:showBubbleSize val="0"/>
        </c:dLbls>
        <c:gapWidth val="150"/>
        <c:overlap val="100"/>
        <c:axId val="259488689"/>
        <c:axId val="871551642"/>
      </c:barChart>
      <c:catAx>
        <c:axId val="259488689"/>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871551642"/>
        <c:crosses val="autoZero"/>
        <c:auto val="1"/>
        <c:lblAlgn val="ctr"/>
        <c:lblOffset val="100"/>
        <c:tickLblSkip val="1"/>
        <c:noMultiLvlLbl val="0"/>
      </c:catAx>
      <c:valAx>
        <c:axId val="871551642"/>
        <c:scaling>
          <c:orientation val="minMax"/>
        </c:scaling>
        <c:delete val="0"/>
        <c:axPos val="l"/>
        <c:majorGridlines>
          <c:spPr>
            <a:ln w="3175" cap="flat" cmpd="sng" algn="ctr">
              <a:solidFill>
                <a:srgbClr val="C0C0C0">
                  <a:alpha val="100000"/>
                </a:srgbClr>
              </a:solidFill>
              <a:prstDash val="solid"/>
              <a:round/>
            </a:ln>
          </c:spPr>
        </c:majorGridlines>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259488689"/>
        <c:crosses val="autoZero"/>
        <c:crossBetween val="between"/>
      </c:valAx>
      <c:spPr>
        <a:noFill/>
        <a:ln w="3175">
          <a:noFill/>
        </a:ln>
      </c:spPr>
    </c:plotArea>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 (1).xls]Sheet1'!$A$107:$A$109</c:f>
              <c:strCache>
                <c:ptCount val="3"/>
                <c:pt idx="0">
                  <c:v>社会保障和就业支出</c:v>
                </c:pt>
                <c:pt idx="1">
                  <c:v>卫生健康支出</c:v>
                </c:pt>
                <c:pt idx="2">
                  <c:v>住房保障支出</c:v>
                </c:pt>
              </c:strCache>
            </c:strRef>
          </c:cat>
          <c:val>
            <c:numRef>
              <c:f>'[做图表 Microsoft Excel 97-2003 工作表 (2) (1).xls]Sheet1'!$B$107:$B$109</c:f>
              <c:numCache>
                <c:formatCode>General</c:formatCode>
                <c:ptCount val="3"/>
                <c:pt idx="0">
                  <c:v>14.26</c:v>
                </c:pt>
                <c:pt idx="1">
                  <c:v>242.38</c:v>
                </c:pt>
                <c:pt idx="2">
                  <c:v>12.39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'[做图表 Microsoft Excel 97-2003 工作表 (2) (1).xls]Sheet1'!$A$93:$A$96</c:f>
              <c:strCache>
                <c:ptCount val="4"/>
                <c:pt idx="0">
                  <c:v>公出国（境）费</c:v>
                </c:pt>
                <c:pt idx="1">
                  <c:v>公务接待费</c:v>
                </c:pt>
                <c:pt idx="2">
                  <c:v>公务用车购置</c:v>
                </c:pt>
                <c:pt idx="3">
                  <c:v>公务车运行维护费</c:v>
                </c:pt>
              </c:strCache>
            </c:strRef>
          </c:cat>
          <c:val>
            <c:numRef>
              <c:f>'[做图表 Microsoft Excel 97-2003 工作表 (2) (1).xls]Sheet1'!$B$93:$B$96</c:f>
              <c:numCache>
                <c:formatCode>General</c:formatCode>
                <c:ptCount val="4"/>
                <c:pt idx="0">
                  <c:v>0</c:v>
                </c:pt>
                <c:pt idx="1">
                  <c:v>0.02</c:v>
                </c:pt>
                <c:pt idx="2">
                  <c:v>0</c:v>
                </c:pt>
                <c:pt idx="3">
                  <c:v>5.2</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5188</Words>
  <Characters>5691</Characters>
  <Lines>61</Lines>
  <Paragraphs>17</Paragraphs>
  <TotalTime>27</TotalTime>
  <ScaleCrop>false</ScaleCrop>
  <LinksUpToDate>false</LinksUpToDate>
  <CharactersWithSpaces>5733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天涯</cp:lastModifiedBy>
  <cp:lastPrinted>2023-07-31T02:35:00Z</cp:lastPrinted>
  <dcterms:modified xsi:type="dcterms:W3CDTF">2023-10-08T09:41:17Z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0DBE86D239584B53967A12788F640CBB_12</vt:lpwstr>
  </property>
</Properties>
</file>