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eastAsia="zh-CN"/>
        </w:rPr>
        <w:t>攀枝花市仁和区务本乡卫生院</w:t>
      </w:r>
      <w:r>
        <w:rPr>
          <w:rFonts w:eastAsia="宋体"/>
          <w:b/>
          <w:sz w:val="44"/>
          <w:szCs w:val="44"/>
          <w:shd w:val="clear" w:color="auto" w:fill="FFFFFF"/>
        </w:rPr>
        <w:t>2023年部门整体支出绩效评价报告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contextualSpacing/>
        <w:jc w:val="both"/>
        <w:rPr>
          <w:rFonts w:hint="eastAsia" w:ascii="仿宋_GB2312" w:hAnsi="仿宋_GB2312" w:eastAsia="仿宋_GB2312" w:cs="仿宋_GB2312"/>
          <w:b/>
          <w:bCs/>
          <w:color w:val="000000"/>
          <w:kern w:val="0"/>
          <w:sz w:val="36"/>
          <w:szCs w:val="36"/>
          <w:shd w:val="clear" w:color="auto" w:fill="FFFFFF"/>
          <w:lang w:val="zh-CN"/>
        </w:rPr>
      </w:pPr>
      <w:r>
        <w:rPr>
          <w:rFonts w:hint="eastAsia" w:ascii="仿宋_GB2312" w:hAnsi="仿宋_GB2312" w:eastAsia="仿宋_GB2312" w:cs="仿宋_GB2312"/>
          <w:b/>
          <w:bCs/>
          <w:color w:val="000000"/>
          <w:kern w:val="0"/>
          <w:sz w:val="36"/>
          <w:szCs w:val="36"/>
          <w:shd w:val="clear" w:color="auto" w:fill="FFFFFF"/>
        </w:rPr>
        <w:t>一、</w:t>
      </w:r>
      <w:r>
        <w:rPr>
          <w:rFonts w:hint="eastAsia" w:ascii="仿宋_GB2312" w:hAnsi="仿宋_GB2312" w:eastAsia="仿宋_GB2312" w:cs="仿宋_GB2312"/>
          <w:b/>
          <w:bCs/>
          <w:color w:val="000000"/>
          <w:kern w:val="0"/>
          <w:sz w:val="36"/>
          <w:szCs w:val="36"/>
          <w:shd w:val="clear" w:color="auto" w:fill="FFFFFF"/>
          <w:lang w:val="zh-CN"/>
        </w:rPr>
        <w:t>单位概况</w:t>
      </w:r>
    </w:p>
    <w:p>
      <w:pPr>
        <w:widowControl/>
        <w:adjustRightInd w:val="0"/>
        <w:snapToGrid w:val="0"/>
        <w:spacing w:line="580" w:lineRule="exact"/>
        <w:ind w:firstLine="643" w:firstLineChars="200"/>
        <w:contextualSpacing/>
        <w:jc w:val="both"/>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p>
    <w:p>
      <w:pPr>
        <w:widowControl/>
        <w:adjustRightInd w:val="0"/>
        <w:snapToGrid w:val="0"/>
        <w:spacing w:line="580" w:lineRule="exact"/>
        <w:ind w:firstLine="960" w:firstLineChars="300"/>
        <w:contextualSpacing/>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w:t>
      </w:r>
      <w:r>
        <w:rPr>
          <w:rFonts w:hint="eastAsia" w:ascii="仿宋_GB2312" w:hAnsi="仿宋_GB2312" w:eastAsia="仿宋_GB2312" w:cs="仿宋_GB2312"/>
          <w:sz w:val="32"/>
          <w:szCs w:val="32"/>
        </w:rPr>
        <w:t xml:space="preserve">妇幼保健站）下设7个内设机构。 </w:t>
      </w:r>
    </w:p>
    <w:p>
      <w:pPr>
        <w:spacing w:before="0" w:line="578"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1</w:t>
      </w:r>
      <w:r>
        <w:rPr>
          <w:rFonts w:hint="eastAsia" w:ascii="仿宋_GB2312" w:hAnsi="仿宋_GB2312" w:eastAsia="仿宋_GB2312" w:cs="仿宋_GB2312"/>
          <w:b/>
          <w:sz w:val="32"/>
          <w:szCs w:val="32"/>
        </w:rPr>
        <w:t>）办公室</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负责党务、监督检查、财务、行政、</w:t>
      </w:r>
      <w:r>
        <w:rPr>
          <w:rFonts w:hint="eastAsia" w:ascii="仿宋_GB2312" w:hAnsi="仿宋_GB2312" w:eastAsia="仿宋_GB2312" w:cs="仿宋_GB2312"/>
          <w:spacing w:val="22"/>
          <w:w w:val="95"/>
          <w:sz w:val="32"/>
          <w:szCs w:val="32"/>
        </w:rPr>
        <w:t xml:space="preserve">人事、宣传、信息、精神文明、档案、信访维稳、安全生 </w:t>
      </w:r>
      <w:r>
        <w:rPr>
          <w:rFonts w:hint="eastAsia" w:ascii="仿宋_GB2312" w:hAnsi="仿宋_GB2312" w:eastAsia="仿宋_GB2312" w:cs="仿宋_GB2312"/>
          <w:spacing w:val="20"/>
          <w:sz w:val="32"/>
          <w:szCs w:val="32"/>
        </w:rPr>
        <w:t>产、后勤保障等工作。</w:t>
      </w:r>
    </w:p>
    <w:p>
      <w:pPr>
        <w:spacing w:before="0" w:line="571"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2</w:t>
      </w:r>
      <w:r>
        <w:rPr>
          <w:rFonts w:hint="eastAsia" w:ascii="仿宋_GB2312" w:hAnsi="仿宋_GB2312" w:eastAsia="仿宋_GB2312" w:cs="仿宋_GB2312"/>
          <w:b/>
          <w:sz w:val="32"/>
          <w:szCs w:val="32"/>
        </w:rPr>
        <w:t>）全科医疗科</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负责卫生院范围内的基础医疗工作，开展门诊、住院、会诊、出诊和急诊急救等工作。</w:t>
      </w:r>
    </w:p>
    <w:p>
      <w:pPr>
        <w:spacing w:before="0" w:line="599"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3</w:t>
      </w:r>
      <w:r>
        <w:rPr>
          <w:rFonts w:hint="eastAsia" w:ascii="仿宋_GB2312" w:hAnsi="仿宋_GB2312" w:eastAsia="仿宋_GB2312" w:cs="仿宋_GB2312"/>
          <w:b/>
          <w:sz w:val="32"/>
          <w:szCs w:val="32"/>
        </w:rPr>
        <w:t>）公共卫生科</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负责预防接种、母婴保健、计划生育、重大传染病防治等国家基本公共卫生服务相关工作。</w:t>
      </w:r>
    </w:p>
    <w:p>
      <w:pPr>
        <w:spacing w:before="0" w:line="598"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4</w:t>
      </w:r>
      <w:r>
        <w:rPr>
          <w:rFonts w:hint="eastAsia" w:ascii="仿宋_GB2312" w:hAnsi="仿宋_GB2312" w:eastAsia="仿宋_GB2312" w:cs="仿宋_GB2312"/>
          <w:b/>
          <w:sz w:val="32"/>
          <w:szCs w:val="32"/>
        </w:rPr>
        <w:t>）中医科</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负责中医诊断、治疗，开展针灸、拔罐、刮痧、推拿等中医适宜技术。</w:t>
      </w:r>
    </w:p>
    <w:p>
      <w:pPr>
        <w:spacing w:before="0" w:line="599"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5</w:t>
      </w:r>
      <w:r>
        <w:rPr>
          <w:rFonts w:hint="eastAsia" w:ascii="仿宋_GB2312" w:hAnsi="仿宋_GB2312" w:eastAsia="仿宋_GB2312" w:cs="仿宋_GB2312"/>
          <w:b/>
          <w:sz w:val="32"/>
          <w:szCs w:val="32"/>
        </w:rPr>
        <w:t>）药剂科</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负责药品调剂，药械采购、储存验收维护和医保结算等工作。</w:t>
      </w:r>
    </w:p>
    <w:p>
      <w:pPr>
        <w:spacing w:before="0" w:line="598"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6</w:t>
      </w:r>
      <w:r>
        <w:rPr>
          <w:rFonts w:hint="eastAsia" w:ascii="仿宋_GB2312" w:hAnsi="仿宋_GB2312" w:eastAsia="仿宋_GB2312" w:cs="仿宋_GB2312"/>
          <w:b/>
          <w:sz w:val="32"/>
          <w:szCs w:val="32"/>
        </w:rPr>
        <w:t>）医技科</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负责院内超声、心电、临床影像、医疗检验等工作。</w:t>
      </w:r>
    </w:p>
    <w:p>
      <w:pPr>
        <w:spacing w:after="0"/>
        <w:jc w:val="both"/>
        <w:rPr>
          <w:rFonts w:hint="eastAsia" w:ascii="仿宋_GB2312" w:hAnsi="仿宋_GB2312" w:eastAsia="仿宋_GB2312" w:cs="仿宋_GB2312"/>
          <w:sz w:val="32"/>
          <w:szCs w:val="32"/>
        </w:rPr>
        <w:sectPr>
          <w:pgSz w:w="11910" w:h="16840"/>
          <w:pgMar w:top="1580" w:right="1160" w:bottom="1820" w:left="1460" w:header="0" w:footer="1625" w:gutter="0"/>
          <w:cols w:space="720" w:num="1"/>
        </w:sectPr>
      </w:pPr>
    </w:p>
    <w:p>
      <w:pPr>
        <w:pStyle w:val="3"/>
        <w:ind w:left="0"/>
        <w:jc w:val="both"/>
        <w:rPr>
          <w:rFonts w:hint="eastAsia" w:ascii="仿宋_GB2312" w:hAnsi="仿宋_GB2312" w:eastAsia="仿宋_GB2312" w:cs="仿宋_GB2312"/>
          <w:sz w:val="32"/>
          <w:szCs w:val="32"/>
        </w:rPr>
      </w:pPr>
    </w:p>
    <w:p>
      <w:pPr>
        <w:spacing w:before="0" w:line="563" w:lineRule="exact"/>
        <w:ind w:left="834"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7</w:t>
      </w:r>
      <w:r>
        <w:rPr>
          <w:rFonts w:hint="eastAsia" w:ascii="仿宋_GB2312" w:hAnsi="仿宋_GB2312" w:eastAsia="仿宋_GB2312" w:cs="仿宋_GB2312"/>
          <w:b/>
          <w:sz w:val="32"/>
          <w:szCs w:val="32"/>
        </w:rPr>
        <w:t>）护理部</w:t>
      </w:r>
      <w:r>
        <w:rPr>
          <w:rFonts w:hint="eastAsia" w:ascii="仿宋_GB2312" w:hAnsi="仿宋_GB2312" w:cs="仿宋_GB2312"/>
          <w:b/>
          <w:sz w:val="32"/>
          <w:szCs w:val="32"/>
          <w:lang w:eastAsia="zh-CN"/>
        </w:rPr>
        <w:t>：</w:t>
      </w:r>
      <w:r>
        <w:rPr>
          <w:rFonts w:hint="eastAsia" w:ascii="仿宋_GB2312" w:hAnsi="仿宋_GB2312" w:eastAsia="仿宋_GB2312" w:cs="仿宋_GB2312"/>
          <w:sz w:val="32"/>
          <w:szCs w:val="32"/>
        </w:rPr>
        <w:t>负责临床护理工作及院内感染控制等工作。</w:t>
      </w:r>
    </w:p>
    <w:p>
      <w:pPr>
        <w:widowControl/>
        <w:numPr>
          <w:ilvl w:val="0"/>
          <w:numId w:val="1"/>
        </w:numPr>
        <w:adjustRightInd w:val="0"/>
        <w:snapToGrid w:val="0"/>
        <w:spacing w:line="580" w:lineRule="exact"/>
        <w:ind w:left="-320" w:leftChars="0" w:firstLine="640" w:firstLineChars="0"/>
        <w:contextualSpacing/>
        <w:jc w:val="both"/>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机构职能</w:t>
      </w:r>
    </w:p>
    <w:p>
      <w:pPr>
        <w:widowControl/>
        <w:numPr>
          <w:ilvl w:val="0"/>
          <w:numId w:val="0"/>
        </w:numPr>
        <w:adjustRightInd w:val="0"/>
        <w:snapToGrid w:val="0"/>
        <w:spacing w:line="580" w:lineRule="exact"/>
        <w:ind w:firstLine="960" w:firstLineChars="300"/>
        <w:contextualSpacing/>
        <w:jc w:val="both"/>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w:t>
      </w:r>
      <w:r>
        <w:rPr>
          <w:rFonts w:hint="eastAsia" w:ascii="仿宋_GB2312" w:hAnsi="仿宋_GB2312" w:eastAsia="仿宋_GB2312" w:cs="仿宋_GB2312"/>
          <w:sz w:val="32"/>
          <w:szCs w:val="32"/>
        </w:rPr>
        <w:t>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widowControl/>
        <w:numPr>
          <w:ilvl w:val="0"/>
          <w:numId w:val="0"/>
        </w:numPr>
        <w:adjustRightInd w:val="0"/>
        <w:snapToGrid w:val="0"/>
        <w:spacing w:line="580" w:lineRule="exact"/>
        <w:ind w:firstLine="960" w:firstLineChars="300"/>
        <w:contextualSpacing/>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务本乡</w:t>
      </w:r>
      <w:r>
        <w:rPr>
          <w:rFonts w:hint="eastAsia" w:ascii="仿宋_GB2312" w:hAnsi="仿宋_GB2312" w:eastAsia="仿宋_GB2312" w:cs="仿宋_GB2312"/>
          <w:sz w:val="32"/>
          <w:szCs w:val="32"/>
        </w:rPr>
        <w:t xml:space="preserve">妇幼保健站）贯彻落实党中央和省市区委关于卫生健康工作的方针政策和决策部署。主要职责是：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960" w:firstLineChars="3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基本医疗服务：负责辖区一般常见病、多发病、 地方病的基本医疗服务；现场救护和转诊服务；慢性病管 理服务；母婴保健技术服务等。 </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960" w:firstLineChars="3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 者管理、结核病患者管理、中医药健康管理、传染病和突发公共卫生事件报告和处理、卫生计生监督协管等基本公共卫生服务。 </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960" w:firstLineChars="3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综合管理服务：协助政府制定和组织实施辖区内卫生健康事业发展规划；管理、指导村卫生室业务工作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并对乡村医生开展相关技能培训；开展医保政策法规宣传咨询，配合做好即时补偿结算等工作。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960" w:firstLineChars="300"/>
        <w:contextualSpacing/>
        <w:jc w:val="both"/>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完成攀枝花市仁和区卫生健康局交办的其他工作任务</w:t>
      </w:r>
      <w:r>
        <w:rPr>
          <w:rFonts w:hint="eastAsia" w:ascii="仿宋_GB2312" w:hAnsi="仿宋_GB2312" w:eastAsia="仿宋_GB2312" w:cs="仿宋_GB2312"/>
          <w:sz w:val="32"/>
          <w:szCs w:val="32"/>
          <w:lang w:eastAsia="zh-CN"/>
        </w:rPr>
        <w:t>。</w:t>
      </w:r>
    </w:p>
    <w:p>
      <w:pPr>
        <w:widowControl/>
        <w:adjustRightInd w:val="0"/>
        <w:snapToGrid w:val="0"/>
        <w:spacing w:line="580" w:lineRule="exact"/>
        <w:ind w:firstLine="643" w:firstLineChars="200"/>
        <w:contextualSpacing/>
        <w:jc w:val="left"/>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widowControl/>
        <w:adjustRightInd w:val="0"/>
        <w:snapToGrid w:val="0"/>
        <w:spacing w:line="580" w:lineRule="exact"/>
        <w:ind w:firstLine="960" w:firstLineChars="300"/>
        <w:contextualSpacing/>
        <w:jc w:val="both"/>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en-US" w:eastAsia="zh-CN"/>
        </w:rPr>
        <w:t>我单位核定编制13人，现有职工20人，其中在编11人，从福田卫生院借调1人,临聘7人，公共卫生特别服务岗1人，退休职工6人。核定床位10张，实际开设床位20张。其中主治医师4人、执业医师3人、医士1人、康复士1人、主管护师2人、护师3人、护士4人、工勤2人。</w:t>
      </w:r>
    </w:p>
    <w:p>
      <w:pPr>
        <w:widowControl/>
        <w:adjustRightInd w:val="0"/>
        <w:snapToGrid w:val="0"/>
        <w:spacing w:line="580" w:lineRule="exact"/>
        <w:contextualSpacing/>
        <w:jc w:val="both"/>
        <w:rPr>
          <w:rFonts w:hint="eastAsia" w:ascii="仿宋_GB2312" w:hAnsi="仿宋_GB2312" w:eastAsia="仿宋_GB2312" w:cs="仿宋_GB2312"/>
          <w:b/>
          <w:bCs/>
          <w:color w:val="000000"/>
          <w:kern w:val="0"/>
          <w:sz w:val="36"/>
          <w:szCs w:val="36"/>
          <w:shd w:val="clear" w:color="auto" w:fill="FFFFFF"/>
        </w:rPr>
      </w:pPr>
      <w:r>
        <w:rPr>
          <w:rFonts w:hint="eastAsia" w:ascii="仿宋_GB2312" w:hAnsi="仿宋_GB2312" w:eastAsia="仿宋_GB2312" w:cs="仿宋_GB2312"/>
          <w:b/>
          <w:bCs/>
          <w:color w:val="000000"/>
          <w:kern w:val="0"/>
          <w:sz w:val="36"/>
          <w:szCs w:val="36"/>
          <w:shd w:val="clear" w:color="auto" w:fill="FFFFFF"/>
        </w:rPr>
        <w:t>二、部门财政资金收支情况</w:t>
      </w:r>
    </w:p>
    <w:p>
      <w:pPr>
        <w:widowControl/>
        <w:adjustRightInd w:val="0"/>
        <w:snapToGrid w:val="0"/>
        <w:spacing w:line="580" w:lineRule="exact"/>
        <w:ind w:firstLine="643" w:firstLineChars="200"/>
        <w:contextualSpacing/>
        <w:jc w:val="both"/>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（一）部门财政资金收入情况。（</w:t>
      </w:r>
      <w:r>
        <w:rPr>
          <w:rFonts w:hint="eastAsia" w:ascii="仿宋_GB2312" w:hAnsi="仿宋_GB2312" w:eastAsia="仿宋_GB2312" w:cs="仿宋_GB2312"/>
          <w:b/>
          <w:bCs/>
          <w:color w:val="auto"/>
          <w:kern w:val="0"/>
          <w:sz w:val="32"/>
          <w:szCs w:val="32"/>
          <w:shd w:val="clear" w:color="auto" w:fill="FFFFFF"/>
          <w:lang w:val="en-US" w:eastAsia="zh-CN"/>
        </w:rPr>
        <w:t>决算报表数据</w:t>
      </w:r>
      <w:r>
        <w:rPr>
          <w:rFonts w:hint="eastAsia" w:ascii="仿宋_GB2312" w:hAnsi="仿宋_GB2312" w:eastAsia="仿宋_GB2312" w:cs="仿宋_GB2312"/>
          <w:b/>
          <w:bCs/>
          <w:color w:val="auto"/>
          <w:kern w:val="0"/>
          <w:sz w:val="32"/>
          <w:szCs w:val="32"/>
          <w:shd w:val="clear" w:color="auto" w:fill="FFFFFF"/>
          <w:lang w:val="zh-CN"/>
        </w:rPr>
        <w:t>）</w:t>
      </w:r>
    </w:p>
    <w:p>
      <w:pPr>
        <w:widowControl/>
        <w:adjustRightInd w:val="0"/>
        <w:snapToGrid w:val="0"/>
        <w:spacing w:line="580" w:lineRule="exact"/>
        <w:ind w:firstLine="640" w:firstLineChars="200"/>
        <w:contextualSpacing/>
        <w:jc w:val="both"/>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zh-CN"/>
        </w:rPr>
        <w:t>202</w:t>
      </w: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lang w:val="zh-CN"/>
        </w:rPr>
        <w:t>年</w:t>
      </w:r>
      <w:r>
        <w:rPr>
          <w:rFonts w:hint="eastAsia" w:ascii="仿宋_GB2312" w:hAnsi="仿宋_GB2312" w:eastAsia="仿宋_GB2312" w:cs="仿宋_GB2312"/>
          <w:spacing w:val="30"/>
          <w:sz w:val="32"/>
          <w:szCs w:val="32"/>
          <w:highlight w:val="none"/>
        </w:rPr>
        <w:t>务本乡卫生院</w:t>
      </w:r>
      <w:r>
        <w:rPr>
          <w:rFonts w:hint="eastAsia" w:ascii="仿宋_GB2312" w:hAnsi="仿宋_GB2312" w:eastAsia="仿宋_GB2312" w:cs="仿宋_GB2312"/>
          <w:color w:val="auto"/>
          <w:kern w:val="0"/>
          <w:sz w:val="32"/>
          <w:szCs w:val="32"/>
          <w:highlight w:val="none"/>
          <w:shd w:val="clear" w:color="auto" w:fill="FFFFFF"/>
          <w:lang w:val="zh-CN"/>
        </w:rPr>
        <w:t>预算安排总额为</w:t>
      </w:r>
      <w:r>
        <w:rPr>
          <w:rFonts w:hint="eastAsia" w:ascii="仿宋_GB2312" w:hAnsi="仿宋_GB2312" w:eastAsia="仿宋_GB2312" w:cs="仿宋_GB2312"/>
          <w:color w:val="auto"/>
          <w:kern w:val="0"/>
          <w:sz w:val="32"/>
          <w:szCs w:val="32"/>
          <w:highlight w:val="none"/>
          <w:shd w:val="clear" w:color="auto" w:fill="FFFFFF"/>
          <w:lang w:val="en-US" w:eastAsia="zh-CN"/>
        </w:rPr>
        <w:t>281.37</w:t>
      </w:r>
      <w:r>
        <w:rPr>
          <w:rFonts w:hint="eastAsia" w:ascii="仿宋_GB2312" w:hAnsi="仿宋_GB2312" w:eastAsia="仿宋_GB2312" w:cs="仿宋_GB2312"/>
          <w:color w:val="auto"/>
          <w:kern w:val="0"/>
          <w:sz w:val="32"/>
          <w:szCs w:val="32"/>
          <w:highlight w:val="none"/>
          <w:shd w:val="clear" w:color="auto" w:fill="FFFFFF"/>
          <w:lang w:val="zh-CN"/>
        </w:rPr>
        <w:t>万元，其中：当年财政拨款人员经费收入</w:t>
      </w:r>
      <w:r>
        <w:rPr>
          <w:rFonts w:hint="eastAsia" w:ascii="仿宋_GB2312" w:hAnsi="仿宋_GB2312" w:eastAsia="仿宋_GB2312" w:cs="仿宋_GB2312"/>
          <w:color w:val="auto"/>
          <w:kern w:val="0"/>
          <w:sz w:val="32"/>
          <w:szCs w:val="32"/>
          <w:highlight w:val="none"/>
          <w:shd w:val="clear" w:color="auto" w:fill="FFFFFF"/>
          <w:lang w:val="en-US" w:eastAsia="zh-CN"/>
        </w:rPr>
        <w:t>181.37</w:t>
      </w:r>
      <w:r>
        <w:rPr>
          <w:rFonts w:hint="eastAsia" w:ascii="仿宋_GB2312" w:hAnsi="仿宋_GB2312" w:eastAsia="仿宋_GB2312" w:cs="仿宋_GB2312"/>
          <w:color w:val="auto"/>
          <w:kern w:val="0"/>
          <w:sz w:val="32"/>
          <w:szCs w:val="32"/>
          <w:highlight w:val="none"/>
          <w:shd w:val="clear" w:color="auto" w:fill="FFFFFF"/>
          <w:lang w:val="zh-CN"/>
        </w:rPr>
        <w:t>万元，项目收入</w:t>
      </w:r>
      <w:r>
        <w:rPr>
          <w:rFonts w:hint="eastAsia" w:ascii="仿宋_GB2312" w:hAnsi="仿宋_GB2312" w:eastAsia="仿宋_GB2312" w:cs="仿宋_GB2312"/>
          <w:color w:val="auto"/>
          <w:kern w:val="0"/>
          <w:sz w:val="32"/>
          <w:szCs w:val="32"/>
          <w:highlight w:val="none"/>
          <w:shd w:val="clear" w:color="auto" w:fill="FFFFFF"/>
          <w:lang w:val="en-US" w:eastAsia="zh-CN"/>
        </w:rPr>
        <w:t>100</w:t>
      </w:r>
      <w:r>
        <w:rPr>
          <w:rFonts w:hint="eastAsia" w:ascii="仿宋_GB2312" w:hAnsi="仿宋_GB2312" w:eastAsia="仿宋_GB2312" w:cs="仿宋_GB2312"/>
          <w:color w:val="auto"/>
          <w:kern w:val="0"/>
          <w:sz w:val="32"/>
          <w:szCs w:val="32"/>
          <w:highlight w:val="none"/>
          <w:shd w:val="clear" w:color="auto" w:fill="FFFFFF"/>
          <w:lang w:val="zh-CN"/>
        </w:rPr>
        <w:t>万元。</w:t>
      </w:r>
      <w:r>
        <w:rPr>
          <w:rFonts w:hint="eastAsia" w:ascii="仿宋_GB2312" w:hAnsi="仿宋_GB2312" w:eastAsia="仿宋_GB2312" w:cs="仿宋_GB2312"/>
          <w:color w:val="auto"/>
          <w:kern w:val="0"/>
          <w:sz w:val="32"/>
          <w:szCs w:val="32"/>
          <w:highlight w:val="none"/>
          <w:shd w:val="clear" w:color="auto" w:fill="FFFFFF"/>
          <w:lang w:val="en-US" w:eastAsia="zh-CN"/>
        </w:rPr>
        <w:t>2022年务本卫生院决算收入272.57万元，其中一般公共预算财政拨款收入272.37万元，政府性基金预算财政拨款收入0.2万元。</w:t>
      </w:r>
    </w:p>
    <w:p>
      <w:pPr>
        <w:widowControl/>
        <w:numPr>
          <w:ilvl w:val="0"/>
          <w:numId w:val="2"/>
        </w:numPr>
        <w:adjustRightInd w:val="0"/>
        <w:snapToGrid w:val="0"/>
        <w:spacing w:line="580" w:lineRule="exact"/>
        <w:ind w:firstLine="643" w:firstLineChars="200"/>
        <w:contextualSpacing/>
        <w:jc w:val="both"/>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部门财政资金支出情况。（</w:t>
      </w:r>
      <w:r>
        <w:rPr>
          <w:rFonts w:hint="eastAsia" w:ascii="仿宋_GB2312" w:hAnsi="仿宋_GB2312" w:eastAsia="仿宋_GB2312" w:cs="仿宋_GB2312"/>
          <w:b/>
          <w:bCs/>
          <w:color w:val="auto"/>
          <w:kern w:val="0"/>
          <w:sz w:val="32"/>
          <w:szCs w:val="32"/>
          <w:shd w:val="clear" w:color="auto" w:fill="FFFFFF"/>
          <w:lang w:val="en-US" w:eastAsia="zh-CN"/>
        </w:rPr>
        <w:t>决算报表数据</w:t>
      </w:r>
      <w:r>
        <w:rPr>
          <w:rFonts w:hint="eastAsia" w:ascii="仿宋_GB2312" w:hAnsi="仿宋_GB2312" w:eastAsia="仿宋_GB2312" w:cs="仿宋_GB2312"/>
          <w:b/>
          <w:bCs/>
          <w:color w:val="auto"/>
          <w:kern w:val="0"/>
          <w:sz w:val="32"/>
          <w:szCs w:val="32"/>
          <w:shd w:val="clear" w:color="auto" w:fill="FFFFFF"/>
          <w:lang w:val="zh-CN"/>
        </w:rPr>
        <w:t>）</w:t>
      </w:r>
    </w:p>
    <w:p>
      <w:pPr>
        <w:widowControl/>
        <w:numPr>
          <w:ilvl w:val="0"/>
          <w:numId w:val="0"/>
        </w:numPr>
        <w:adjustRightInd w:val="0"/>
        <w:snapToGrid w:val="0"/>
        <w:spacing w:line="580" w:lineRule="exact"/>
        <w:ind w:firstLine="640" w:firstLineChars="200"/>
        <w:contextualSpacing/>
        <w:jc w:val="both"/>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攀枝花市仁和区</w:t>
      </w:r>
      <w:r>
        <w:rPr>
          <w:rFonts w:hint="eastAsia" w:ascii="仿宋_GB2312" w:hAnsi="仿宋_GB2312" w:eastAsia="仿宋_GB2312" w:cs="仿宋_GB2312"/>
          <w:spacing w:val="30"/>
          <w:sz w:val="32"/>
          <w:szCs w:val="32"/>
          <w:highlight w:val="none"/>
        </w:rPr>
        <w:t>务本乡卫生院</w:t>
      </w:r>
      <w:r>
        <w:rPr>
          <w:rFonts w:hint="eastAsia" w:ascii="仿宋_GB2312" w:hAnsi="仿宋_GB2312" w:eastAsia="仿宋_GB2312" w:cs="仿宋_GB2312"/>
          <w:color w:val="000000"/>
          <w:kern w:val="0"/>
          <w:sz w:val="32"/>
          <w:szCs w:val="32"/>
          <w:highlight w:val="none"/>
          <w:shd w:val="clear" w:color="auto" w:fill="FFFFFF"/>
          <w:lang w:val="zh-CN"/>
        </w:rPr>
        <w:t>202</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年支出总额为</w:t>
      </w:r>
      <w:r>
        <w:rPr>
          <w:rFonts w:hint="eastAsia" w:ascii="仿宋_GB2312" w:hAnsi="仿宋_GB2312" w:eastAsia="仿宋_GB2312" w:cs="仿宋_GB2312"/>
          <w:color w:val="000000"/>
          <w:kern w:val="0"/>
          <w:sz w:val="32"/>
          <w:szCs w:val="32"/>
          <w:highlight w:val="none"/>
          <w:shd w:val="clear" w:color="auto" w:fill="FFFFFF"/>
          <w:lang w:val="en-US" w:eastAsia="zh-CN"/>
        </w:rPr>
        <w:t>272.57</w:t>
      </w:r>
      <w:r>
        <w:rPr>
          <w:rFonts w:hint="eastAsia" w:ascii="仿宋_GB2312" w:hAnsi="仿宋_GB2312" w:eastAsia="仿宋_GB2312" w:cs="仿宋_GB2312"/>
          <w:color w:val="000000"/>
          <w:kern w:val="0"/>
          <w:sz w:val="32"/>
          <w:szCs w:val="32"/>
          <w:highlight w:val="none"/>
          <w:shd w:val="clear" w:color="auto" w:fill="FFFFFF"/>
          <w:lang w:val="zh-CN"/>
        </w:rPr>
        <w:t>万元，其中人员经费支出</w:t>
      </w:r>
      <w:r>
        <w:rPr>
          <w:rFonts w:hint="eastAsia" w:ascii="仿宋_GB2312" w:hAnsi="仿宋_GB2312" w:eastAsia="仿宋_GB2312" w:cs="仿宋_GB2312"/>
          <w:color w:val="000000"/>
          <w:kern w:val="0"/>
          <w:sz w:val="32"/>
          <w:szCs w:val="32"/>
          <w:highlight w:val="none"/>
          <w:shd w:val="clear" w:color="auto" w:fill="FFFFFF"/>
          <w:lang w:val="en-US" w:eastAsia="zh-CN"/>
        </w:rPr>
        <w:t>164.20</w:t>
      </w:r>
      <w:r>
        <w:rPr>
          <w:rFonts w:hint="eastAsia" w:ascii="仿宋_GB2312" w:hAnsi="仿宋_GB2312" w:eastAsia="仿宋_GB2312" w:cs="仿宋_GB2312"/>
          <w:color w:val="000000"/>
          <w:kern w:val="0"/>
          <w:sz w:val="32"/>
          <w:szCs w:val="32"/>
          <w:highlight w:val="none"/>
          <w:shd w:val="clear" w:color="auto" w:fill="FFFFFF"/>
          <w:lang w:val="zh-CN"/>
        </w:rPr>
        <w:t>万元，部门预算项目支出</w:t>
      </w:r>
      <w:r>
        <w:rPr>
          <w:rFonts w:hint="eastAsia" w:ascii="仿宋_GB2312" w:hAnsi="仿宋_GB2312" w:eastAsia="仿宋_GB2312" w:cs="仿宋_GB2312"/>
          <w:color w:val="000000"/>
          <w:kern w:val="0"/>
          <w:sz w:val="32"/>
          <w:szCs w:val="32"/>
          <w:highlight w:val="none"/>
          <w:shd w:val="clear" w:color="auto" w:fill="FFFFFF"/>
          <w:lang w:val="en-US" w:eastAsia="zh-CN"/>
        </w:rPr>
        <w:t>34.31</w:t>
      </w:r>
      <w:r>
        <w:rPr>
          <w:rFonts w:hint="eastAsia" w:ascii="仿宋_GB2312" w:hAnsi="仿宋_GB2312" w:eastAsia="仿宋_GB2312" w:cs="仿宋_GB2312"/>
          <w:color w:val="000000"/>
          <w:kern w:val="0"/>
          <w:sz w:val="32"/>
          <w:szCs w:val="32"/>
          <w:highlight w:val="none"/>
          <w:shd w:val="clear" w:color="auto" w:fill="FFFFFF"/>
          <w:lang w:val="zh-CN"/>
        </w:rPr>
        <w:t>万元，</w:t>
      </w:r>
      <w:r>
        <w:rPr>
          <w:rFonts w:hint="eastAsia" w:ascii="仿宋_GB2312" w:hAnsi="仿宋_GB2312" w:eastAsia="仿宋_GB2312" w:cs="仿宋_GB2312"/>
          <w:color w:val="auto"/>
          <w:kern w:val="0"/>
          <w:sz w:val="32"/>
          <w:szCs w:val="32"/>
          <w:highlight w:val="none"/>
          <w:shd w:val="clear" w:color="auto" w:fill="FFFFFF"/>
          <w:lang w:val="en-US" w:eastAsia="zh-CN"/>
        </w:rPr>
        <w:t>专项项目支出74.06万元</w:t>
      </w:r>
      <w:r>
        <w:rPr>
          <w:rFonts w:hint="eastAsia" w:ascii="仿宋_GB2312" w:hAnsi="仿宋_GB2312" w:eastAsia="仿宋_GB2312" w:cs="仿宋_GB2312"/>
          <w:color w:val="000000"/>
          <w:kern w:val="0"/>
          <w:sz w:val="32"/>
          <w:szCs w:val="32"/>
          <w:highlight w:val="none"/>
          <w:shd w:val="clear" w:color="auto" w:fill="FFFFFF"/>
          <w:lang w:val="zh-CN"/>
        </w:rPr>
        <w:t>。</w:t>
      </w:r>
    </w:p>
    <w:p>
      <w:pPr>
        <w:widowControl/>
        <w:adjustRightInd w:val="0"/>
        <w:snapToGrid w:val="0"/>
        <w:spacing w:line="580" w:lineRule="exact"/>
        <w:contextualSpacing/>
        <w:jc w:val="both"/>
        <w:rPr>
          <w:rFonts w:hint="eastAsia" w:ascii="仿宋_GB2312" w:hAnsi="仿宋_GB2312" w:eastAsia="仿宋_GB2312" w:cs="仿宋_GB2312"/>
          <w:b/>
          <w:bCs/>
          <w:sz w:val="36"/>
          <w:szCs w:val="36"/>
          <w:highlight w:val="yellow"/>
          <w:lang w:val="en-US" w:eastAsia="zh-CN"/>
        </w:rPr>
      </w:pPr>
      <w:r>
        <w:rPr>
          <w:rFonts w:hint="eastAsia" w:ascii="仿宋_GB2312" w:hAnsi="仿宋_GB2312" w:eastAsia="仿宋_GB2312" w:cs="仿宋_GB2312"/>
          <w:b/>
          <w:bCs/>
          <w:color w:val="000000"/>
          <w:kern w:val="0"/>
          <w:sz w:val="36"/>
          <w:szCs w:val="36"/>
          <w:shd w:val="clear" w:color="auto" w:fill="FFFFFF"/>
        </w:rPr>
        <w:t>三、部门整体预算绩效管理情况</w:t>
      </w:r>
    </w:p>
    <w:p>
      <w:pPr>
        <w:widowControl/>
        <w:numPr>
          <w:ilvl w:val="0"/>
          <w:numId w:val="0"/>
        </w:numPr>
        <w:adjustRightInd w:val="0"/>
        <w:snapToGrid w:val="0"/>
        <w:spacing w:line="580" w:lineRule="exact"/>
        <w:ind w:firstLine="321" w:firstLineChars="100"/>
        <w:contextualSpacing/>
        <w:jc w:val="both"/>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（一）</w:t>
      </w:r>
      <w:r>
        <w:rPr>
          <w:rFonts w:hint="eastAsia" w:ascii="仿宋_GB2312" w:hAnsi="仿宋_GB2312" w:eastAsia="仿宋_GB2312" w:cs="仿宋_GB2312"/>
          <w:b/>
          <w:bCs/>
          <w:color w:val="000000"/>
          <w:kern w:val="0"/>
          <w:sz w:val="32"/>
          <w:szCs w:val="32"/>
          <w:shd w:val="clear" w:color="auto" w:fill="FFFFFF"/>
          <w:lang w:val="en-US" w:eastAsia="zh-CN"/>
        </w:rPr>
        <w:t>目标制定：</w:t>
      </w:r>
    </w:p>
    <w:p>
      <w:pPr>
        <w:widowControl/>
        <w:numPr>
          <w:ilvl w:val="0"/>
          <w:numId w:val="0"/>
        </w:numPr>
        <w:adjustRightInd w:val="0"/>
        <w:snapToGrid w:val="0"/>
        <w:spacing w:line="580" w:lineRule="exact"/>
        <w:contextualSpacing/>
        <w:jc w:val="both"/>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我单位严格按照规定使用财政拨付资金进行以下工作：</w:t>
      </w:r>
    </w:p>
    <w:p>
      <w:pPr>
        <w:widowControl/>
        <w:numPr>
          <w:ilvl w:val="0"/>
          <w:numId w:val="0"/>
        </w:numPr>
        <w:adjustRightInd w:val="0"/>
        <w:snapToGrid w:val="0"/>
        <w:spacing w:line="580" w:lineRule="exact"/>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①</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 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widowControl/>
        <w:numPr>
          <w:ilvl w:val="0"/>
          <w:numId w:val="0"/>
        </w:numPr>
        <w:adjustRightInd w:val="0"/>
        <w:snapToGrid w:val="0"/>
        <w:spacing w:line="580" w:lineRule="exact"/>
        <w:ind w:firstLine="320" w:firstLineChars="1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widowControl/>
        <w:numPr>
          <w:ilvl w:val="0"/>
          <w:numId w:val="0"/>
        </w:numPr>
        <w:adjustRightInd w:val="0"/>
        <w:snapToGrid w:val="0"/>
        <w:spacing w:line="580" w:lineRule="exact"/>
        <w:ind w:firstLine="320" w:firstLineChars="1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③开展乡村医生技能培训、医保政策宣传等综合管理服务。</w:t>
      </w:r>
    </w:p>
    <w:p>
      <w:pPr>
        <w:widowControl/>
        <w:numPr>
          <w:ilvl w:val="0"/>
          <w:numId w:val="3"/>
        </w:numPr>
        <w:adjustRightInd w:val="0"/>
        <w:snapToGrid w:val="0"/>
        <w:spacing w:line="580" w:lineRule="exact"/>
        <w:ind w:firstLine="320" w:firstLineChars="100"/>
        <w:contextualSpacing/>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目标实现：</w:t>
      </w:r>
    </w:p>
    <w:p>
      <w:pPr>
        <w:widowControl/>
        <w:numPr>
          <w:ilvl w:val="0"/>
          <w:numId w:val="0"/>
        </w:numPr>
        <w:adjustRightInd w:val="0"/>
        <w:snapToGrid w:val="0"/>
        <w:spacing w:line="580" w:lineRule="exact"/>
        <w:ind w:firstLine="480"/>
        <w:contextualSpacing/>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人员类：完成了对工资、津补贴、绩效、保险、职业年金、住房公积金、抚恤金的支付。</w:t>
      </w:r>
    </w:p>
    <w:p>
      <w:pPr>
        <w:widowControl/>
        <w:numPr>
          <w:ilvl w:val="0"/>
          <w:numId w:val="0"/>
        </w:numPr>
        <w:adjustRightInd w:val="0"/>
        <w:snapToGrid w:val="0"/>
        <w:spacing w:line="580" w:lineRule="exact"/>
        <w:ind w:firstLine="480"/>
        <w:contextualSpacing/>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运转类：医疗卫生管理经费完成了对药品、材料、试剂、疫苗、检测、杂支等费用的部分支付；医疗服务与保障能力提升（中医药事业传承与发展部分）完成了对中医馆购买设备费用的支付。</w:t>
      </w:r>
    </w:p>
    <w:p>
      <w:pPr>
        <w:widowControl/>
        <w:numPr>
          <w:ilvl w:val="0"/>
          <w:numId w:val="3"/>
        </w:numPr>
        <w:adjustRightInd w:val="0"/>
        <w:snapToGrid w:val="0"/>
        <w:spacing w:line="580" w:lineRule="exact"/>
        <w:ind w:left="0" w:leftChars="0" w:firstLine="320" w:firstLineChars="100"/>
        <w:contextualSpacing/>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支出控制、及时处置：对资金的支出严格按相关规定进行支付、控制，并对工作中支付失败的资金及时进行了重付。</w:t>
      </w:r>
    </w:p>
    <w:p>
      <w:pPr>
        <w:pStyle w:val="4"/>
        <w:spacing w:line="600" w:lineRule="exact"/>
        <w:ind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4.执行进度：（1）基药中央资金预算下达数9.16万元，已使用4.79万元，使用率52.29%；基药省级资金预算下达数3.54万元，已使用1.74万元，使用率49.15%。</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4"/>
        <w:numPr>
          <w:ilvl w:val="0"/>
          <w:numId w:val="4"/>
        </w:num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基本公共卫生中央资金预算下达数52.87万元，已使用51.95万元，使用率98.26%，主要是重大公共卫生经费财政未及时支付；基本公共卫生省级资金预算下达数7.42万元，已使用7.42万元，使用率100%。</w:t>
      </w:r>
    </w:p>
    <w:p>
      <w:pPr>
        <w:pStyle w:val="4"/>
        <w:widowControl w:val="0"/>
        <w:numPr>
          <w:ilvl w:val="0"/>
          <w:numId w:val="0"/>
        </w:numPr>
        <w:spacing w:line="60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(3 )医疗服务与保障能力提升补助资金预算下达数3万元，已使用3万，使用率100%。</w:t>
      </w:r>
    </w:p>
    <w:p>
      <w:pPr>
        <w:pStyle w:val="4"/>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(4)政府资金投入1.0万元，已使用0.2万元，使用率20%，资金使用率低的主要原因是：财政资金调度困难，支付进度缓慢。</w:t>
      </w:r>
    </w:p>
    <w:p>
      <w:pPr>
        <w:pStyle w:val="4"/>
        <w:numPr>
          <w:ilvl w:val="0"/>
          <w:numId w:val="0"/>
        </w:numPr>
        <w:spacing w:line="60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5.预算完成情况：</w:t>
      </w: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516.91</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272.38</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0.2万元，</w:t>
      </w:r>
      <w:r>
        <w:rPr>
          <w:rFonts w:hint="eastAsia" w:ascii="仿宋_GB2312" w:hAnsi="仿宋_GB2312" w:eastAsia="仿宋_GB2312" w:cs="仿宋_GB2312"/>
          <w:i w:val="0"/>
          <w:iCs w:val="0"/>
          <w:caps w:val="0"/>
          <w:color w:val="auto"/>
          <w:spacing w:val="0"/>
          <w:sz w:val="32"/>
          <w:szCs w:val="32"/>
          <w:shd w:val="clear" w:fill="FFFFFF"/>
          <w:vertAlign w:val="baseline"/>
        </w:rPr>
        <w:t>事业收入：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244.33</w:t>
      </w:r>
      <w:r>
        <w:rPr>
          <w:rFonts w:hint="eastAsia" w:ascii="仿宋_GB2312" w:hAnsi="仿宋_GB2312" w:eastAsia="仿宋_GB2312" w:cs="仿宋_GB2312"/>
          <w:i w:val="0"/>
          <w:iCs w:val="0"/>
          <w:caps w:val="0"/>
          <w:color w:val="auto"/>
          <w:spacing w:val="0"/>
          <w:sz w:val="32"/>
          <w:szCs w:val="32"/>
          <w:shd w:val="clear" w:fill="FFFFFF"/>
          <w:vertAlign w:val="baseline"/>
        </w:rPr>
        <w:t>万元。202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516.91</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279.03</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108.37万元，结余分配129.51万元</w:t>
      </w:r>
      <w:r>
        <w:rPr>
          <w:rFonts w:hint="eastAsia" w:ascii="仿宋_GB2312" w:hAnsi="仿宋_GB2312" w:eastAsia="仿宋_GB2312" w:cs="仿宋_GB2312"/>
          <w:i w:val="0"/>
          <w:iCs w:val="0"/>
          <w:caps w:val="0"/>
          <w:color w:val="auto"/>
          <w:spacing w:val="0"/>
          <w:sz w:val="32"/>
          <w:szCs w:val="32"/>
          <w:shd w:val="clear" w:fill="FFFFFF"/>
          <w:vertAlign w:val="baseline"/>
        </w:rPr>
        <w:t>。</w:t>
      </w:r>
    </w:p>
    <w:p>
      <w:pPr>
        <w:pStyle w:val="4"/>
        <w:widowControl w:val="0"/>
        <w:numPr>
          <w:ilvl w:val="0"/>
          <w:numId w:val="0"/>
        </w:numPr>
        <w:spacing w:line="600" w:lineRule="exact"/>
        <w:ind w:firstLine="320" w:firstLineChars="100"/>
        <w:jc w:val="both"/>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6.本年度我单位无资金违规记录。</w:t>
      </w:r>
    </w:p>
    <w:p>
      <w:pPr>
        <w:widowControl/>
        <w:adjustRightInd w:val="0"/>
        <w:snapToGrid w:val="0"/>
        <w:spacing w:line="580" w:lineRule="exact"/>
        <w:ind w:firstLine="321" w:firstLineChars="100"/>
        <w:contextualSpacing/>
        <w:jc w:val="both"/>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（二）结果应用情况。</w:t>
      </w:r>
    </w:p>
    <w:p>
      <w:pPr>
        <w:pStyle w:val="4"/>
        <w:spacing w:line="60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年基础上增加3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住院人次与上年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12.85%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、基本公共卫生：已完成全年基本公共卫生工作指标；高血压管理率达90%、糖尿病管理率达90%、老年人管理率达90%、孕产妇管理率达100%、儿童管理率达95%。</w:t>
      </w:r>
    </w:p>
    <w:p>
      <w:pPr>
        <w:pStyle w:val="4"/>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520" w:lineRule="exact"/>
        <w:ind w:left="400" w:leftChars="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数量指标</w:t>
      </w:r>
    </w:p>
    <w:p>
      <w:pPr>
        <w:keepNext w:val="0"/>
        <w:keepLines w:val="0"/>
        <w:pageBreakBefore w:val="0"/>
        <w:kinsoku/>
        <w:wordWrap/>
        <w:overflowPunct/>
        <w:topLinePunct w:val="0"/>
        <w:autoSpaceDE/>
        <w:autoSpaceDN/>
        <w:bidi w:val="0"/>
        <w:spacing w:line="52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仁和区务本乡卫生院2022年财政供养人数12人，实际完成数12人，完成率100%。</w:t>
      </w:r>
    </w:p>
    <w:p>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52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时效指标</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人员支出保障时限为2022年1--12月，已经100%完成。</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2022年全年支出516.91万元。</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提高卫生院在群众中的知晓率和满意度，推动卫生健康事业高质量发展，群众满意度达到97%。</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520" w:lineRule="exact"/>
        <w:ind w:leftChars="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推动卫生健康事业高质量发展，完成率96%。</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满意度指标</w:t>
      </w:r>
    </w:p>
    <w:p>
      <w:pPr>
        <w:widowControl/>
        <w:adjustRightInd w:val="0"/>
        <w:snapToGrid w:val="0"/>
        <w:spacing w:line="580" w:lineRule="exact"/>
        <w:ind w:firstLine="640" w:firstLineChars="200"/>
        <w:contextualSpacing/>
        <w:jc w:val="both"/>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群众满意度达到97%。</w:t>
      </w:r>
    </w:p>
    <w:p>
      <w:pPr>
        <w:widowControl/>
        <w:numPr>
          <w:ilvl w:val="0"/>
          <w:numId w:val="5"/>
        </w:numPr>
        <w:adjustRightInd w:val="0"/>
        <w:snapToGrid w:val="0"/>
        <w:spacing w:line="580" w:lineRule="exact"/>
        <w:ind w:firstLine="643" w:firstLineChars="200"/>
        <w:contextualSpacing/>
        <w:jc w:val="both"/>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自评质量</w:t>
      </w:r>
    </w:p>
    <w:p>
      <w:pPr>
        <w:widowControl/>
        <w:numPr>
          <w:ilvl w:val="0"/>
          <w:numId w:val="0"/>
        </w:numPr>
        <w:adjustRightInd w:val="0"/>
        <w:snapToGrid w:val="0"/>
        <w:spacing w:line="580" w:lineRule="exact"/>
        <w:contextualSpacing/>
        <w:jc w:val="both"/>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     经过对我院2022年项目支出情况进行总体评估，我院完善了院内财务内控制度，所有支出均按照财务相关规定支付，不存在违规支付、超标准支付等情况。</w:t>
      </w:r>
    </w:p>
    <w:p>
      <w:pPr>
        <w:widowControl/>
        <w:adjustRightInd w:val="0"/>
        <w:snapToGrid w:val="0"/>
        <w:spacing w:line="580" w:lineRule="exact"/>
        <w:ind w:firstLine="723" w:firstLineChars="200"/>
        <w:contextualSpacing/>
        <w:jc w:val="both"/>
        <w:rPr>
          <w:rFonts w:hint="eastAsia" w:ascii="仿宋_GB2312" w:hAnsi="仿宋_GB2312" w:eastAsia="仿宋_GB2312" w:cs="仿宋_GB2312"/>
          <w:b/>
          <w:bCs/>
          <w:color w:val="000000"/>
          <w:kern w:val="0"/>
          <w:sz w:val="36"/>
          <w:szCs w:val="36"/>
          <w:highlight w:val="none"/>
          <w:shd w:val="clear" w:color="auto" w:fill="FFFFFF"/>
        </w:rPr>
      </w:pPr>
      <w:r>
        <w:rPr>
          <w:rFonts w:hint="eastAsia" w:ascii="仿宋_GB2312" w:hAnsi="仿宋_GB2312" w:eastAsia="仿宋_GB2312" w:cs="仿宋_GB2312"/>
          <w:b/>
          <w:bCs/>
          <w:color w:val="000000"/>
          <w:kern w:val="0"/>
          <w:sz w:val="36"/>
          <w:szCs w:val="36"/>
          <w:highlight w:val="none"/>
          <w:shd w:val="clear" w:color="auto" w:fill="FFFFFF"/>
        </w:rPr>
        <w:t>四、评价结论及建议</w:t>
      </w:r>
    </w:p>
    <w:p>
      <w:pPr>
        <w:widowControl/>
        <w:adjustRightInd w:val="0"/>
        <w:snapToGrid w:val="0"/>
        <w:spacing w:line="580" w:lineRule="exact"/>
        <w:ind w:firstLine="643" w:firstLineChars="200"/>
        <w:contextualSpacing/>
        <w:jc w:val="both"/>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pPr>
        <w:widowControl/>
        <w:adjustRightInd w:val="0"/>
        <w:snapToGrid w:val="0"/>
        <w:spacing w:line="580" w:lineRule="exact"/>
        <w:ind w:firstLine="640" w:firstLineChars="200"/>
        <w:contextualSpacing/>
        <w:jc w:val="both"/>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  项目支出符合财政管理规定。经过对我院2022年项目支出情况进行总体评估，我院完善了院内财务内控制度，所有支出均按照财务相关规定支付，不存在违规支付、超标准支付等情况。 </w:t>
      </w:r>
    </w:p>
    <w:p>
      <w:pPr>
        <w:widowControl/>
        <w:numPr>
          <w:ilvl w:val="0"/>
          <w:numId w:val="0"/>
        </w:numPr>
        <w:adjustRightInd w:val="0"/>
        <w:snapToGrid w:val="0"/>
        <w:spacing w:line="580" w:lineRule="exact"/>
        <w:ind w:leftChars="200"/>
        <w:contextualSpacing/>
        <w:jc w:val="both"/>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（二）</w:t>
      </w:r>
      <w:r>
        <w:rPr>
          <w:rFonts w:hint="eastAsia" w:ascii="仿宋_GB2312" w:hAnsi="仿宋_GB2312" w:eastAsia="仿宋_GB2312" w:cs="仿宋_GB2312"/>
          <w:b/>
          <w:bCs/>
          <w:color w:val="000000"/>
          <w:kern w:val="0"/>
          <w:sz w:val="32"/>
          <w:szCs w:val="32"/>
          <w:highlight w:val="none"/>
          <w:shd w:val="clear" w:color="auto" w:fill="FFFFFF"/>
          <w:lang w:val="zh-CN"/>
        </w:rPr>
        <w:t>存在问题</w:t>
      </w:r>
    </w:p>
    <w:p>
      <w:pPr>
        <w:widowControl/>
        <w:numPr>
          <w:ilvl w:val="0"/>
          <w:numId w:val="0"/>
        </w:numPr>
        <w:adjustRightInd w:val="0"/>
        <w:snapToGrid w:val="0"/>
        <w:spacing w:line="580" w:lineRule="exact"/>
        <w:ind w:leftChars="200"/>
        <w:contextualSpacing/>
        <w:jc w:val="both"/>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cs="仿宋_GB2312"/>
          <w:color w:val="000000"/>
          <w:kern w:val="0"/>
          <w:sz w:val="32"/>
          <w:szCs w:val="32"/>
          <w:highlight w:val="none"/>
          <w:shd w:val="clear" w:color="auto" w:fill="FFFFFF"/>
          <w:lang w:val="en-US" w:eastAsia="zh-CN"/>
        </w:rPr>
        <w:t>1.绩效目标编制要素不完整，绩效指标细化量化不够精确；</w:t>
      </w:r>
    </w:p>
    <w:p>
      <w:pPr>
        <w:widowControl/>
        <w:numPr>
          <w:ilvl w:val="0"/>
          <w:numId w:val="0"/>
        </w:numPr>
        <w:adjustRightInd w:val="0"/>
        <w:snapToGrid w:val="0"/>
        <w:spacing w:line="580" w:lineRule="exact"/>
        <w:ind w:leftChars="200"/>
        <w:contextualSpacing/>
        <w:jc w:val="both"/>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 xml:space="preserve">   2.部门预算执行进度在6、9、11月实际支出进度未达到40%、67.5%、82.5%，主要原因是财政资金调度困难，未及时支付；</w:t>
      </w:r>
    </w:p>
    <w:p>
      <w:pPr>
        <w:widowControl/>
        <w:numPr>
          <w:ilvl w:val="0"/>
          <w:numId w:val="0"/>
        </w:numPr>
        <w:adjustRightInd w:val="0"/>
        <w:snapToGrid w:val="0"/>
        <w:spacing w:line="580" w:lineRule="exact"/>
        <w:ind w:leftChars="200"/>
        <w:contextualSpacing/>
        <w:jc w:val="both"/>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 xml:space="preserve">   3.部门预算项目12月预算执行进度未达到100%，主要原因是财政资金调度困难，未及时支付；</w:t>
      </w:r>
    </w:p>
    <w:p>
      <w:pPr>
        <w:widowControl/>
        <w:numPr>
          <w:ilvl w:val="0"/>
          <w:numId w:val="0"/>
        </w:numPr>
        <w:adjustRightInd w:val="0"/>
        <w:snapToGrid w:val="0"/>
        <w:spacing w:line="580" w:lineRule="exact"/>
        <w:ind w:firstLine="1280" w:firstLineChars="400"/>
        <w:contextualSpacing/>
        <w:jc w:val="both"/>
        <w:rPr>
          <w:rFonts w:hint="default"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4.对内设机构和下属单位预算与绩效挂钩机制不够完善；</w:t>
      </w:r>
    </w:p>
    <w:p>
      <w:pPr>
        <w:widowControl/>
        <w:numPr>
          <w:ilvl w:val="0"/>
          <w:numId w:val="0"/>
        </w:numPr>
        <w:adjustRightInd w:val="0"/>
        <w:snapToGrid w:val="0"/>
        <w:spacing w:line="580" w:lineRule="exact"/>
        <w:ind w:leftChars="200" w:firstLine="640" w:firstLineChars="200"/>
        <w:contextualSpacing/>
        <w:jc w:val="both"/>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en-US" w:eastAsia="zh-CN"/>
        </w:rPr>
        <w:t>预算数与决算数不相等，是因为预算不够精确，预算水平有待进一步提高。</w:t>
      </w:r>
    </w:p>
    <w:p>
      <w:pPr>
        <w:widowControl/>
        <w:numPr>
          <w:ilvl w:val="0"/>
          <w:numId w:val="2"/>
        </w:numPr>
        <w:adjustRightInd w:val="0"/>
        <w:snapToGrid w:val="0"/>
        <w:spacing w:line="580" w:lineRule="exact"/>
        <w:ind w:left="0" w:leftChars="0" w:firstLine="643" w:firstLineChars="200"/>
        <w:contextualSpacing/>
        <w:jc w:val="both"/>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改进建议</w:t>
      </w:r>
    </w:p>
    <w:p>
      <w:pPr>
        <w:widowControl/>
        <w:numPr>
          <w:ilvl w:val="0"/>
          <w:numId w:val="0"/>
        </w:numPr>
        <w:adjustRightInd w:val="0"/>
        <w:snapToGrid w:val="0"/>
        <w:spacing w:line="580" w:lineRule="exact"/>
        <w:ind w:leftChars="200"/>
        <w:contextualSpacing/>
        <w:jc w:val="both"/>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    加强财务人员培训学习，</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val="en-US" w:eastAsia="zh-CN"/>
        </w:rPr>
        <w:t>提升财务人员专业技能水平，提升预算准确性</w:t>
      </w:r>
      <w:r>
        <w:rPr>
          <w:rFonts w:hint="eastAsia" w:ascii="仿宋_GB2312" w:hAnsi="仿宋_GB2312" w:cs="仿宋_GB2312"/>
          <w:color w:val="000000"/>
          <w:kern w:val="0"/>
          <w:sz w:val="32"/>
          <w:szCs w:val="32"/>
          <w:highlight w:val="none"/>
          <w:shd w:val="clear" w:color="auto" w:fill="FFFFFF"/>
          <w:lang w:val="en-US" w:eastAsia="zh-CN"/>
        </w:rPr>
        <w:t>，提高绩效目标编制精确性；加强单位内控管理，完善内控制度</w:t>
      </w:r>
      <w:r>
        <w:rPr>
          <w:rFonts w:hint="eastAsia" w:ascii="仿宋_GB2312" w:hAnsi="仿宋_GB2312" w:eastAsia="仿宋_GB2312" w:cs="仿宋_GB2312"/>
          <w:color w:val="000000"/>
          <w:kern w:val="0"/>
          <w:sz w:val="32"/>
          <w:szCs w:val="32"/>
          <w:highlight w:val="none"/>
          <w:shd w:val="clear" w:color="auto" w:fill="FFFFFF"/>
          <w:lang w:val="en-US" w:eastAsia="zh-CN"/>
        </w:rPr>
        <w:t>。</w:t>
      </w:r>
    </w:p>
    <w:p>
      <w:pPr>
        <w:widowControl/>
        <w:adjustRightInd w:val="0"/>
        <w:snapToGrid w:val="0"/>
        <w:spacing w:line="580" w:lineRule="exact"/>
        <w:contextualSpacing/>
        <w:jc w:val="both"/>
        <w:rPr>
          <w:rFonts w:hint="eastAsia" w:ascii="仿宋_GB2312" w:hAnsi="仿宋_GB2312" w:eastAsia="仿宋_GB2312" w:cs="仿宋_GB2312"/>
          <w:color w:val="000000"/>
          <w:kern w:val="0"/>
          <w:sz w:val="32"/>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8E03A"/>
    <w:multiLevelType w:val="singleLevel"/>
    <w:tmpl w:val="B188E03A"/>
    <w:lvl w:ilvl="0" w:tentative="0">
      <w:start w:val="2"/>
      <w:numFmt w:val="decimal"/>
      <w:lvlText w:val="%1."/>
      <w:lvlJc w:val="left"/>
      <w:pPr>
        <w:tabs>
          <w:tab w:val="left" w:pos="312"/>
        </w:tabs>
      </w:pPr>
    </w:lvl>
  </w:abstractNum>
  <w:abstractNum w:abstractNumId="1">
    <w:nsid w:val="D2FDD749"/>
    <w:multiLevelType w:val="singleLevel"/>
    <w:tmpl w:val="D2FDD749"/>
    <w:lvl w:ilvl="0" w:tentative="0">
      <w:start w:val="2"/>
      <w:numFmt w:val="chineseCounting"/>
      <w:suff w:val="nothing"/>
      <w:lvlText w:val="（%1）"/>
      <w:lvlJc w:val="left"/>
      <w:pPr>
        <w:ind w:left="-320"/>
      </w:pPr>
      <w:rPr>
        <w:rFonts w:hint="eastAsia"/>
      </w:rPr>
    </w:lvl>
  </w:abstractNum>
  <w:abstractNum w:abstractNumId="2">
    <w:nsid w:val="EF89FE12"/>
    <w:multiLevelType w:val="singleLevel"/>
    <w:tmpl w:val="EF89FE12"/>
    <w:lvl w:ilvl="0" w:tentative="0">
      <w:start w:val="2"/>
      <w:numFmt w:val="decimal"/>
      <w:suff w:val="nothing"/>
      <w:lvlText w:val="（%1）"/>
      <w:lvlJc w:val="left"/>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6441F12B"/>
    <w:multiLevelType w:val="singleLevel"/>
    <w:tmpl w:val="6441F12B"/>
    <w:lvl w:ilvl="0" w:tentative="0">
      <w:start w:val="2"/>
      <w:numFmt w:val="chineseCounting"/>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5B3585"/>
    <w:rsid w:val="09581A6F"/>
    <w:rsid w:val="0C2648BA"/>
    <w:rsid w:val="0C6B0EE1"/>
    <w:rsid w:val="0D591029"/>
    <w:rsid w:val="0DC31556"/>
    <w:rsid w:val="0DFC7883"/>
    <w:rsid w:val="10BE1D2E"/>
    <w:rsid w:val="1A3D6143"/>
    <w:rsid w:val="1B936EF8"/>
    <w:rsid w:val="1C013801"/>
    <w:rsid w:val="1D794956"/>
    <w:rsid w:val="1DDB32DF"/>
    <w:rsid w:val="21647A64"/>
    <w:rsid w:val="23897A75"/>
    <w:rsid w:val="25C5042C"/>
    <w:rsid w:val="2A903EAD"/>
    <w:rsid w:val="2B124DD6"/>
    <w:rsid w:val="2C0A01B3"/>
    <w:rsid w:val="2D527252"/>
    <w:rsid w:val="2DD85AA2"/>
    <w:rsid w:val="2EAE55F2"/>
    <w:rsid w:val="2EDF4302"/>
    <w:rsid w:val="335833CC"/>
    <w:rsid w:val="3B821FED"/>
    <w:rsid w:val="3D675EB7"/>
    <w:rsid w:val="40443034"/>
    <w:rsid w:val="40814515"/>
    <w:rsid w:val="43E63E97"/>
    <w:rsid w:val="47550EBA"/>
    <w:rsid w:val="47F12A63"/>
    <w:rsid w:val="48737158"/>
    <w:rsid w:val="49E6291A"/>
    <w:rsid w:val="4A424663"/>
    <w:rsid w:val="4A477539"/>
    <w:rsid w:val="4ACF16AD"/>
    <w:rsid w:val="5A7A4C80"/>
    <w:rsid w:val="5BA631F6"/>
    <w:rsid w:val="5BCF2793"/>
    <w:rsid w:val="5F0A19FF"/>
    <w:rsid w:val="5F2E6BED"/>
    <w:rsid w:val="62B4751F"/>
    <w:rsid w:val="66040357"/>
    <w:rsid w:val="6636451A"/>
    <w:rsid w:val="690754B2"/>
    <w:rsid w:val="6A415D0D"/>
    <w:rsid w:val="6D0112EE"/>
    <w:rsid w:val="6EF65E9C"/>
    <w:rsid w:val="71397E03"/>
    <w:rsid w:val="71601583"/>
    <w:rsid w:val="77C3049B"/>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18"/>
      <w:szCs w:val="18"/>
    </w:rPr>
  </w:style>
  <w:style w:type="paragraph" w:styleId="3">
    <w:name w:val="Body Text"/>
    <w:basedOn w:val="1"/>
    <w:qFormat/>
    <w:uiPriority w:val="1"/>
    <w:pPr>
      <w:ind w:left="128"/>
    </w:pPr>
    <w:rPr>
      <w:rFonts w:ascii="Arial Unicode MS" w:hAnsi="Arial Unicode MS" w:eastAsia="Arial Unicode MS" w:cs="Arial Unicode MS"/>
      <w:sz w:val="33"/>
      <w:szCs w:val="33"/>
      <w:lang w:val="zh-CN" w:eastAsia="zh-CN" w:bidi="zh-CN"/>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2"/>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5</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2023-05-11T08:51:07Z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