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96598"/>
      <w:bookmarkStart w:id="8" w:name="_Toc15306268"/>
      <w:bookmarkStart w:id="9" w:name="_Toc15396476"/>
      <w:bookmarkStart w:id="10" w:name="_Toc15377194"/>
      <w:bookmarkStart w:id="11" w:name="_Toc15377426"/>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lang w:eastAsia="zh-CN"/>
        </w:rPr>
        <w:t>仁和区太平乡卫生院</w:t>
      </w: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pStyle w:val="2"/>
        <w:rPr>
          <w:rFonts w:hint="eastAsia"/>
        </w:rPr>
      </w:pPr>
    </w:p>
    <w:p>
      <w:pPr>
        <w:pStyle w:val="2"/>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12" w:name="_Toc15396599"/>
      <w:bookmarkStart w:id="13" w:name="_Toc15377196"/>
      <w:r>
        <w:rPr>
          <w:rFonts w:hint="eastAsia" w:ascii="黑体" w:hAnsi="黑体" w:eastAsia="黑体"/>
          <w:color w:val="auto"/>
          <w:sz w:val="48"/>
          <w:szCs w:val="48"/>
          <w:highlight w:val="none"/>
        </w:rPr>
        <w:t>目录</w:t>
      </w:r>
    </w:p>
    <w:p>
      <w:pPr>
        <w:widowControl/>
        <w:jc w:val="center"/>
        <w:rPr>
          <w:rFonts w:ascii="黑体" w:hAnsi="黑体" w:eastAsia="黑体" w:cs="黑体"/>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9 </w:t>
      </w:r>
      <w:r>
        <w:rPr>
          <w:rFonts w:hint="eastAsia"/>
          <w:color w:val="auto"/>
          <w:highlight w:val="none"/>
        </w:rPr>
        <w:t>月</w:t>
      </w:r>
      <w:r>
        <w:rPr>
          <w:rFonts w:hint="eastAsia"/>
          <w:color w:val="auto"/>
          <w:highlight w:val="none"/>
          <w:lang w:val="en-US" w:eastAsia="zh-CN"/>
        </w:rPr>
        <w:t xml:space="preserve"> 21</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 xml:space="preserve">第一部分 </w:t>
      </w:r>
      <w:r>
        <w:rPr>
          <w:rFonts w:hint="eastAsia" w:ascii="仿宋" w:hAnsi="仿宋" w:eastAsia="仿宋" w:cs="仿宋"/>
          <w:color w:val="auto"/>
          <w:sz w:val="24"/>
          <w:highlight w:val="none"/>
          <w:lang w:eastAsia="zh-CN"/>
        </w:rPr>
        <w:t>单位</w:t>
      </w:r>
      <w:r>
        <w:rPr>
          <w:rFonts w:hint="eastAsia" w:ascii="仿宋" w:hAnsi="仿宋" w:eastAsia="仿宋" w:cs="仿宋"/>
          <w:color w:val="auto"/>
          <w:sz w:val="24"/>
          <w:highlight w:val="none"/>
        </w:rPr>
        <w:t>概况</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sz w:val="24"/>
          <w:highlight w:val="none"/>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主要职责</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4</w:t>
      </w:r>
    </w:p>
    <w:p>
      <w:pPr>
        <w:pStyle w:val="10"/>
        <w:adjustRightInd w:val="0"/>
        <w:snapToGrid w:val="0"/>
        <w:spacing w:before="0" w:line="440" w:lineRule="exact"/>
        <w:jc w:val="left"/>
        <w:rPr>
          <w:rFonts w:hint="eastAsia" w:eastAsia="宋体"/>
          <w:color w:val="auto"/>
          <w:lang w:eastAsia="zh-CN"/>
        </w:rPr>
      </w:pPr>
      <w:r>
        <w:rPr>
          <w:rFonts w:hint="eastAsia"/>
          <w:color w:val="auto"/>
          <w:sz w:val="24"/>
          <w:highlight w:val="none"/>
          <w:lang w:val="en-US" w:eastAsia="zh-CN"/>
        </w:rPr>
        <w:t xml:space="preserve">    </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机构设置</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.........6</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一、收入支出决算总体情况说明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二、收入决算情况说明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7</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三、支出决算情况说明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8</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四、财政拨款收入支出决算总体情况说明</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五、一般公共预算财政拨款支出决算情况说明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..........................9</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六、一般公共预算财政拨款基本支出决算情况说明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13</w:t>
      </w:r>
    </w:p>
    <w:p>
      <w:pPr>
        <w:pStyle w:val="11"/>
        <w:adjustRightInd w:val="0"/>
        <w:snapToGrid w:val="0"/>
        <w:spacing w:line="440" w:lineRule="exact"/>
        <w:jc w:val="left"/>
        <w:rPr>
          <w:rFonts w:ascii="仿宋" w:hAnsi="仿宋" w:eastAsia="仿宋" w:cs="黑体"/>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w:t>
      </w:r>
      <w:r>
        <w:rPr>
          <w:rFonts w:ascii="Times New Roman" w:hAnsi="Times New Roman" w:eastAsia="宋体" w:cs="Times New Roman"/>
          <w:i w:val="0"/>
          <w:caps w:val="0"/>
          <w:color w:val="333333"/>
          <w:spacing w:val="0"/>
          <w:sz w:val="24"/>
          <w:szCs w:val="24"/>
          <w:shd w:val="clear" w:color="auto" w:fill="FFFFFF"/>
        </w:rPr>
        <w:t>4</w:t>
      </w:r>
    </w:p>
    <w:p>
      <w:pPr>
        <w:pStyle w:val="11"/>
        <w:adjustRightInd w:val="0"/>
        <w:snapToGrid w:val="0"/>
        <w:spacing w:line="440" w:lineRule="exact"/>
        <w:jc w:val="left"/>
        <w:rPr>
          <w:rFonts w:ascii="仿宋" w:hAnsi="仿宋" w:eastAsia="仿宋" w:cs="黑体"/>
          <w:color w:val="auto"/>
          <w:sz w:val="24"/>
          <w:highlight w:val="none"/>
        </w:rPr>
      </w:pPr>
      <w:r>
        <w:rPr>
          <w:rFonts w:hint="eastAsia" w:ascii="宋体" w:hAnsi="宋体" w:eastAsia="宋体" w:cs="宋体"/>
          <w:color w:val="auto"/>
          <w:sz w:val="24"/>
          <w:highlight w:val="none"/>
        </w:rPr>
        <w:t>八、政府性基金预算支出决算情况说明</w:t>
      </w:r>
      <w:r>
        <w:rPr>
          <w:rFonts w:hint="eastAsia" w:ascii="宋体" w:hAnsi="宋体" w:eastAsia="宋体" w:cs="宋体"/>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16</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18</w:t>
      </w:r>
    </w:p>
    <w:p>
      <w:pPr>
        <w:pStyle w:val="10"/>
        <w:adjustRightInd w:val="0"/>
        <w:snapToGrid w:val="0"/>
        <w:spacing w:before="0" w:line="440" w:lineRule="exact"/>
        <w:jc w:val="left"/>
        <w:rPr>
          <w:rFonts w:cs="黑体"/>
          <w:color w:val="auto"/>
          <w:sz w:val="24"/>
          <w:szCs w:val="24"/>
          <w:highlight w:val="none"/>
        </w:rPr>
      </w:pPr>
      <w:r>
        <w:rPr>
          <w:rFonts w:hint="eastAsia" w:ascii="仿宋" w:hAnsi="仿宋" w:eastAsia="仿宋" w:cs="仿宋"/>
          <w:color w:val="auto"/>
          <w:sz w:val="24"/>
          <w:highlight w:val="none"/>
        </w:rPr>
        <w:t>第四部分 附件</w:t>
      </w:r>
      <w:r>
        <w:rPr>
          <w:rFonts w:hint="eastAsia" w:ascii="仿宋" w:hAnsi="仿宋" w:eastAsia="仿宋" w:cs="仿宋"/>
          <w:i w:val="0"/>
          <w:caps w:val="0"/>
          <w:color w:val="333333"/>
          <w:spacing w:val="0"/>
          <w:sz w:val="24"/>
          <w:szCs w:val="24"/>
          <w:shd w:val="clear" w:color="auto" w:fill="FFFFFF"/>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21</w:t>
      </w:r>
    </w:p>
    <w:p>
      <w:pPr>
        <w:pStyle w:val="10"/>
        <w:adjustRightInd w:val="0"/>
        <w:snapToGrid w:val="0"/>
        <w:spacing w:before="0" w:line="440" w:lineRule="exact"/>
        <w:jc w:val="left"/>
        <w:rPr>
          <w:rFonts w:cs="黑体"/>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一、收入支出决算总表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二、收入决算表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三、支出决算表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lang w:val="en-US" w:eastAsia="zh-CN"/>
        </w:rPr>
        <w:t xml:space="preserve">    </w:t>
      </w:r>
      <w:r>
        <w:rPr>
          <w:rFonts w:hint="eastAsia" w:ascii="宋体" w:hAnsi="宋体" w:eastAsia="宋体" w:cs="宋体"/>
          <w:color w:val="auto"/>
          <w:sz w:val="24"/>
          <w:highlight w:val="none"/>
        </w:rPr>
        <w:t>四、财政拨款收入支出决算总表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hint="eastAsia" w:cs="Times New Roman"/>
          <w:i w:val="0"/>
          <w:caps w:val="0"/>
          <w:color w:val="333333"/>
          <w:spacing w:val="0"/>
          <w:sz w:val="24"/>
          <w:szCs w:val="24"/>
          <w:shd w:val="clear" w:color="auto" w:fill="FFFFFF"/>
          <w:lang w:val="en-US" w:eastAsia="zh-CN"/>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ascii="Times New Roman" w:hAnsi="Times New Roman" w:eastAsia="宋体" w:cs="Times New Roman"/>
          <w:i w:val="0"/>
          <w:caps w:val="0"/>
          <w:color w:val="333333"/>
          <w:spacing w:val="0"/>
          <w:sz w:val="24"/>
          <w:szCs w:val="24"/>
          <w:shd w:val="clear" w:color="auto" w:fill="FFFFFF"/>
        </w:rPr>
        <w:t>.</w:t>
      </w:r>
      <w:r>
        <w:rPr>
          <w:rFonts w:hint="eastAsia" w:ascii="Times New Roman" w:hAnsi="Times New Roman" w:eastAsia="宋体" w:cs="Times New Roman"/>
          <w:i w:val="0"/>
          <w:caps w:val="0"/>
          <w:color w:val="333333"/>
          <w:spacing w:val="0"/>
          <w:sz w:val="24"/>
          <w:szCs w:val="24"/>
          <w:shd w:val="clear" w:color="auto" w:fill="FFFFFF"/>
          <w:lang w:val="en-US" w:eastAsia="zh-CN"/>
        </w:rPr>
        <w:t>........................</w:t>
      </w:r>
      <w:r>
        <w:rPr>
          <w:rFonts w:ascii="Times New Roman" w:hAnsi="Times New Roman" w:eastAsia="宋体" w:cs="Times New Roman"/>
          <w:i w:val="0"/>
          <w:caps w:val="0"/>
          <w:color w:val="333333"/>
          <w:spacing w:val="0"/>
          <w:sz w:val="24"/>
          <w:szCs w:val="24"/>
          <w:shd w:val="clear" w:color="auto" w:fill="FFFFFF"/>
        </w:rPr>
        <w:t>...........</w:t>
      </w:r>
      <w:r>
        <w:rPr>
          <w:rFonts w:hint="eastAsia" w:cs="Times New Roman"/>
          <w:i w:val="0"/>
          <w:caps w:val="0"/>
          <w:color w:val="333333"/>
          <w:spacing w:val="0"/>
          <w:sz w:val="24"/>
          <w:szCs w:val="24"/>
          <w:shd w:val="clear" w:color="auto" w:fill="FFFFFF"/>
          <w:lang w:val="en-US" w:eastAsia="zh-CN"/>
        </w:rPr>
        <w:t>.....................22</w:t>
      </w: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widowControl/>
        <w:spacing w:line="440" w:lineRule="exact"/>
        <w:jc w:val="left"/>
        <w:rPr>
          <w:rFonts w:ascii="仿宋" w:hAnsi="仿宋" w:eastAsia="仿宋"/>
          <w:bCs/>
          <w:color w:val="auto"/>
          <w:kern w:val="44"/>
          <w:sz w:val="24"/>
          <w:highlight w:val="none"/>
        </w:rPr>
      </w:pP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我单位共有编制床位数10张，主要承担辖区居民的基本医疗和公共卫生服务任务：</w:t>
      </w:r>
    </w:p>
    <w:p>
      <w:pPr>
        <w:pStyle w:val="12"/>
        <w:widowControl/>
        <w:shd w:val="clear" w:color="auto" w:fill="FFFFFF"/>
        <w:spacing w:before="0" w:beforeAutospacing="0" w:after="0" w:afterAutospacing="0" w:line="520" w:lineRule="exact"/>
        <w:ind w:firstLine="640" w:firstLineChars="20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提供基本医疗服务，开展农村常见病、多发病以及诊断明确的慢性非传染性疾病的诊疗、护理。全面建立覆盖全乡居民的基本医疗卫生服务制度，使全乡居民人人享有基本医疗保障，人人享有基本公共卫生服务，医疗卫生服务质量、服务效率和群众满意度显著提高，切实解决看病难问题;</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（2）基本建立分工明确、信息互通、资源共享、协调互动的公共卫生服务体系，促进全乡居民享有均等化的基本公共卫生服务;</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（3）基本建立规范有序、结构合理、覆盖全乡的医疗服务体系，为群众提供安全、有效、方便、价廉的基本医疗服务;</w:t>
      </w:r>
    </w:p>
    <w:p>
      <w:pPr>
        <w:tabs>
          <w:tab w:val="left" w:pos="892"/>
        </w:tabs>
        <w:ind w:firstLine="640" w:firstLineChars="200"/>
        <w:jc w:val="left"/>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4）贯彻落实国家基本药物制度，全面配备、使用基本药物；实行网上统一采购，实施基本药物零差价销售，统一配送的基本药物采购机制。以国家基本药物制度为基础的药品器械供应保障体系进一步规范，确保基本药物安全有效、公平可及、合理使用;</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（5）建立健全支撑卫生事业全面、协调、可持续发展的各项体制机制，有效保障医药卫生体系规范运行;</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（6）我院将以热情、细致、扎实、认真的服务态度，努力探索仁和区阳光康养服务及老年人医养服务相结合的新模式，探索更好的服务方式，为辖区签约老年人服好务，进一步提高医养工作服务质量;</w:t>
      </w:r>
    </w:p>
    <w:p>
      <w:pPr>
        <w:pStyle w:val="12"/>
        <w:widowControl/>
        <w:shd w:val="clear" w:color="auto" w:fill="FFFFFF"/>
        <w:spacing w:before="0" w:beforeAutospacing="0" w:after="0" w:afterAutospacing="0" w:line="520" w:lineRule="exact"/>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 xml:space="preserve">    （7）全力巩固群众满意乡镇卫生院成果，创建以人为本的卫生院文化，实现和谐的人文特色办院方向;</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（8）培养一支留得住、用得上、满足群众健康需求、技术过硬的基础医疗卫生队伍。</w:t>
      </w:r>
    </w:p>
    <w:p>
      <w:pPr>
        <w:pStyle w:val="12"/>
        <w:widowControl/>
        <w:shd w:val="clear" w:color="auto" w:fill="FFFFFF"/>
        <w:spacing w:before="0" w:beforeAutospacing="0" w:after="0" w:afterAutospacing="0" w:line="520" w:lineRule="exact"/>
        <w:ind w:firstLine="64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（9）作为医保定点医院配合医保中心做好医保报销工作。</w:t>
      </w:r>
    </w:p>
    <w:p>
      <w:pPr>
        <w:pStyle w:val="12"/>
        <w:widowControl/>
        <w:shd w:val="clear" w:color="auto" w:fill="FFFFFF"/>
        <w:spacing w:before="0" w:beforeAutospacing="0" w:after="0" w:afterAutospacing="0" w:line="520" w:lineRule="exact"/>
        <w:ind w:firstLine="640"/>
        <w:jc w:val="both"/>
        <w:rPr>
          <w:rFonts w:hint="eastAsia" w:ascii="黑体" w:hAnsi="黑体" w:eastAsia="黑体"/>
          <w:b w:val="0"/>
          <w:color w:val="auto"/>
          <w:highlight w:val="none"/>
          <w:lang w:val="en-US" w:eastAsia="zh-CN"/>
        </w:rPr>
      </w:pPr>
      <w:r>
        <w:rPr>
          <w:rFonts w:hint="eastAsia" w:ascii="仿宋" w:hAnsi="仿宋" w:eastAsia="仿宋" w:cs="Times New Roman"/>
          <w:color w:val="000000"/>
          <w:kern w:val="2"/>
          <w:sz w:val="32"/>
          <w:szCs w:val="32"/>
          <w:lang w:val="en-US" w:eastAsia="zh-CN" w:bidi="ar-SA"/>
        </w:rPr>
        <w:t>(10)根据四川省应对新型冠状病毒肺炎疫情应急指挥部要求，完成相关工作。组织全院职工认真学习疫情防控相关政策、工作流程。对辖区居民进行防控知识政策宣传、指导，预检分诊工作时，详细询问记录流行病学史，认真测量体温；同时做好疫情防控消毒记录工作。</w:t>
      </w:r>
      <w:r>
        <w:rPr>
          <w:rFonts w:hint="eastAsia" w:ascii="仿宋_GB2312" w:eastAsia="仿宋_GB2312"/>
          <w:sz w:val="32"/>
          <w:szCs w:val="32"/>
          <w:lang w:val="en-US" w:eastAsia="zh-CN"/>
        </w:rPr>
        <w:t>按照各级卫健委对于新冠疫苗接种工作的安排和指示要求，大田镇在政府和医院的共同合作为辖区内居民进行新冠疫苗接种工作，为打赢新型冠状病毒感染肺炎阻击战，共筑免疫屏障。</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ascii="仿宋" w:hAnsi="仿宋" w:eastAsia="仿宋"/>
          <w:color w:val="auto"/>
          <w:kern w:val="0"/>
          <w:sz w:val="32"/>
          <w:szCs w:val="32"/>
          <w:highlight w:val="none"/>
        </w:rPr>
      </w:pPr>
      <w:r>
        <w:rPr>
          <w:rFonts w:hint="eastAsia" w:ascii="仿宋" w:hAnsi="仿宋" w:eastAsia="仿宋" w:cs="Times New Roman"/>
          <w:color w:val="000000"/>
          <w:kern w:val="2"/>
          <w:sz w:val="32"/>
          <w:szCs w:val="32"/>
          <w:lang w:val="en-US" w:eastAsia="zh-CN" w:bidi="ar-SA"/>
        </w:rPr>
        <w:t>仁和区太平乡卫生院坐落于仁和区太平乡花山村1组108号，我院属财政补助事业单位，设内科、外科、中医科等科室。我单位核定编制13人，现有职工19人，其中在编9人,临聘10人；退休职工5人。</w:t>
      </w: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rPr>
          <w:rFonts w:hint="eastAsia" w:ascii="仿宋" w:hAnsi="仿宋" w:eastAsia="仿宋"/>
          <w:color w:val="000000"/>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416.81</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34.83</w:t>
      </w:r>
      <w:r>
        <w:rPr>
          <w:rFonts w:hint="eastAsia" w:ascii="仿宋" w:hAnsi="仿宋" w:eastAsia="仿宋"/>
          <w:color w:val="000000"/>
          <w:sz w:val="32"/>
          <w:szCs w:val="32"/>
        </w:rPr>
        <w:t>万元，</w:t>
      </w:r>
      <w:r>
        <w:rPr>
          <w:rFonts w:hint="eastAsia" w:ascii="仿宋" w:hAnsi="仿宋" w:eastAsia="仿宋"/>
          <w:color w:val="000000" w:themeColor="text1"/>
          <w:sz w:val="32"/>
          <w:szCs w:val="32"/>
          <w:lang w:eastAsia="zh-CN"/>
          <w14:textFill>
            <w14:solidFill>
              <w14:schemeClr w14:val="tx1"/>
            </w14:solidFill>
          </w14:textFill>
        </w:rPr>
        <w:t>上涨</w:t>
      </w:r>
      <w:r>
        <w:rPr>
          <w:rFonts w:hint="eastAsia" w:ascii="仿宋" w:hAnsi="仿宋" w:eastAsia="仿宋"/>
          <w:color w:val="000000" w:themeColor="text1"/>
          <w:sz w:val="32"/>
          <w:szCs w:val="32"/>
          <w:lang w:val="en-US" w:eastAsia="zh-CN"/>
          <w14:textFill>
            <w14:solidFill>
              <w14:schemeClr w14:val="tx1"/>
            </w14:solidFill>
          </w14:textFill>
        </w:rPr>
        <w:t xml:space="preserve"> 38.33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单位医疗收入增加。</w:t>
      </w:r>
      <w:r>
        <w:rPr>
          <w:rFonts w:hint="eastAsia" w:ascii="仿宋" w:hAnsi="仿宋" w:eastAsia="仿宋"/>
          <w:color w:val="000000"/>
          <w:sz w:val="32"/>
          <w:szCs w:val="32"/>
          <w:lang w:val="en-US" w:eastAsia="zh-CN"/>
        </w:rPr>
        <w:t xml:space="preserve"> </w:t>
      </w:r>
    </w:p>
    <w:p>
      <w:pPr>
        <w:pStyle w:val="2"/>
        <w:rPr>
          <w:rFonts w:hint="eastAsia" w:ascii="仿宋" w:hAnsi="仿宋" w:eastAsia="仿宋"/>
          <w:color w:val="auto"/>
          <w:sz w:val="32"/>
          <w:szCs w:val="32"/>
          <w:highlight w:val="none"/>
        </w:rPr>
      </w:pPr>
      <w:r>
        <w:drawing>
          <wp:inline distT="0" distB="0" distL="114300" distR="114300">
            <wp:extent cx="4572000" cy="2743200"/>
            <wp:effectExtent l="4445" t="4445" r="14605" b="14605"/>
            <wp:docPr id="19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416.81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278.4</w:t>
      </w: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66.81</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；政府性基金预算财政拨款收入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0.35</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0.09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国有资本经营预算财政拨款收入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；上级补助收入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；事业收入</w:t>
      </w:r>
      <w:r>
        <w:rPr>
          <w:rFonts w:hint="eastAsia" w:ascii="仿宋" w:hAnsi="仿宋" w:eastAsia="仿宋"/>
          <w:color w:val="000000" w:themeColor="text1"/>
          <w:sz w:val="32"/>
          <w:szCs w:val="32"/>
          <w:highlight w:val="none"/>
          <w:lang w:val="en-US" w:eastAsia="zh-CN"/>
          <w14:textFill>
            <w14:solidFill>
              <w14:schemeClr w14:val="tx1"/>
            </w14:solidFill>
          </w14:textFill>
        </w:rPr>
        <w:t>137.98</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33.10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；经营收入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；附属单位上缴收入</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r>
        <w:drawing>
          <wp:anchor distT="0" distB="0" distL="114300" distR="114300" simplePos="0" relativeHeight="251660288" behindDoc="1" locked="0" layoutInCell="1" allowOverlap="1">
            <wp:simplePos x="0" y="0"/>
            <wp:positionH relativeFrom="column">
              <wp:posOffset>280670</wp:posOffset>
            </wp:positionH>
            <wp:positionV relativeFrom="paragraph">
              <wp:posOffset>-328930</wp:posOffset>
            </wp:positionV>
            <wp:extent cx="4572000" cy="2771140"/>
            <wp:effectExtent l="4445" t="4445" r="14605" b="5715"/>
            <wp:wrapThrough wrapText="bothSides">
              <wp:wrapPolygon>
                <wp:start x="-21" y="-35"/>
                <wp:lineTo x="-21" y="21496"/>
                <wp:lineTo x="21579" y="21496"/>
                <wp:lineTo x="21579" y="-35"/>
                <wp:lineTo x="-21" y="-35"/>
              </wp:wrapPolygon>
            </wp:wrapThrough>
            <wp:docPr id="19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3" w:firstLineChars="200"/>
        <w:outlineLvl w:val="1"/>
        <w:rPr>
          <w:rFonts w:ascii="仿宋" w:hAnsi="仿宋" w:eastAsia="仿宋"/>
          <w:b/>
          <w:color w:val="auto"/>
          <w:sz w:val="32"/>
          <w:szCs w:val="32"/>
          <w:highlight w:val="none"/>
        </w:rPr>
      </w:pPr>
    </w:p>
    <w:p>
      <w:pPr>
        <w:spacing w:line="600" w:lineRule="exact"/>
        <w:ind w:firstLine="643" w:firstLineChars="200"/>
        <w:outlineLvl w:val="1"/>
        <w:rPr>
          <w:rFonts w:ascii="仿宋" w:hAnsi="仿宋" w:eastAsia="仿宋"/>
          <w:b/>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420" w:firstLineChars="200"/>
        <w:outlineLvl w:val="1"/>
        <w:rPr>
          <w:rFonts w:hint="eastAsia" w:ascii="仿宋" w:hAnsi="仿宋" w:eastAsia="仿宋"/>
          <w:color w:val="000000" w:themeColor="text1"/>
          <w:sz w:val="32"/>
          <w:szCs w:val="32"/>
          <w:lang w:val="en-US" w:eastAsia="zh-CN"/>
          <w14:textFill>
            <w14:solidFill>
              <w14:schemeClr w14:val="tx1"/>
            </w14:solidFill>
          </w14:textFill>
        </w:rPr>
      </w:pPr>
      <w:r>
        <w:rPr>
          <w:rFonts w:hint="eastAsia"/>
          <w:lang w:val="en-US" w:eastAsia="zh-CN"/>
        </w:rPr>
        <w:t xml:space="preserve">  </w:t>
      </w: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416.81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w:t>
      </w:r>
      <w:r>
        <w:rPr>
          <w:rFonts w:hint="eastAsia" w:ascii="仿宋" w:hAnsi="仿宋" w:eastAsia="仿宋"/>
          <w:color w:val="000000" w:themeColor="text1"/>
          <w:sz w:val="32"/>
          <w:szCs w:val="32"/>
          <w:lang w:val="en-US" w:eastAsia="zh-CN"/>
          <w14:textFill>
            <w14:solidFill>
              <w14:schemeClr w14:val="tx1"/>
            </w14:solidFill>
          </w14:textFill>
        </w:rPr>
        <w:t>88.08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45.12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154.52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；上缴上级支出</w:t>
      </w:r>
      <w:r>
        <w:rPr>
          <w:rFonts w:hint="eastAsia" w:ascii="仿宋" w:hAnsi="仿宋" w:eastAsia="仿宋"/>
          <w:color w:val="000000" w:themeColor="text1"/>
          <w:sz w:val="32"/>
          <w:szCs w:val="32"/>
          <w:lang w:val="en-US" w:eastAsia="zh-CN"/>
          <w14:textFill>
            <w14:solidFill>
              <w14:schemeClr w14:val="tx1"/>
            </w14:solidFill>
          </w14:textFill>
        </w:rPr>
        <w:t>0万元，占0%；经营支出0万元，占0%；对附属单位补助支出0万元，占0%；结余分配74.21万元，占17.8%。</w:t>
      </w:r>
    </w:p>
    <w:p>
      <w:pPr>
        <w:pStyle w:val="2"/>
        <w:rPr>
          <w:rFonts w:ascii="仿宋" w:hAnsi="仿宋" w:eastAsia="仿宋"/>
          <w:color w:val="auto"/>
          <w:sz w:val="32"/>
          <w:szCs w:val="32"/>
          <w:highlight w:val="none"/>
          <w:shd w:val="pct10" w:color="auto" w:fill="FFFFFF"/>
        </w:rPr>
      </w:pPr>
      <w:r>
        <w:drawing>
          <wp:inline distT="0" distB="0" distL="114300" distR="114300">
            <wp:extent cx="4572000" cy="2885440"/>
            <wp:effectExtent l="4445" t="4445" r="14605" b="5715"/>
            <wp:docPr id="193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1292" w:firstLineChars="404"/>
        <w:rPr>
          <w:rFonts w:hint="eastAsia"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278.83</w:t>
      </w:r>
      <w:r>
        <w:rPr>
          <w:rFonts w:hint="eastAsia" w:ascii="仿宋" w:hAnsi="仿宋" w:eastAsia="仿宋"/>
          <w:color w:val="auto"/>
          <w:sz w:val="32"/>
          <w:szCs w:val="32"/>
        </w:rPr>
        <w:t>万元。与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年相比，财政拨款收、支总计各减少</w:t>
      </w:r>
      <w:r>
        <w:rPr>
          <w:rFonts w:hint="eastAsia" w:ascii="仿宋" w:hAnsi="仿宋" w:eastAsia="仿宋"/>
          <w:color w:val="auto"/>
          <w:sz w:val="32"/>
          <w:szCs w:val="32"/>
          <w:lang w:val="en-US" w:eastAsia="zh-CN"/>
        </w:rPr>
        <w:t>103.15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381.98</w:t>
      </w:r>
      <w:r>
        <w:rPr>
          <w:rFonts w:hint="eastAsia" w:ascii="仿宋" w:hAnsi="仿宋" w:eastAsia="仿宋"/>
          <w:color w:val="auto"/>
          <w:sz w:val="32"/>
          <w:szCs w:val="32"/>
        </w:rPr>
        <w:t>，下降</w:t>
      </w:r>
      <w:r>
        <w:rPr>
          <w:rFonts w:hint="eastAsia" w:ascii="仿宋" w:hAnsi="仿宋" w:eastAsia="仿宋"/>
          <w:color w:val="auto"/>
          <w:sz w:val="32"/>
          <w:szCs w:val="32"/>
          <w:lang w:val="en-US" w:eastAsia="zh-CN"/>
        </w:rPr>
        <w:t>27.0</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政府性基金财政拨款及一般公共预算项目经费减少</w:t>
      </w:r>
      <w:r>
        <w:rPr>
          <w:rFonts w:hint="eastAsia" w:ascii="仿宋" w:hAnsi="仿宋" w:eastAsia="仿宋"/>
          <w:color w:val="auto"/>
          <w:sz w:val="32"/>
          <w:szCs w:val="32"/>
        </w:rPr>
        <w:t>。</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193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960" w:firstLineChars="300"/>
        <w:rPr>
          <w:rFonts w:hint="eastAsia" w:ascii="仿宋" w:hAnsi="仿宋" w:eastAsia="仿宋"/>
          <w:color w:val="auto"/>
          <w:sz w:val="32"/>
          <w:szCs w:val="32"/>
          <w:lang w:val="en-US" w:eastAsia="zh-CN"/>
        </w:rPr>
      </w:pP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278.48</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72.90</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年相比，一般公共预算财政拨款支出</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103.5</w:t>
      </w:r>
      <w:r>
        <w:rPr>
          <w:rFonts w:hint="eastAsia" w:ascii="仿宋" w:hAnsi="仿宋" w:eastAsia="仿宋"/>
          <w:color w:val="auto"/>
          <w:sz w:val="32"/>
          <w:szCs w:val="32"/>
        </w:rPr>
        <w:t>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27.0</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eastAsia="zh-CN"/>
        </w:rPr>
        <w:t>卫生健康支出使用减少。</w:t>
      </w:r>
      <w:r>
        <w:rPr>
          <w:rFonts w:hint="eastAsia" w:ascii="仿宋" w:hAnsi="仿宋" w:eastAsia="仿宋"/>
          <w:color w:val="auto"/>
          <w:sz w:val="32"/>
          <w:szCs w:val="32"/>
          <w:lang w:val="en-US" w:eastAsia="zh-CN"/>
        </w:rPr>
        <w:t xml:space="preserve"> </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numPr>
          <w:ilvl w:val="0"/>
          <w:numId w:val="3"/>
        </w:numPr>
        <w:spacing w:line="600" w:lineRule="exact"/>
        <w:ind w:firstLine="643" w:firstLineChars="200"/>
        <w:outlineLvl w:val="2"/>
        <w:rPr>
          <w:rFonts w:hint="eastAsia"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一</w:t>
      </w:r>
      <w:r>
        <w:drawing>
          <wp:anchor distT="0" distB="0" distL="114300" distR="114300" simplePos="0" relativeHeight="251659264" behindDoc="0" locked="0" layoutInCell="1" allowOverlap="1">
            <wp:simplePos x="0" y="0"/>
            <wp:positionH relativeFrom="column">
              <wp:posOffset>1671320</wp:posOffset>
            </wp:positionH>
            <wp:positionV relativeFrom="paragraph">
              <wp:posOffset>6882765</wp:posOffset>
            </wp:positionV>
            <wp:extent cx="4857750" cy="3051175"/>
            <wp:effectExtent l="4445" t="4445" r="14605" b="1143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般公共预算财政拨款支出决算结构情况</w:t>
      </w:r>
      <w:bookmarkEnd w:id="29"/>
    </w:p>
    <w:p>
      <w:pPr>
        <w:numPr>
          <w:ilvl w:val="0"/>
          <w:numId w:val="0"/>
        </w:numPr>
        <w:spacing w:line="600" w:lineRule="exact"/>
        <w:ind w:firstLine="960" w:firstLineChars="300"/>
        <w:outlineLvl w:val="2"/>
        <w:rPr>
          <w:rFonts w:hint="eastAsia" w:ascii="仿宋_GB2312" w:hAnsi="仿宋_GB2312" w:eastAsia="仿宋_GB2312"/>
          <w:color w:val="000000"/>
          <w:kern w:val="2"/>
          <w:sz w:val="32"/>
          <w:lang w:val="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278.48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社会保障和就业支出</w:t>
      </w:r>
      <w:r>
        <w:rPr>
          <w:rFonts w:hint="eastAsia" w:ascii="仿宋" w:hAnsi="仿宋" w:eastAsia="仿宋"/>
          <w:color w:val="000000"/>
          <w:sz w:val="32"/>
          <w:szCs w:val="32"/>
          <w:lang w:val="en-US" w:eastAsia="zh-CN"/>
        </w:rPr>
        <w:t>13.10</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5.7</w:t>
      </w:r>
      <w:r>
        <w:rPr>
          <w:rFonts w:hint="eastAsia" w:ascii="仿宋" w:hAnsi="仿宋" w:eastAsia="仿宋"/>
          <w:color w:val="auto"/>
          <w:sz w:val="32"/>
          <w:szCs w:val="32"/>
        </w:rPr>
        <w:t>%；</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253.40</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90</w:t>
      </w:r>
      <w:r>
        <w:rPr>
          <w:rFonts w:hint="eastAsia" w:ascii="仿宋" w:hAnsi="仿宋" w:eastAsia="仿宋"/>
          <w:color w:val="auto"/>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11.98</w:t>
      </w:r>
      <w:r>
        <w:rPr>
          <w:rFonts w:hint="eastAsia" w:ascii="仿宋" w:hAnsi="仿宋" w:eastAsia="仿宋"/>
          <w:color w:val="000000"/>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4.3</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_GB2312" w:hAnsi="仿宋_GB2312" w:eastAsia="仿宋_GB2312"/>
          <w:color w:val="000000"/>
          <w:kern w:val="2"/>
          <w:sz w:val="32"/>
          <w:lang w:val="zh-CN"/>
        </w:rPr>
        <w:t>一般公共服务支出0万元，占0%；外交支出0万元，占0%；国防支出0万元，占0%；公共安全支出0万元，占0%；教育支出0万元，占0%；科学技术支出0万元，占0%；文化体育与传媒支出0万元，占0%；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粮油物资储备支出0万元，占0%；国有资本经营预算支出0万元，占0%；灾害防治及应急管理支出0万元，占0%；其他支出0万元，占0%；债务还本支出0万元，占0%；债务付息支出0万元，占0%；抗疫特别国债安排的支出0万元，占0%。</w:t>
      </w:r>
    </w:p>
    <w:p>
      <w:pPr>
        <w:pStyle w:val="2"/>
        <w:rPr>
          <w:rFonts w:ascii="仿宋" w:hAnsi="仿宋" w:eastAsia="仿宋"/>
          <w:color w:val="auto"/>
          <w:sz w:val="32"/>
          <w:szCs w:val="32"/>
          <w:highlight w:val="none"/>
        </w:rPr>
      </w:pPr>
      <w:r>
        <w:drawing>
          <wp:inline distT="0" distB="0" distL="114300" distR="114300">
            <wp:extent cx="4933950" cy="3609975"/>
            <wp:effectExtent l="4445" t="4445" r="14605" b="5080"/>
            <wp:docPr id="19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0" w:firstLineChars="200"/>
        <w:outlineLvl w:val="2"/>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年一般公共预算支出决算数为</w:t>
      </w:r>
      <w:r>
        <w:rPr>
          <w:rFonts w:hint="eastAsia" w:ascii="仿宋" w:hAnsi="仿宋" w:eastAsia="仿宋"/>
          <w:b/>
          <w:color w:val="000000"/>
          <w:sz w:val="32"/>
          <w:szCs w:val="32"/>
          <w:lang w:val="en-US" w:eastAsia="zh-CN"/>
        </w:rPr>
        <w:t>278.48</w:t>
      </w:r>
      <w:r>
        <w:rPr>
          <w:rFonts w:hint="eastAsia" w:ascii="仿宋" w:hAnsi="仿宋" w:eastAsia="仿宋" w:cs="Times New Roman"/>
          <w:color w:val="000000"/>
          <w:sz w:val="32"/>
          <w:szCs w:val="32"/>
        </w:rPr>
        <w:t>，完成调整预算数的</w:t>
      </w:r>
      <w:r>
        <w:rPr>
          <w:rFonts w:hint="eastAsia" w:ascii="仿宋" w:hAnsi="仿宋" w:eastAsia="仿宋" w:cs="Times New Roman"/>
          <w:color w:val="000000"/>
          <w:sz w:val="32"/>
          <w:szCs w:val="32"/>
          <w:lang w:val="en-US" w:eastAsia="zh-CN"/>
        </w:rPr>
        <w:t>100</w:t>
      </w:r>
      <w:r>
        <w:rPr>
          <w:rFonts w:hint="eastAsia" w:ascii="仿宋" w:hAnsi="仿宋" w:eastAsia="仿宋" w:cs="Times New Roman"/>
          <w:color w:val="000000"/>
          <w:sz w:val="32"/>
          <w:szCs w:val="32"/>
        </w:rPr>
        <w:t>%。其中：</w:t>
      </w:r>
    </w:p>
    <w:p>
      <w:pPr>
        <w:spacing w:line="600" w:lineRule="exact"/>
        <w:ind w:firstLine="640" w:firstLineChars="200"/>
        <w:rPr>
          <w:rFonts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rPr>
        <w:t>事业单位离退休（项）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sz w:val="32"/>
          <w:szCs w:val="32"/>
        </w:rPr>
      </w:pPr>
      <w:r>
        <w:rPr>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(208)</w:t>
      </w:r>
      <w:r>
        <w:rPr>
          <w:rStyle w:val="15"/>
          <w:rFonts w:hint="eastAsia" w:ascii="仿宋" w:hAnsi="仿宋" w:eastAsia="仿宋"/>
          <w:b w:val="0"/>
          <w:bCs w:val="0"/>
          <w:color w:val="000000"/>
          <w:sz w:val="32"/>
          <w:szCs w:val="32"/>
        </w:rPr>
        <w:t>行政事业单位养老支出（款）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20805</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机关事业单位基本养老保险缴费支出（项）</w:t>
      </w:r>
      <w:r>
        <w:rPr>
          <w:rStyle w:val="15"/>
          <w:rFonts w:hint="eastAsia" w:ascii="仿宋" w:hAnsi="仿宋" w:eastAsia="仿宋"/>
          <w:b w:val="0"/>
          <w:bCs w:val="0"/>
          <w:color w:val="000000"/>
          <w:sz w:val="32"/>
          <w:szCs w:val="32"/>
          <w:lang w:val="en-US" w:eastAsia="zh-CN"/>
        </w:rPr>
        <w:t>(2080505)</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8.19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spacing w:line="600" w:lineRule="exact"/>
        <w:ind w:firstLine="640" w:firstLineChars="200"/>
        <w:rPr>
          <w:rStyle w:val="15"/>
          <w:rFonts w:hint="eastAsia" w:ascii="仿宋" w:hAnsi="仿宋" w:eastAsia="仿宋"/>
          <w:b w:val="0"/>
          <w:bCs/>
          <w:color w:val="000000" w:themeColor="text1"/>
          <w:sz w:val="32"/>
          <w:szCs w:val="32"/>
          <w14:textFill>
            <w14:solidFill>
              <w14:schemeClr w14:val="tx1"/>
            </w14:solidFill>
          </w14:textFill>
        </w:rPr>
      </w:pPr>
      <w:r>
        <w:rPr>
          <w:rFonts w:hint="eastAsia" w:ascii="仿宋" w:hAnsi="仿宋" w:eastAsia="仿宋"/>
          <w:b w:val="0"/>
          <w:bCs/>
          <w:color w:val="000000" w:themeColor="text1"/>
          <w:sz w:val="32"/>
          <w:szCs w:val="32"/>
          <w:lang w:val="en-US" w:eastAsia="zh-CN"/>
          <w14:textFill>
            <w14:solidFill>
              <w14:schemeClr w14:val="tx1"/>
            </w14:solidFill>
          </w14:textFill>
        </w:rPr>
        <w:t>3、</w:t>
      </w:r>
      <w:r>
        <w:rPr>
          <w:rFonts w:hint="eastAsia" w:ascii="仿宋" w:hAnsi="仿宋" w:eastAsia="仿宋"/>
          <w:b w:val="0"/>
          <w:bCs/>
          <w:color w:val="000000" w:themeColor="text1"/>
          <w:sz w:val="32"/>
          <w:szCs w:val="32"/>
          <w14:textFill>
            <w14:solidFill>
              <w14:schemeClr w14:val="tx1"/>
            </w14:solidFill>
          </w14:textFill>
        </w:rPr>
        <w:t>卫生健康</w:t>
      </w:r>
      <w:r>
        <w:rPr>
          <w:rFonts w:hint="eastAsia" w:ascii="仿宋" w:hAnsi="仿宋" w:eastAsia="仿宋"/>
          <w:b w:val="0"/>
          <w:bCs/>
          <w:color w:val="000000" w:themeColor="text1"/>
          <w:sz w:val="32"/>
          <w:szCs w:val="32"/>
          <w:lang w:eastAsia="zh-CN"/>
          <w14:textFill>
            <w14:solidFill>
              <w14:schemeClr w14:val="tx1"/>
            </w14:solidFill>
          </w14:textFill>
        </w:rPr>
        <w:t>支出</w:t>
      </w:r>
      <w:r>
        <w:rPr>
          <w:rStyle w:val="15"/>
          <w:rFonts w:hint="eastAsia" w:ascii="仿宋" w:hAnsi="仿宋" w:eastAsia="仿宋"/>
          <w:b w:val="0"/>
          <w:bCs w:val="0"/>
          <w:color w:val="000000" w:themeColor="text1"/>
          <w:sz w:val="32"/>
          <w:szCs w:val="32"/>
          <w14:textFill>
            <w14:solidFill>
              <w14:schemeClr w14:val="tx1"/>
            </w14:solidFill>
          </w14:textFill>
        </w:rPr>
        <w:t>（</w:t>
      </w:r>
      <w:r>
        <w:rPr>
          <w:rStyle w:val="15"/>
          <w:rFonts w:hint="eastAsia" w:ascii="仿宋" w:hAnsi="仿宋" w:eastAsia="仿宋"/>
          <w:b w:val="0"/>
          <w:bCs w:val="0"/>
          <w:color w:val="000000" w:themeColor="text1"/>
          <w:sz w:val="32"/>
          <w:szCs w:val="32"/>
          <w:lang w:eastAsia="zh-CN"/>
          <w14:textFill>
            <w14:solidFill>
              <w14:schemeClr w14:val="tx1"/>
            </w14:solidFill>
          </w14:textFill>
        </w:rPr>
        <w:t>类</w:t>
      </w:r>
      <w:r>
        <w:rPr>
          <w:rStyle w:val="15"/>
          <w:rFonts w:hint="eastAsia" w:ascii="仿宋" w:hAnsi="仿宋" w:eastAsia="仿宋"/>
          <w:b w:val="0"/>
          <w:bCs w:val="0"/>
          <w:color w:val="000000" w:themeColor="text1"/>
          <w:sz w:val="32"/>
          <w:szCs w:val="32"/>
          <w14:textFill>
            <w14:solidFill>
              <w14:schemeClr w14:val="tx1"/>
            </w14:solidFill>
          </w14:textFill>
        </w:rPr>
        <w:t>）</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w:t>
      </w:r>
      <w:r>
        <w:rPr>
          <w:rStyle w:val="15"/>
          <w:rFonts w:hint="eastAsia" w:ascii="仿宋" w:hAnsi="仿宋" w:eastAsia="仿宋"/>
          <w:b w:val="0"/>
          <w:bCs w:val="0"/>
          <w:color w:val="000000" w:themeColor="text1"/>
          <w:sz w:val="32"/>
          <w:szCs w:val="32"/>
          <w14:textFill>
            <w14:solidFill>
              <w14:schemeClr w14:val="tx1"/>
            </w14:solidFill>
          </w14:textFill>
        </w:rPr>
        <w:t>基层医疗卫生机构（款）</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(21003)</w:t>
      </w:r>
      <w:r>
        <w:rPr>
          <w:rStyle w:val="15"/>
          <w:rFonts w:hint="eastAsia" w:ascii="仿宋" w:hAnsi="仿宋" w:eastAsia="仿宋"/>
          <w:b w:val="0"/>
          <w:bCs w:val="0"/>
          <w:color w:val="000000" w:themeColor="text1"/>
          <w:sz w:val="32"/>
          <w:szCs w:val="32"/>
          <w14:textFill>
            <w14:solidFill>
              <w14:schemeClr w14:val="tx1"/>
            </w14:solidFill>
          </w14:textFill>
        </w:rPr>
        <w:t>乡镇卫生院（项）</w:t>
      </w:r>
      <w:r>
        <w:rPr>
          <w:rStyle w:val="15"/>
          <w:rFonts w:hint="eastAsia" w:ascii="仿宋" w:hAnsi="仿宋" w:eastAsia="仿宋"/>
          <w:b w:val="0"/>
          <w:bCs w:val="0"/>
          <w:color w:val="000000" w:themeColor="text1"/>
          <w:sz w:val="32"/>
          <w:szCs w:val="32"/>
          <w:lang w:val="en-US" w:eastAsia="zh-CN"/>
          <w14:textFill>
            <w14:solidFill>
              <w14:schemeClr w14:val="tx1"/>
            </w14:solidFill>
          </w14:textFill>
        </w:rPr>
        <w:t>(2100302)</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支出决算为</w:t>
      </w:r>
      <w:r>
        <w:rPr>
          <w:rStyle w:val="15"/>
          <w:rFonts w:hint="eastAsia" w:ascii="仿宋" w:hAnsi="仿宋" w:eastAsia="仿宋"/>
          <w:b w:val="0"/>
          <w:bCs/>
          <w:color w:val="000000" w:themeColor="text1"/>
          <w:sz w:val="32"/>
          <w:szCs w:val="32"/>
          <w:lang w:val="en-US" w:eastAsia="zh-CN"/>
          <w14:textFill>
            <w14:solidFill>
              <w14:schemeClr w14:val="tx1"/>
            </w14:solidFill>
          </w14:textFill>
        </w:rPr>
        <w:t>158.29</w:t>
      </w:r>
      <w:r>
        <w:rPr>
          <w:rStyle w:val="15"/>
          <w:rFonts w:hint="eastAsia" w:ascii="仿宋" w:hAnsi="仿宋" w:eastAsia="仿宋"/>
          <w:b w:val="0"/>
          <w:bCs/>
          <w:color w:val="000000" w:themeColor="text1"/>
          <w:sz w:val="32"/>
          <w:szCs w:val="32"/>
          <w14:textFill>
            <w14:solidFill>
              <w14:schemeClr w14:val="tx1"/>
            </w14:solidFill>
          </w14:textFill>
        </w:rPr>
        <w:t>万元，完成预算</w:t>
      </w:r>
      <w:r>
        <w:rPr>
          <w:rStyle w:val="15"/>
          <w:rFonts w:hint="eastAsia" w:ascii="仿宋" w:hAnsi="仿宋" w:eastAsia="仿宋"/>
          <w:b w:val="0"/>
          <w:bCs/>
          <w:color w:val="000000" w:themeColor="text1"/>
          <w:sz w:val="32"/>
          <w:szCs w:val="32"/>
          <w:lang w:val="en-US" w:eastAsia="zh-CN"/>
          <w14:textFill>
            <w14:solidFill>
              <w14:schemeClr w14:val="tx1"/>
            </w14:solidFill>
          </w14:textFill>
        </w:rPr>
        <w:t>100</w:t>
      </w:r>
      <w:r>
        <w:rPr>
          <w:rStyle w:val="15"/>
          <w:rFonts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14:textFill>
            <w14:solidFill>
              <w14:schemeClr w14:val="tx1"/>
            </w14:solidFill>
          </w14:textFill>
        </w:rPr>
        <w:t>，</w:t>
      </w:r>
      <w:r>
        <w:rPr>
          <w:rStyle w:val="15"/>
          <w:rFonts w:hint="eastAsia" w:ascii="仿宋" w:hAnsi="仿宋" w:eastAsia="仿宋"/>
          <w:b w:val="0"/>
          <w:bCs/>
          <w:color w:val="000000" w:themeColor="text1"/>
          <w:sz w:val="32"/>
          <w:szCs w:val="32"/>
          <w:lang w:val="en-US" w:eastAsia="zh-CN"/>
          <w14:textFill>
            <w14:solidFill>
              <w14:schemeClr w14:val="tx1"/>
            </w14:solidFill>
          </w14:textFill>
        </w:rPr>
        <w:t>与预算数持平</w:t>
      </w:r>
      <w:r>
        <w:rPr>
          <w:rStyle w:val="15"/>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5、</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rPr>
        <w:t>基层医疗卫生机构（款）</w:t>
      </w:r>
      <w:r>
        <w:rPr>
          <w:rStyle w:val="15"/>
          <w:rFonts w:hint="eastAsia" w:ascii="仿宋" w:hAnsi="仿宋" w:eastAsia="仿宋"/>
          <w:b w:val="0"/>
          <w:bCs w:val="0"/>
          <w:color w:val="000000"/>
          <w:sz w:val="32"/>
          <w:szCs w:val="32"/>
          <w:lang w:val="en-US" w:eastAsia="zh-CN"/>
        </w:rPr>
        <w:t>(21003)</w:t>
      </w:r>
      <w:r>
        <w:rPr>
          <w:rStyle w:val="15"/>
          <w:rFonts w:hint="eastAsia" w:ascii="仿宋" w:hAnsi="仿宋" w:eastAsia="仿宋"/>
          <w:b w:val="0"/>
          <w:bCs w:val="0"/>
          <w:color w:val="000000"/>
          <w:sz w:val="32"/>
          <w:szCs w:val="32"/>
        </w:rPr>
        <w:t>其他基层医疗卫生机构支出（项）</w:t>
      </w:r>
      <w:r>
        <w:rPr>
          <w:rStyle w:val="15"/>
          <w:rFonts w:hint="eastAsia" w:ascii="仿宋" w:hAnsi="仿宋" w:eastAsia="仿宋"/>
          <w:b w:val="0"/>
          <w:bCs w:val="0"/>
          <w:color w:val="000000"/>
          <w:sz w:val="32"/>
          <w:szCs w:val="32"/>
          <w:lang w:val="en-US" w:eastAsia="zh-CN"/>
        </w:rPr>
        <w:t>(2100399)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5.95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6、</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公共卫生</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(21004)</w:t>
      </w:r>
      <w:r>
        <w:rPr>
          <w:rStyle w:val="15"/>
          <w:rFonts w:hint="eastAsia" w:ascii="仿宋" w:hAnsi="仿宋" w:eastAsia="仿宋"/>
          <w:b w:val="0"/>
          <w:bCs w:val="0"/>
          <w:color w:val="000000"/>
          <w:sz w:val="32"/>
          <w:szCs w:val="32"/>
        </w:rPr>
        <w:t>基本公共卫生服务（项）</w:t>
      </w:r>
      <w:r>
        <w:rPr>
          <w:rStyle w:val="15"/>
          <w:rFonts w:hint="eastAsia" w:ascii="仿宋" w:hAnsi="仿宋" w:eastAsia="仿宋"/>
          <w:b w:val="0"/>
          <w:bCs w:val="0"/>
          <w:color w:val="000000"/>
          <w:sz w:val="32"/>
          <w:szCs w:val="32"/>
          <w:lang w:val="en-US" w:eastAsia="zh-CN"/>
        </w:rPr>
        <w:t>(2100408)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79.26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b w:val="0"/>
          <w:bCs/>
          <w:color w:val="000000"/>
          <w:sz w:val="32"/>
          <w:szCs w:val="32"/>
          <w:lang w:val="en-US" w:eastAsia="zh-CN"/>
        </w:rPr>
        <w:t>7、</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rPr>
        <w:t>事业单位医疗（项）</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2101102</w:t>
      </w:r>
      <w:r>
        <w:rPr>
          <w:rStyle w:val="15"/>
          <w:rFonts w:hint="eastAsia" w:ascii="仿宋" w:hAnsi="仿宋" w:eastAsia="仿宋"/>
          <w:b w:val="0"/>
          <w:bCs w:val="0"/>
          <w:color w:val="000000"/>
          <w:sz w:val="32"/>
          <w:szCs w:val="32"/>
          <w:lang w:eastAsia="zh-CN"/>
        </w:rPr>
        <w:t>）</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 w:val="0"/>
          <w:bCs/>
          <w:color w:val="000000"/>
          <w:sz w:val="32"/>
          <w:szCs w:val="32"/>
          <w:lang w:val="en-US" w:eastAsia="zh-CN"/>
        </w:rPr>
        <w:t>8、</w:t>
      </w:r>
      <w:r>
        <w:rPr>
          <w:rFonts w:hint="eastAsia" w:ascii="仿宋" w:hAnsi="仿宋" w:eastAsia="仿宋"/>
          <w:b w:val="0"/>
          <w:bCs/>
          <w:color w:val="000000"/>
          <w:sz w:val="32"/>
          <w:szCs w:val="32"/>
        </w:rPr>
        <w:t>卫生健康</w:t>
      </w:r>
      <w:r>
        <w:rPr>
          <w:rFonts w:hint="eastAsia" w:ascii="仿宋" w:hAnsi="仿宋" w:eastAsia="仿宋"/>
          <w:b w:val="0"/>
          <w:bCs/>
          <w:color w:val="000000"/>
          <w:sz w:val="32"/>
          <w:szCs w:val="32"/>
          <w:lang w:eastAsia="zh-CN"/>
        </w:rPr>
        <w:t>支出</w:t>
      </w:r>
      <w:r>
        <w:rPr>
          <w:rStyle w:val="15"/>
          <w:rFonts w:hint="eastAsia" w:ascii="仿宋" w:hAnsi="仿宋" w:eastAsia="仿宋"/>
          <w:b w:val="0"/>
          <w:bCs w:val="0"/>
          <w:color w:val="000000"/>
          <w:sz w:val="32"/>
          <w:szCs w:val="32"/>
        </w:rPr>
        <w:t>（类）</w:t>
      </w:r>
      <w:r>
        <w:rPr>
          <w:rStyle w:val="15"/>
          <w:rFonts w:hint="eastAsia" w:ascii="仿宋" w:hAnsi="仿宋" w:eastAsia="仿宋"/>
          <w:b w:val="0"/>
          <w:bCs w:val="0"/>
          <w:color w:val="000000"/>
          <w:sz w:val="32"/>
          <w:szCs w:val="32"/>
          <w:lang w:val="en-US" w:eastAsia="zh-CN"/>
        </w:rPr>
        <w:t>(210)</w:t>
      </w:r>
      <w:r>
        <w:rPr>
          <w:rStyle w:val="15"/>
          <w:rFonts w:hint="eastAsia" w:ascii="仿宋" w:hAnsi="仿宋" w:eastAsia="仿宋"/>
          <w:b w:val="0"/>
          <w:bCs w:val="0"/>
          <w:color w:val="000000"/>
          <w:sz w:val="32"/>
          <w:szCs w:val="32"/>
          <w:lang w:eastAsia="zh-CN"/>
        </w:rPr>
        <w:t>行政事业单位医疗</w:t>
      </w:r>
      <w:r>
        <w:rPr>
          <w:rStyle w:val="15"/>
          <w:rFonts w:hint="eastAsia" w:ascii="仿宋" w:hAnsi="仿宋" w:eastAsia="仿宋"/>
          <w:b w:val="0"/>
          <w:bCs w:val="0"/>
          <w:color w:val="000000"/>
          <w:sz w:val="32"/>
          <w:szCs w:val="32"/>
        </w:rPr>
        <w:t>（款）</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lang w:val="en-US" w:eastAsia="zh-CN"/>
        </w:rPr>
        <w:t>21011</w:t>
      </w:r>
      <w:r>
        <w:rPr>
          <w:rStyle w:val="15"/>
          <w:rFonts w:hint="eastAsia" w:ascii="仿宋" w:hAnsi="仿宋" w:eastAsia="仿宋"/>
          <w:b w:val="0"/>
          <w:bCs w:val="0"/>
          <w:color w:val="000000"/>
          <w:sz w:val="32"/>
          <w:szCs w:val="32"/>
          <w:lang w:eastAsia="zh-CN"/>
        </w:rPr>
        <w:t>）</w:t>
      </w:r>
      <w:r>
        <w:rPr>
          <w:rStyle w:val="15"/>
          <w:rFonts w:hint="eastAsia" w:ascii="仿宋" w:hAnsi="仿宋" w:eastAsia="仿宋"/>
          <w:b w:val="0"/>
          <w:bCs w:val="0"/>
          <w:color w:val="000000"/>
          <w:sz w:val="32"/>
          <w:szCs w:val="32"/>
        </w:rPr>
        <w:t>公务员医疗补助（项）</w:t>
      </w:r>
      <w:r>
        <w:rPr>
          <w:rStyle w:val="15"/>
          <w:rFonts w:hint="eastAsia" w:ascii="仿宋" w:hAnsi="仿宋" w:eastAsia="仿宋"/>
          <w:b w:val="0"/>
          <w:bCs w:val="0"/>
          <w:color w:val="000000"/>
          <w:sz w:val="32"/>
          <w:szCs w:val="32"/>
          <w:lang w:val="en-US" w:eastAsia="zh-CN"/>
        </w:rPr>
        <w:t>(2101103)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w:t>
      </w:r>
      <w:r>
        <w:rPr>
          <w:rStyle w:val="15"/>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b w:val="0"/>
          <w:bCs/>
          <w:color w:val="000000"/>
          <w:sz w:val="32"/>
          <w:szCs w:val="32"/>
          <w:lang w:val="en-US" w:eastAsia="zh-CN"/>
        </w:rPr>
        <w:t>9、</w:t>
      </w:r>
      <w:r>
        <w:rPr>
          <w:rFonts w:hint="eastAsia" w:ascii="仿宋" w:hAnsi="仿宋" w:eastAsia="仿宋"/>
          <w:b w:val="0"/>
          <w:bCs w:val="0"/>
          <w:color w:val="000000"/>
          <w:sz w:val="32"/>
          <w:szCs w:val="32"/>
        </w:rPr>
        <w:t>住房保障支出</w:t>
      </w:r>
      <w:r>
        <w:rPr>
          <w:rStyle w:val="15"/>
          <w:rFonts w:hint="eastAsia" w:ascii="仿宋" w:hAnsi="仿宋" w:eastAsia="仿宋"/>
          <w:b w:val="0"/>
          <w:bCs/>
          <w:color w:val="000000"/>
          <w:sz w:val="32"/>
          <w:szCs w:val="32"/>
        </w:rPr>
        <w:t>（类）</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住房改革支出（款）</w:t>
      </w:r>
      <w:r>
        <w:rPr>
          <w:rStyle w:val="15"/>
          <w:rFonts w:hint="eastAsia" w:ascii="仿宋" w:hAnsi="仿宋" w:eastAsia="仿宋"/>
          <w:b w:val="0"/>
          <w:bCs/>
          <w:color w:val="000000"/>
          <w:sz w:val="32"/>
          <w:szCs w:val="32"/>
          <w:lang w:val="en-US" w:eastAsia="zh-CN"/>
        </w:rPr>
        <w:t>(22102)</w:t>
      </w:r>
      <w:r>
        <w:rPr>
          <w:rStyle w:val="15"/>
          <w:rFonts w:hint="eastAsia" w:ascii="仿宋" w:hAnsi="仿宋" w:eastAsia="仿宋"/>
          <w:b w:val="0"/>
          <w:bCs/>
          <w:color w:val="000000"/>
          <w:sz w:val="32"/>
          <w:szCs w:val="32"/>
        </w:rPr>
        <w:t>住房公积金（项）</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lang w:val="en-US" w:eastAsia="zh-CN"/>
        </w:rPr>
        <w:t>2210201</w:t>
      </w:r>
      <w:r>
        <w:rPr>
          <w:rStyle w:val="15"/>
          <w:rFonts w:hint="eastAsia" w:ascii="仿宋" w:hAnsi="仿宋" w:eastAsia="仿宋"/>
          <w:b w:val="0"/>
          <w:bCs/>
          <w:color w:val="000000"/>
          <w:sz w:val="32"/>
          <w:szCs w:val="32"/>
          <w:lang w:eastAsia="zh-CN"/>
        </w:rPr>
        <w:t>）</w:t>
      </w:r>
      <w:r>
        <w:rPr>
          <w:rFonts w:hint="eastAsia" w:ascii="仿宋" w:hAnsi="仿宋" w:eastAsia="仿宋"/>
          <w:b w:val="0"/>
          <w:bCs w:val="0"/>
          <w:color w:val="000000"/>
          <w:sz w:val="32"/>
          <w:szCs w:val="32"/>
          <w:lang w:eastAsia="zh-CN"/>
        </w:rPr>
        <w:t>：</w:t>
      </w:r>
      <w:r>
        <w:rPr>
          <w:rStyle w:val="15"/>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11.98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 w:val="0"/>
          <w:bCs/>
          <w:color w:val="000000"/>
          <w:sz w:val="32"/>
          <w:szCs w:val="32"/>
          <w:lang w:val="en-US" w:eastAsia="zh-CN"/>
        </w:rPr>
        <w:t>与预算数持平</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color w:val="auto"/>
          <w:highlight w:val="none"/>
        </w:rPr>
      </w:pPr>
      <w:bookmarkStart w:id="31" w:name="_Toc15396608"/>
      <w:bookmarkStart w:id="3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1"/>
      <w:bookmarkEnd w:id="32"/>
      <w:r>
        <w:rPr>
          <w:rStyle w:val="26"/>
          <w:rFonts w:ascii="黑体" w:hAnsi="黑体" w:eastAsia="黑体"/>
          <w:b w:val="0"/>
          <w:color w:val="auto"/>
          <w:highlight w:val="none"/>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124.31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124.31</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38.42</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28.08</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19.09</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8.19</w:t>
      </w:r>
      <w:r>
        <w:rPr>
          <w:rFonts w:hint="eastAsia" w:ascii="仿宋" w:hAnsi="仿宋" w:eastAsia="仿宋"/>
          <w:color w:val="000000"/>
          <w:sz w:val="32"/>
          <w:szCs w:val="32"/>
        </w:rPr>
        <w:t>万元、职工基本医疗保险缴费</w:t>
      </w:r>
      <w:r>
        <w:rPr>
          <w:rFonts w:hint="eastAsia" w:ascii="仿宋" w:hAnsi="仿宋" w:eastAsia="仿宋"/>
          <w:color w:val="000000"/>
          <w:sz w:val="32"/>
          <w:szCs w:val="32"/>
          <w:lang w:val="en-US" w:eastAsia="zh-CN"/>
        </w:rPr>
        <w:t>11.43</w:t>
      </w:r>
      <w:r>
        <w:rPr>
          <w:rFonts w:hint="eastAsia" w:ascii="仿宋" w:hAnsi="仿宋" w:eastAsia="仿宋"/>
          <w:color w:val="000000"/>
          <w:sz w:val="32"/>
          <w:szCs w:val="32"/>
        </w:rPr>
        <w:t>万元、公务员医疗补助缴费1.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万元、其他社会保障缴费1.</w:t>
      </w:r>
      <w:r>
        <w:rPr>
          <w:rFonts w:hint="eastAsia" w:ascii="仿宋" w:hAnsi="仿宋" w:eastAsia="仿宋"/>
          <w:color w:val="000000"/>
          <w:sz w:val="32"/>
          <w:szCs w:val="32"/>
          <w:lang w:val="en-US" w:eastAsia="zh-CN"/>
        </w:rPr>
        <w:t>02</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11.98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医疗费</w:t>
      </w:r>
      <w:r>
        <w:rPr>
          <w:rFonts w:hint="eastAsia" w:ascii="仿宋" w:hAnsi="仿宋" w:eastAsia="仿宋"/>
          <w:color w:val="000000"/>
          <w:sz w:val="32"/>
          <w:szCs w:val="32"/>
          <w:lang w:val="en-US" w:eastAsia="zh-CN"/>
        </w:rPr>
        <w:t>1.38万元、</w:t>
      </w:r>
      <w:r>
        <w:rPr>
          <w:rFonts w:hint="eastAsia" w:ascii="仿宋" w:hAnsi="仿宋" w:eastAsia="仿宋"/>
          <w:color w:val="000000" w:themeColor="text1"/>
          <w:sz w:val="32"/>
          <w:szCs w:val="32"/>
          <w:lang w:val="en-US" w:eastAsia="zh-CN"/>
          <w14:textFill>
            <w14:solidFill>
              <w14:schemeClr w14:val="tx1"/>
            </w14:solidFill>
          </w14:textFill>
        </w:rPr>
        <w:t>对个人和家庭的</w:t>
      </w:r>
      <w:r>
        <w:rPr>
          <w:rFonts w:hint="eastAsia" w:ascii="仿宋" w:hAnsi="仿宋" w:eastAsia="仿宋"/>
          <w:color w:val="000000" w:themeColor="text1"/>
          <w:sz w:val="32"/>
          <w:szCs w:val="32"/>
          <w14:textFill>
            <w14:solidFill>
              <w14:schemeClr w14:val="tx1"/>
            </w14:solidFill>
          </w14:textFill>
        </w:rPr>
        <w:t>补助</w:t>
      </w:r>
      <w:r>
        <w:rPr>
          <w:rFonts w:hint="eastAsia" w:ascii="仿宋" w:hAnsi="仿宋" w:eastAsia="仿宋"/>
          <w:color w:val="000000" w:themeColor="text1"/>
          <w:sz w:val="32"/>
          <w:szCs w:val="32"/>
          <w:lang w:val="en-US" w:eastAsia="zh-CN"/>
          <w14:textFill>
            <w14:solidFill>
              <w14:schemeClr w14:val="tx1"/>
            </w14:solidFill>
          </w14:textFill>
        </w:rPr>
        <w:t>3.52</w:t>
      </w:r>
      <w:r>
        <w:rPr>
          <w:rFonts w:hint="eastAsia" w:ascii="仿宋" w:hAnsi="仿宋" w:eastAsia="仿宋"/>
          <w:color w:val="000000" w:themeColor="text1"/>
          <w:sz w:val="32"/>
          <w:szCs w:val="32"/>
          <w14:textFill>
            <w14:solidFill>
              <w14:schemeClr w14:val="tx1"/>
            </w14:solidFill>
          </w14:textFill>
        </w:rPr>
        <w:t>万元。</w:t>
      </w:r>
    </w:p>
    <w:p>
      <w:pPr>
        <w:spacing w:beforeLines="0" w:afterLines="0" w:line="576" w:lineRule="exact"/>
        <w:ind w:firstLine="643"/>
        <w:jc w:val="both"/>
        <w:rPr>
          <w:rFonts w:ascii="仿宋" w:hAnsi="仿宋" w:eastAsia="仿宋"/>
          <w:b/>
          <w:color w:val="auto"/>
          <w:sz w:val="32"/>
          <w:szCs w:val="32"/>
          <w:highlight w:val="none"/>
        </w:rPr>
      </w:pPr>
      <w:r>
        <w:rPr>
          <w:rFonts w:hint="eastAsia" w:ascii="仿宋" w:hAnsi="仿宋" w:eastAsia="仿宋"/>
          <w:color w:val="000000"/>
          <w:sz w:val="32"/>
          <w:szCs w:val="32"/>
        </w:rPr>
        <w:t>日常公用经费</w:t>
      </w:r>
      <w:r>
        <w:rPr>
          <w:rFonts w:hint="eastAsia" w:ascii="仿宋" w:hAnsi="仿宋" w:eastAsia="仿宋"/>
          <w:sz w:val="32"/>
          <w:szCs w:val="32"/>
          <w:lang w:val="en-US" w:eastAsia="zh-CN"/>
        </w:rPr>
        <w:t>0</w:t>
      </w:r>
      <w:r>
        <w:rPr>
          <w:rFonts w:hint="eastAsia" w:ascii="仿宋" w:hAnsi="仿宋" w:eastAsia="仿宋"/>
          <w:color w:val="000000"/>
          <w:sz w:val="32"/>
          <w:szCs w:val="32"/>
        </w:rPr>
        <w:t>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spacing w:line="600" w:lineRule="exact"/>
        <w:outlineLvl w:val="1"/>
        <w:rPr>
          <w:rStyle w:val="26"/>
          <w:rFonts w:ascii="黑体" w:hAnsi="黑体" w:eastAsia="黑体"/>
          <w:b w:val="0"/>
          <w:color w:val="auto"/>
          <w:highlight w:val="none"/>
        </w:rPr>
      </w:pPr>
      <w:bookmarkStart w:id="33" w:name="_Toc15396609"/>
      <w:bookmarkStart w:id="34"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年“三公”经费财政拨款支出决算为</w:t>
      </w:r>
      <w:r>
        <w:rPr>
          <w:rFonts w:hint="eastAsia" w:ascii="仿宋" w:hAnsi="仿宋" w:eastAsia="仿宋"/>
          <w:color w:val="000000" w:themeColor="text1"/>
          <w:sz w:val="32"/>
          <w:szCs w:val="32"/>
          <w:lang w:val="en-US" w:eastAsia="zh-CN"/>
          <w14:textFill>
            <w14:solidFill>
              <w14:schemeClr w14:val="tx1"/>
            </w14:solidFill>
          </w14:textFill>
        </w:rPr>
        <w:t>1.04</w:t>
      </w:r>
      <w:r>
        <w:rPr>
          <w:rFonts w:hint="eastAsia" w:ascii="仿宋" w:hAnsi="仿宋" w:eastAsia="仿宋"/>
          <w:color w:val="000000" w:themeColor="text1"/>
          <w:sz w:val="32"/>
          <w:szCs w:val="32"/>
          <w14:textFill>
            <w14:solidFill>
              <w14:schemeClr w14:val="tx1"/>
            </w14:solidFill>
          </w14:textFill>
        </w:rPr>
        <w:t>万元，完成预算</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，决算数与预算数持平</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我单位严格按照“三公”经费预算执行该经费的使用</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ascii="仿宋" w:hAnsi="仿宋" w:eastAsia="仿宋"/>
          <w:color w:val="auto"/>
          <w:sz w:val="32"/>
          <w:szCs w:val="32"/>
          <w:highlight w:val="none"/>
        </w:rPr>
      </w:pPr>
      <w:r>
        <w:drawing>
          <wp:inline distT="0" distB="0" distL="114300" distR="114300">
            <wp:extent cx="4572000" cy="2743200"/>
            <wp:effectExtent l="4445" t="4445" r="14605" b="14605"/>
            <wp:docPr id="19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lang w:val="en-US" w:eastAsia="zh-CN"/>
        </w:rPr>
        <w:t>1.04</w:t>
      </w:r>
      <w:r>
        <w:rPr>
          <w:rFonts w:hint="eastAsia" w:ascii="仿宋_GB2312" w:eastAsia="仿宋_GB2312"/>
          <w:color w:val="auto"/>
          <w:sz w:val="32"/>
          <w:szCs w:val="32"/>
        </w:rPr>
        <w:t>万元</w:t>
      </w:r>
      <w:r>
        <w:rPr>
          <w:rFonts w:ascii="仿宋_GB2312" w:eastAsia="仿宋_GB2312"/>
          <w:color w:val="auto"/>
          <w:sz w:val="32"/>
          <w:szCs w:val="32"/>
        </w:rPr>
        <w:t>,</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2.07</w:t>
      </w:r>
      <w:r>
        <w:rPr>
          <w:rFonts w:hint="eastAsia" w:ascii="仿宋_GB2312" w:eastAsia="仿宋_GB2312"/>
          <w:color w:val="auto"/>
          <w:sz w:val="32"/>
          <w:szCs w:val="32"/>
        </w:rPr>
        <w:t>万元，</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66.5</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hAnsi="仿宋_GB2312" w:eastAsia="仿宋_GB2312"/>
          <w:color w:val="auto"/>
          <w:kern w:val="2"/>
          <w:sz w:val="32"/>
          <w:lang w:val="zh-CN"/>
        </w:rPr>
        <w:t>主要原因是疫情防控，区上统一调配车辆使用。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辆、其他车型</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3" w:firstLineChars="200"/>
        <w:rPr>
          <w:rFonts w:ascii="仿宋_GB2312" w:eastAsia="仿宋_GB2312"/>
          <w:b/>
          <w:color w:val="auto"/>
          <w:sz w:val="32"/>
          <w:szCs w:val="32"/>
          <w:highlight w:val="none"/>
        </w:rPr>
      </w:pPr>
    </w:p>
    <w:p>
      <w:pPr>
        <w:spacing w:line="600" w:lineRule="exact"/>
        <w:ind w:firstLine="640"/>
        <w:rPr>
          <w:rFonts w:hint="eastAsia"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000000"/>
          <w:sz w:val="32"/>
          <w:szCs w:val="32"/>
          <w:lang w:val="en-US" w:eastAsia="zh-CN"/>
        </w:rPr>
        <w:t>1.04</w:t>
      </w:r>
      <w:r>
        <w:rPr>
          <w:rFonts w:hint="eastAsia" w:ascii="仿宋_GB2312" w:eastAsia="仿宋_GB2312"/>
          <w:color w:val="000000"/>
          <w:sz w:val="32"/>
          <w:szCs w:val="32"/>
        </w:rPr>
        <w:t>万元。主要用</w:t>
      </w:r>
      <w:r>
        <w:rPr>
          <w:rFonts w:hint="eastAsia" w:ascii="仿宋_GB2312" w:eastAsia="仿宋_GB2312"/>
          <w:color w:val="000000"/>
          <w:sz w:val="32"/>
          <w:szCs w:val="32"/>
          <w:lang w:val="en-US" w:eastAsia="zh-CN"/>
        </w:rPr>
        <w:t>于</w:t>
      </w:r>
      <w:r>
        <w:rPr>
          <w:rFonts w:hint="eastAsia" w:ascii="仿宋_GB2312" w:eastAsia="仿宋_GB2312"/>
          <w:color w:val="000000"/>
          <w:sz w:val="32"/>
          <w:szCs w:val="32"/>
          <w:lang w:eastAsia="zh-CN"/>
        </w:rPr>
        <w:t>公共卫生下乡体检、新冠疫情防控</w:t>
      </w:r>
      <w:r>
        <w:rPr>
          <w:rFonts w:hint="eastAsia" w:ascii="仿宋_GB2312" w:eastAsia="仿宋_GB2312"/>
          <w:color w:val="000000"/>
          <w:sz w:val="32"/>
          <w:szCs w:val="32"/>
          <w:lang w:val="en-US" w:eastAsia="zh-CN"/>
        </w:rPr>
        <w:t>及核酸转运</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auto"/>
          <w:sz w:val="32"/>
          <w:szCs w:val="32"/>
          <w:highlight w:val="none"/>
        </w:rPr>
      </w:pPr>
    </w:p>
    <w:p>
      <w:pPr>
        <w:spacing w:line="600" w:lineRule="exact"/>
        <w:ind w:firstLine="640"/>
        <w:rPr>
          <w:rFonts w:ascii="仿宋_GB2312" w:eastAsia="仿宋_GB2312"/>
          <w:color w:val="000000"/>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。其中：</w:t>
      </w:r>
    </w:p>
    <w:p>
      <w:pPr>
        <w:spacing w:line="600" w:lineRule="exact"/>
        <w:ind w:firstLine="640"/>
        <w:rPr>
          <w:rFonts w:ascii="仿宋_GB2312" w:eastAsia="仿宋_GB2312"/>
          <w:color w:val="auto"/>
          <w:sz w:val="32"/>
          <w:szCs w:val="32"/>
          <w:highlight w:val="none"/>
        </w:rPr>
      </w:pP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37" w:name="_Toc15377218"/>
      <w:bookmarkStart w:id="38"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0.35</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6"/>
          <w:rFonts w:ascii="黑体" w:hAnsi="黑体" w:eastAsia="黑体"/>
          <w:b w:val="0"/>
          <w:color w:val="auto"/>
          <w:highlight w:val="none"/>
        </w:rPr>
      </w:pPr>
      <w:bookmarkStart w:id="39" w:name="_Toc15396611"/>
      <w:bookmarkStart w:id="40" w:name="_Toc15377219"/>
      <w:r>
        <w:rPr>
          <w:rStyle w:val="26"/>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1" w:name="_Toc15396612"/>
      <w:bookmarkStart w:id="42" w:name="_Toc15377221"/>
      <w:r>
        <w:rPr>
          <w:rStyle w:val="26"/>
          <w:rFonts w:hint="eastAsia" w:ascii="黑体" w:hAnsi="黑体" w:eastAsia="黑体"/>
          <w:b w:val="0"/>
          <w:color w:val="auto"/>
          <w:highlight w:val="none"/>
        </w:rPr>
        <w:t>其他重要事项的情况说明</w:t>
      </w:r>
      <w:bookmarkEnd w:id="41"/>
      <w:bookmarkEnd w:id="42"/>
    </w:p>
    <w:p>
      <w:pPr>
        <w:spacing w:line="600" w:lineRule="exact"/>
        <w:ind w:firstLine="643" w:firstLineChars="200"/>
        <w:outlineLvl w:val="2"/>
        <w:rPr>
          <w:rFonts w:ascii="仿宋" w:hAnsi="仿宋" w:eastAsia="仿宋"/>
          <w:color w:val="auto"/>
          <w:sz w:val="32"/>
          <w:szCs w:val="32"/>
          <w:highlight w:val="none"/>
        </w:rPr>
      </w:pPr>
      <w:bookmarkStart w:id="43" w:name="_Toc15377222"/>
      <w:r>
        <w:rPr>
          <w:rFonts w:hint="eastAsia" w:ascii="仿宋" w:hAnsi="仿宋" w:eastAsia="仿宋"/>
          <w:b/>
          <w:color w:val="auto"/>
          <w:sz w:val="32"/>
          <w:szCs w:val="32"/>
          <w:highlight w:val="none"/>
        </w:rPr>
        <w:t>（一）机关运行经费支出情况</w:t>
      </w:r>
      <w:bookmarkEnd w:id="43"/>
    </w:p>
    <w:p>
      <w:pPr>
        <w:spacing w:line="600" w:lineRule="exact"/>
        <w:ind w:firstLine="640"/>
        <w:rPr>
          <w:rFonts w:hint="eastAsia" w:ascii="仿宋" w:hAnsi="仿宋" w:eastAsia="仿宋"/>
          <w:i/>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仁和区太平乡卫生院属于财政补助的事业单位，无机关运行经费。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4" w:name="_Toc15377223"/>
      <w:r>
        <w:rPr>
          <w:rFonts w:hint="eastAsia" w:ascii="仿宋" w:hAnsi="仿宋" w:eastAsia="仿宋"/>
          <w:b/>
          <w:color w:val="auto"/>
          <w:sz w:val="32"/>
          <w:szCs w:val="32"/>
          <w:highlight w:val="none"/>
        </w:rPr>
        <w:t>（二）政府采购支出情况</w:t>
      </w:r>
      <w:bookmarkEnd w:id="44"/>
    </w:p>
    <w:p>
      <w:pPr>
        <w:spacing w:line="600" w:lineRule="exact"/>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仁和区太平乡卫生院未发生政府采购支出。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仁和区太平乡卫生院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辆，其中：副部（省）级及以上领导用车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辆、离退休干部用车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辆。其中：其他用车主要是用于其他用车主要是用于用于</w:t>
      </w:r>
      <w:r>
        <w:rPr>
          <w:rFonts w:hint="eastAsia" w:ascii="仿宋_GB2312" w:eastAsia="仿宋_GB2312"/>
          <w:color w:val="000000"/>
          <w:sz w:val="32"/>
          <w:szCs w:val="32"/>
          <w:lang w:val="en-US" w:eastAsia="zh-CN"/>
        </w:rPr>
        <w:t>医院基本公共卫生服务下乡体检、入户随访及疫情防控相关工作所用</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rPr>
          <w:rFonts w:hint="eastAsia" w:ascii="仿宋" w:hAnsi="仿宋" w:eastAsia="仿宋_GB2312"/>
          <w:b/>
          <w:color w:val="FF0000"/>
          <w:sz w:val="32"/>
          <w:szCs w:val="32"/>
          <w:lang w:val="en-US" w:eastAsia="zh-CN"/>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根据预算绩效管理要求，本单位在年初预算编制阶段，组织对基本公卫项目、实施基本药物制度</w:t>
      </w:r>
      <w:r>
        <w:rPr>
          <w:rFonts w:hint="eastAsia" w:ascii="仿宋_GB2312" w:hAnsi="仿宋_GB2312" w:eastAsia="仿宋_GB2312" w:cs="仿宋_GB2312"/>
          <w:sz w:val="32"/>
          <w:szCs w:val="32"/>
          <w:lang w:val="en-US" w:eastAsia="zh-CN"/>
        </w:rPr>
        <w:t>及村卫生室补助</w:t>
      </w:r>
      <w:r>
        <w:rPr>
          <w:rFonts w:hint="eastAsia" w:ascii="仿宋_GB2312" w:hAnsi="仿宋_GB2312" w:eastAsia="仿宋_GB2312" w:cs="仿宋_GB2312"/>
          <w:sz w:val="32"/>
          <w:szCs w:val="32"/>
        </w:rPr>
        <w:t>项目、医疗卫生管理经费项目开展了预算事前绩效评估，对医疗卫生管理经费项目编制了绩效目标，预算执行过程中，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医疗卫生管理经费项目开展绩效监控，年终执行完毕后，对医疗卫生管理经费项目开展了绩效自评。202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年特定目标类部门预算项目绩效目标自评表见附件（第四部分）。</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bookmarkStart w:id="48"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一般公共服务支出（类）财政事务（款） 财政委托业务支出（项）：指反应财政事务方面的支出。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社会保障和就业（类）行政事业单位养老支出（款）事业单位离退休（项）: 指事业单位开支的离退休经费。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社会保障和就业（类）行政事业单位养老支出（款）     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社会保障和就业（类）行政事业单位养老支出（款）     机关事业单位职业年金缴费支出（项）: 指机关事业单位实施养老保险制度由单位缴纳的实际缴纳的职业年金支出。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社会保障和就业（类）抚恤（款）死亡抚恤（项）：指按规定用于烈士和牺牲、病故人员家属的一次性和定期抚恤金及丧葬补助费。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社会保障和就业（类）其他社会保障和就业支出（款）其他社会保障和就业支出（项）：指反映机关事业单位其他用于社会保障和就业方面的支出。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卫生健康支出（类）基层医疗卫生机构（款）乡镇卫生院（项）：指反映用于乡镇卫生院支出。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pStyle w:val="23"/>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18.</w:t>
      </w:r>
      <w:r>
        <w:rPr>
          <w:rFonts w:hint="eastAsia" w:hAnsi="仿宋"/>
          <w:bCs/>
          <w:sz w:val="32"/>
          <w:szCs w:val="32"/>
        </w:rPr>
        <w:t>卫生健康支出</w:t>
      </w:r>
      <w:r>
        <w:rPr>
          <w:rStyle w:val="15"/>
          <w:rFonts w:hint="eastAsia" w:hAnsi="仿宋"/>
          <w:b w:val="0"/>
          <w:sz w:val="32"/>
          <w:szCs w:val="32"/>
        </w:rPr>
        <w:t>（类）公共卫生（款）疾病控制机构（项）：</w:t>
      </w:r>
      <w:r>
        <w:rPr>
          <w:rFonts w:hint="eastAsia" w:ascii="仿宋_GB2312" w:eastAsia="仿宋_GB2312"/>
          <w:sz w:val="32"/>
          <w:szCs w:val="32"/>
        </w:rPr>
        <w:t>指反映用于卫生健康部门所属疾病控制机构的支出。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pStyle w:val="23"/>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25.</w:t>
      </w:r>
      <w:r>
        <w:rPr>
          <w:rFonts w:hint="eastAsia" w:hAnsi="仿宋"/>
          <w:bCs/>
          <w:sz w:val="32"/>
          <w:szCs w:val="32"/>
        </w:rPr>
        <w:t>卫生健康支出</w:t>
      </w:r>
      <w:r>
        <w:rPr>
          <w:rStyle w:val="15"/>
          <w:rFonts w:hint="eastAsia" w:hAnsi="仿宋"/>
          <w:b w:val="0"/>
          <w:sz w:val="32"/>
          <w:szCs w:val="32"/>
        </w:rPr>
        <w:t>（类）行政事业单位医疗（款）事业单位医疗（项）：</w:t>
      </w:r>
      <w:r>
        <w:rPr>
          <w:rFonts w:hint="eastAsia" w:ascii="仿宋_GB2312" w:eastAsia="仿宋_GB2312"/>
          <w:sz w:val="32"/>
          <w:szCs w:val="32"/>
        </w:rPr>
        <w:t>指反映财政部门安排的事业单位基本养老保险缴纳经费、未参加医疗保险的事业单位的公费医疗经费，按国家规定享受离休人员待遇的医疗经费。</w:t>
      </w:r>
    </w:p>
    <w:p>
      <w:pPr>
        <w:pStyle w:val="23"/>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26.</w:t>
      </w:r>
      <w:r>
        <w:rPr>
          <w:rFonts w:hint="eastAsia" w:hAnsi="仿宋"/>
          <w:bCs/>
          <w:sz w:val="32"/>
          <w:szCs w:val="32"/>
        </w:rPr>
        <w:t>卫生健康支出</w:t>
      </w:r>
      <w:r>
        <w:rPr>
          <w:rStyle w:val="15"/>
          <w:rFonts w:hint="eastAsia" w:hAnsi="仿宋"/>
          <w:b w:val="0"/>
          <w:sz w:val="32"/>
          <w:szCs w:val="32"/>
        </w:rPr>
        <w:t>（类）行政事业单位医疗（款）公务员医疗补助（项）</w:t>
      </w:r>
      <w:r>
        <w:rPr>
          <w:rStyle w:val="15"/>
          <w:rFonts w:hAnsi="仿宋"/>
          <w:b w:val="0"/>
          <w:bCs/>
          <w:sz w:val="32"/>
          <w:szCs w:val="32"/>
        </w:rPr>
        <w:t>:</w:t>
      </w:r>
      <w:r>
        <w:rPr>
          <w:rFonts w:hint="eastAsia" w:ascii="仿宋_GB2312" w:eastAsia="仿宋_GB2312"/>
          <w:sz w:val="32"/>
          <w:szCs w:val="32"/>
        </w:rPr>
        <w:t>指反映财政部门安排的公务员医疗补助经费。</w:t>
      </w:r>
    </w:p>
    <w:p>
      <w:pPr>
        <w:pStyle w:val="23"/>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27.</w:t>
      </w:r>
      <w:r>
        <w:rPr>
          <w:rFonts w:hint="eastAsia" w:hAnsi="仿宋"/>
          <w:bCs/>
          <w:sz w:val="32"/>
          <w:szCs w:val="32"/>
        </w:rPr>
        <w:t>卫生健康支出</w:t>
      </w:r>
      <w:r>
        <w:rPr>
          <w:rStyle w:val="15"/>
          <w:rFonts w:hint="eastAsia" w:hAnsi="仿宋"/>
          <w:b w:val="0"/>
          <w:sz w:val="32"/>
          <w:szCs w:val="32"/>
        </w:rPr>
        <w:t>（类）其他卫生健康支出（款）其他卫生健康支出（项）</w:t>
      </w:r>
      <w:r>
        <w:rPr>
          <w:rStyle w:val="15"/>
          <w:rFonts w:hAnsi="仿宋"/>
          <w:b w:val="0"/>
          <w:bCs/>
          <w:sz w:val="32"/>
          <w:szCs w:val="32"/>
        </w:rPr>
        <w:t>:</w:t>
      </w:r>
      <w:r>
        <w:rPr>
          <w:rFonts w:hint="eastAsia" w:ascii="仿宋_GB2312" w:eastAsia="仿宋_GB2312"/>
          <w:sz w:val="32"/>
          <w:szCs w:val="32"/>
        </w:rPr>
        <w:t>指反映用于其他卫生健康方面的支出。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28.住房保障支出（类）住房改革支出（款）住房公积金（项）：指行政事业单位按人力资源和社会保障部、财政部规定的基本工资和津贴补贴以及规定比例为职工缴纳的住房公积金。</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29.基本支出：指为保障机构正常运转、完成日常工作任务而发生的人员支出和公用支出。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30.项目支出：指在基本支出之外为完成特定行政任务和事业发展目标所发生的支出。 </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31.经营支出：指事业单位在专业业务活动及其辅助活动之外开展非独立核算经营活动发生的支出。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color w:val="auto"/>
          <w:highlight w:val="none"/>
        </w:rPr>
      </w:pPr>
      <w:bookmarkStart w:id="64" w:name="_GoBack"/>
      <w:bookmarkEnd w:id="64"/>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49"/>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0"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48"/>
      <w:bookmarkEnd w:id="50"/>
      <w:bookmarkStart w:id="51"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1"/>
    </w:p>
    <w:p>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2"/>
    </w:p>
    <w:p>
      <w:pPr>
        <w:pStyle w:val="4"/>
        <w:rPr>
          <w:rFonts w:ascii="仿宋" w:hAnsi="仿宋" w:eastAsia="仿宋"/>
          <w:color w:val="auto"/>
          <w:highlight w:val="none"/>
        </w:rPr>
      </w:pPr>
      <w:bookmarkStart w:id="53"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3"/>
    </w:p>
    <w:p>
      <w:pPr>
        <w:pStyle w:val="4"/>
        <w:rPr>
          <w:rFonts w:ascii="仿宋" w:hAnsi="仿宋" w:eastAsia="仿宋"/>
          <w:b w:val="0"/>
          <w:color w:val="auto"/>
          <w:highlight w:val="none"/>
        </w:rPr>
      </w:pPr>
      <w:bookmarkStart w:id="54"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4"/>
    </w:p>
    <w:p>
      <w:pPr>
        <w:pStyle w:val="4"/>
        <w:rPr>
          <w:rStyle w:val="26"/>
          <w:rFonts w:ascii="仿宋" w:hAnsi="仿宋" w:eastAsia="仿宋"/>
          <w:b w:val="0"/>
          <w:bCs w:val="0"/>
          <w:color w:val="auto"/>
          <w:highlight w:val="none"/>
        </w:rPr>
      </w:pPr>
      <w:bookmarkStart w:id="55"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5"/>
      <w:bookmarkStart w:id="56"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6"/>
    </w:p>
    <w:p>
      <w:pPr>
        <w:pStyle w:val="4"/>
        <w:rPr>
          <w:rFonts w:ascii="仿宋" w:hAnsi="仿宋" w:eastAsia="仿宋"/>
          <w:color w:val="auto"/>
          <w:highlight w:val="none"/>
        </w:rPr>
      </w:pPr>
      <w:bookmarkStart w:id="57"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57"/>
    </w:p>
    <w:p>
      <w:pPr>
        <w:pStyle w:val="4"/>
        <w:rPr>
          <w:rFonts w:ascii="仿宋" w:hAnsi="仿宋" w:eastAsia="仿宋"/>
          <w:color w:val="auto"/>
          <w:highlight w:val="none"/>
        </w:rPr>
      </w:pPr>
      <w:bookmarkStart w:id="58"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58"/>
    </w:p>
    <w:p>
      <w:pPr>
        <w:pStyle w:val="4"/>
        <w:rPr>
          <w:rFonts w:ascii="仿宋" w:hAnsi="仿宋" w:eastAsia="仿宋"/>
          <w:color w:val="auto"/>
          <w:highlight w:val="none"/>
        </w:rPr>
      </w:pPr>
      <w:bookmarkStart w:id="59"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59"/>
    </w:p>
    <w:p>
      <w:pPr>
        <w:pStyle w:val="4"/>
        <w:rPr>
          <w:rFonts w:ascii="仿宋" w:hAnsi="仿宋" w:eastAsia="仿宋"/>
          <w:color w:val="auto"/>
          <w:highlight w:val="none"/>
        </w:rPr>
      </w:pPr>
      <w:bookmarkStart w:id="60" w:name="_Toc15396628"/>
      <w:r>
        <w:rPr>
          <w:rStyle w:val="26"/>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1" w:name="_Toc15396629"/>
      <w:r>
        <w:rPr>
          <w:rStyle w:val="26"/>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2" w:name="_Toc15396630"/>
      <w:r>
        <w:rPr>
          <w:rStyle w:val="26"/>
          <w:rFonts w:hint="eastAsia" w:ascii="仿宋" w:hAnsi="仿宋" w:eastAsia="仿宋"/>
          <w:b w:val="0"/>
          <w:bCs w:val="0"/>
          <w:color w:val="auto"/>
          <w:highlight w:val="none"/>
        </w:rPr>
        <w:t>十二、</w:t>
      </w:r>
      <w:bookmarkEnd w:id="62"/>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3" w:name="_Toc15396631"/>
      <w:r>
        <w:rPr>
          <w:rStyle w:val="26"/>
          <w:rFonts w:hint="eastAsia" w:ascii="仿宋" w:hAnsi="仿宋" w:eastAsia="仿宋"/>
          <w:b w:val="0"/>
          <w:bCs w:val="0"/>
          <w:color w:val="auto"/>
          <w:highlight w:val="none"/>
        </w:rPr>
        <w:t>十三、</w:t>
      </w:r>
      <w:bookmarkEnd w:id="63"/>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BEF72"/>
    <w:multiLevelType w:val="singleLevel"/>
    <w:tmpl w:val="95FBEF7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YTMyYWYzZDVmMDI2NzJhNzBkNzBiOTVjNGRjN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66E1"/>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076D2"/>
    <w:rsid w:val="02840E7C"/>
    <w:rsid w:val="03D153F7"/>
    <w:rsid w:val="053A62B5"/>
    <w:rsid w:val="0A2032A3"/>
    <w:rsid w:val="0B8A37D8"/>
    <w:rsid w:val="0FEF0126"/>
    <w:rsid w:val="10C055FF"/>
    <w:rsid w:val="118107EC"/>
    <w:rsid w:val="11DD6519"/>
    <w:rsid w:val="14BC179A"/>
    <w:rsid w:val="14C233A4"/>
    <w:rsid w:val="16BB723D"/>
    <w:rsid w:val="18015F3F"/>
    <w:rsid w:val="18D221E4"/>
    <w:rsid w:val="1986254A"/>
    <w:rsid w:val="1BE8440E"/>
    <w:rsid w:val="1D155CEE"/>
    <w:rsid w:val="20F57F95"/>
    <w:rsid w:val="230E3B42"/>
    <w:rsid w:val="240371BF"/>
    <w:rsid w:val="25711CC6"/>
    <w:rsid w:val="25C334F3"/>
    <w:rsid w:val="25C741E6"/>
    <w:rsid w:val="27842671"/>
    <w:rsid w:val="29FD04D3"/>
    <w:rsid w:val="2A0B4F4C"/>
    <w:rsid w:val="2ABE7A3E"/>
    <w:rsid w:val="2C902DD7"/>
    <w:rsid w:val="2CA234A8"/>
    <w:rsid w:val="2DE250CF"/>
    <w:rsid w:val="2EFA178C"/>
    <w:rsid w:val="30B46D73"/>
    <w:rsid w:val="3112096E"/>
    <w:rsid w:val="319F7F4E"/>
    <w:rsid w:val="36885973"/>
    <w:rsid w:val="382721DE"/>
    <w:rsid w:val="383D272C"/>
    <w:rsid w:val="39AE70AB"/>
    <w:rsid w:val="3A4A73CA"/>
    <w:rsid w:val="3B2F64A0"/>
    <w:rsid w:val="3C0C0783"/>
    <w:rsid w:val="3F9F3A96"/>
    <w:rsid w:val="40161AFD"/>
    <w:rsid w:val="401B3430"/>
    <w:rsid w:val="44A2024A"/>
    <w:rsid w:val="48BF60AB"/>
    <w:rsid w:val="493C27E9"/>
    <w:rsid w:val="496F39ED"/>
    <w:rsid w:val="49FF41D3"/>
    <w:rsid w:val="4B325B46"/>
    <w:rsid w:val="4BE068DB"/>
    <w:rsid w:val="4BF6002B"/>
    <w:rsid w:val="4ECE2238"/>
    <w:rsid w:val="51556929"/>
    <w:rsid w:val="51A13422"/>
    <w:rsid w:val="51DB4B86"/>
    <w:rsid w:val="52D42F0C"/>
    <w:rsid w:val="541127AE"/>
    <w:rsid w:val="55333C3E"/>
    <w:rsid w:val="5ACC0D59"/>
    <w:rsid w:val="5B9E0AB2"/>
    <w:rsid w:val="5E844998"/>
    <w:rsid w:val="5F4E390E"/>
    <w:rsid w:val="6243457B"/>
    <w:rsid w:val="64CA39A1"/>
    <w:rsid w:val="653974D2"/>
    <w:rsid w:val="69630ADE"/>
    <w:rsid w:val="6C4A05C8"/>
    <w:rsid w:val="6D3B1A89"/>
    <w:rsid w:val="6FEC0417"/>
    <w:rsid w:val="71BF4EC2"/>
    <w:rsid w:val="72734D90"/>
    <w:rsid w:val="7412278C"/>
    <w:rsid w:val="787E407D"/>
    <w:rsid w:val="788174A5"/>
    <w:rsid w:val="79E7B28D"/>
    <w:rsid w:val="7CB974BC"/>
    <w:rsid w:val="7EC270A0"/>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570;&#22270;&#34920;%20Microsoft%20Excel%2097-2003%20&#24037;&#20316;&#34920;%20(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6130;&#21153;\&#20915;&#31639;&#20844;&#24320;\2023&#24180;&#20915;&#31639;\&#20570;&#22270;&#34920;%20Microsoft%20Excel%2097-2003%20&#24037;&#20316;&#34920;%20(2).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6130;&#21153;\&#20915;&#31639;&#20844;&#24320;\2023&#24180;&#20915;&#31639;\&#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太平乡卫生院财政拨款收入支出决算总计变动图</a:t>
            </a:r>
          </a:p>
        </c:rich>
      </c:tx>
      <c:layout>
        <c:manualLayout>
          <c:xMode val="edge"/>
          <c:yMode val="edge"/>
          <c:x val="0.219319335083115"/>
          <c:y val="0.0462962962962963"/>
        </c:manualLayout>
      </c:layout>
      <c:overlay val="0"/>
      <c:spPr>
        <a:noFill/>
        <a:ln>
          <a:noFill/>
        </a:ln>
        <a:effectLst/>
      </c:spPr>
    </c:title>
    <c:autoTitleDeleted val="0"/>
    <c:plotArea>
      <c:layout>
        <c:manualLayout>
          <c:layoutTarget val="inner"/>
          <c:xMode val="edge"/>
          <c:yMode val="edge"/>
          <c:x val="0.141666954888824"/>
          <c:y val="0.343751165605895"/>
          <c:w val="0.816668328182634"/>
          <c:h val="0.295139889661627"/>
        </c:manualLayout>
      </c:layout>
      <c:barChart>
        <c:barDir val="col"/>
        <c:grouping val="clustered"/>
        <c:varyColors val="0"/>
        <c:ser>
          <c:idx val="0"/>
          <c:order val="0"/>
          <c:tx>
            <c:strRef>
              <c:f>'[做图表 Microsoft Excel 97-2003 工作表 (2).xls]Sheet1'!$A$30</c:f>
              <c:strCache>
                <c:ptCount val="1"/>
                <c:pt idx="0">
                  <c:v>财政收入总决算</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(2).xls]Sheet1'!$B$30:$C$30</c:f>
              <c:numCache>
                <c:formatCode>General</c:formatCode>
                <c:ptCount val="2"/>
                <c:pt idx="0">
                  <c:v>381.98</c:v>
                </c:pt>
                <c:pt idx="1">
                  <c:v>416.81</c:v>
                </c:pt>
              </c:numCache>
            </c:numRef>
          </c:val>
        </c:ser>
        <c:ser>
          <c:idx val="1"/>
          <c:order val="1"/>
          <c:tx>
            <c:strRef>
              <c:f>'[做图表 Microsoft Excel 97-2003 工作表 (2).xls]Sheet1'!$A$31</c:f>
              <c:strCache>
                <c:ptCount val="1"/>
                <c:pt idx="0">
                  <c:v>财政支出总决算</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forward val="0"/>
            <c:backward val="0"/>
            <c:dispRSqr val="0"/>
            <c:dispEq val="0"/>
          </c:trendline>
          <c:cat>
            <c:multiLvlStrRef>
              <c:f>'[做图表 Microsoft Excel 97-2003 工作表 (2).xls]Sheet1'!$B$28:$C$29</c:f>
              <c:multiLvlStrCache>
                <c:ptCount val="2"/>
                <c:lvl>
                  <c:pt idx="0">
                    <c:v>2021年</c:v>
                  </c:pt>
                  <c:pt idx="1">
                    <c:v>2022年</c:v>
                  </c:pt>
                </c:lvl>
                <c:lvl/>
              </c:multiLvlStrCache>
            </c:multiLvlStrRef>
          </c:cat>
          <c:val>
            <c:numRef>
              <c:f>'[做图表 Microsoft Excel 97-2003 工作表 (2).xls]Sheet1'!$B$31:$C$31</c:f>
              <c:numCache>
                <c:formatCode>General</c:formatCode>
                <c:ptCount val="2"/>
                <c:pt idx="0">
                  <c:v>381.98</c:v>
                </c:pt>
                <c:pt idx="1">
                  <c:v>416.81</c:v>
                </c:pt>
              </c:numCache>
            </c:numRef>
          </c:val>
        </c:ser>
        <c:dLbls>
          <c:showLegendKey val="0"/>
          <c:showVal val="0"/>
          <c:showCatName val="0"/>
          <c:showSerName val="0"/>
          <c:showPercent val="0"/>
          <c:showBubbleSize val="0"/>
        </c:dLbls>
        <c:gapWidth val="246"/>
        <c:overlap val="-28"/>
        <c:axId val="536312653"/>
        <c:axId val="634453367"/>
      </c:barChart>
      <c:catAx>
        <c:axId val="5363126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453367"/>
        <c:crosses val="autoZero"/>
        <c:auto val="1"/>
        <c:lblAlgn val="ctr"/>
        <c:lblOffset val="100"/>
        <c:noMultiLvlLbl val="0"/>
      </c:catAx>
      <c:valAx>
        <c:axId val="63445336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63126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2022年太平乡卫生院收入决算图</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(2).xls]Sheet1'!$A$126:$A$129</c:f>
              <c:strCache>
                <c:ptCount val="4"/>
                <c:pt idx="0">
                  <c:v>单位：万元</c:v>
                </c:pt>
                <c:pt idx="1">
                  <c:v>一般公共预算财政拨款收入</c:v>
                </c:pt>
                <c:pt idx="2">
                  <c:v>事业收入</c:v>
                </c:pt>
                <c:pt idx="3">
                  <c:v>政府性基金预算财政拨款收入</c:v>
                </c:pt>
              </c:strCache>
            </c:strRef>
          </c:cat>
          <c:val>
            <c:numRef>
              <c:f>'[做图表 Microsoft Excel 97-2003 工作表 (2).xls]Sheet1'!$B$126:$B$129</c:f>
              <c:numCache>
                <c:formatCode>General</c:formatCode>
                <c:ptCount val="4"/>
                <c:pt idx="1">
                  <c:v>278.48</c:v>
                </c:pt>
                <c:pt idx="2">
                  <c:v>137.98</c:v>
                </c:pt>
                <c:pt idx="3">
                  <c:v>0.35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explosion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explosion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Pt>
            <c:idx val="2"/>
            <c:bubble3D val="0"/>
            <c:explosion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Pt>
            <c:idx val="3"/>
            <c:bubble3D val="0"/>
            <c:explosion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a:outerShdw blurRad="76200" dist="25400" dir="2700000" algn="tl" rotWithShape="0">
                  <a:schemeClr val="accent4">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(2).xls]Sheet1'!$A$71:$A$74</c:f>
              <c:strCache>
                <c:ptCount val="4"/>
                <c:pt idx="0">
                  <c:v>基本支出</c:v>
                </c:pt>
                <c:pt idx="1">
                  <c:v>项目支出</c:v>
                </c:pt>
                <c:pt idx="2">
                  <c:v>上缴上级支出</c:v>
                </c:pt>
                <c:pt idx="3">
                  <c:v>结余分配</c:v>
                </c:pt>
              </c:strCache>
            </c:strRef>
          </c:cat>
          <c:val>
            <c:numRef>
              <c:f>'[做图表 Microsoft Excel 97-2003 工作表 (2).xls]Sheet1'!$B$71:$B$74</c:f>
              <c:numCache>
                <c:formatCode>General</c:formatCode>
                <c:ptCount val="4"/>
                <c:pt idx="0">
                  <c:v>188.08</c:v>
                </c:pt>
                <c:pt idx="1">
                  <c:v>154.52</c:v>
                </c:pt>
                <c:pt idx="2">
                  <c:v>0</c:v>
                </c:pt>
                <c:pt idx="3">
                  <c:v>74.21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145833630032613"/>
          <c:y val="0.347223399601914"/>
          <c:w val="0.816668328182634"/>
          <c:h val="0.305556591649684"/>
        </c:manualLayout>
      </c:layout>
      <c:barChart>
        <c:barDir val="col"/>
        <c:grouping val="stacked"/>
        <c:varyColors val="0"/>
        <c:ser>
          <c:idx val="0"/>
          <c:order val="0"/>
          <c:spPr>
            <a:solidFill>
              <a:schemeClr val="accent1"/>
            </a:solidFill>
            <a:ln>
              <a:solidFill>
                <a:schemeClr val="bg1"/>
              </a:solidFill>
            </a:ln>
            <a:effectLst/>
          </c:spPr>
          <c:invertIfNegative val="0"/>
          <c:dLbls>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multiLvlStrRef>
              <c:f>'[做图表 Microsoft Excel 97-2003 工作表 (2).xls]Sheet1'!$A$54:$C$55</c:f>
              <c:multiLvlStrCache>
                <c:ptCount val="3"/>
                <c:lvl>
                  <c:pt idx="1">
                    <c:v>2021年</c:v>
                  </c:pt>
                  <c:pt idx="2">
                    <c:v>2022年</c:v>
                  </c:pt>
                </c:lvl>
                <c:lvl>
                  <c:pt idx="0">
                    <c:v>单位：万元</c:v>
                  </c:pt>
                </c:lvl>
              </c:multiLvlStrCache>
            </c:multiLvlStrRef>
          </c:cat>
          <c:val>
            <c:numRef>
              <c:f>'[做图表 Microsoft Excel 97-2003 工作表 (2).xls]Sheet1'!$A$56:$C$56</c:f>
              <c:numCache>
                <c:formatCode>General</c:formatCode>
                <c:ptCount val="3"/>
                <c:pt idx="1">
                  <c:v>381.98</c:v>
                </c:pt>
                <c:pt idx="2">
                  <c:v>278.83</c:v>
                </c:pt>
              </c:numCache>
            </c:numRef>
          </c:val>
        </c:ser>
        <c:dLbls>
          <c:showLegendKey val="0"/>
          <c:showVal val="1"/>
          <c:showCatName val="0"/>
          <c:showSerName val="0"/>
          <c:showPercent val="0"/>
          <c:showBubbleSize val="0"/>
        </c:dLbls>
        <c:gapWidth val="260"/>
        <c:overlap val="100"/>
        <c:axId val="937070800"/>
        <c:axId val="254075497"/>
      </c:barChart>
      <c:catAx>
        <c:axId val="937070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75497"/>
        <c:crosses val="autoZero"/>
        <c:auto val="1"/>
        <c:lblAlgn val="ctr"/>
        <c:lblOffset val="100"/>
        <c:noMultiLvlLbl val="0"/>
      </c:catAx>
      <c:valAx>
        <c:axId val="254075497"/>
        <c:scaling>
          <c:orientation val="minMax"/>
        </c:scaling>
        <c:delete val="1"/>
        <c:axPos val="l"/>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070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18"/>
    </mc:Choice>
    <mc:Fallback>
      <c:style val="10018"/>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一般公共预算财政拨款支出决算变动情况表</a:t>
            </a:r>
          </a:p>
        </c:rich>
      </c:tx>
      <c:layout/>
      <c:overlay val="0"/>
      <c:spPr>
        <a:noFill/>
        <a:ln>
          <a:noFill/>
        </a:ln>
        <a:effectLst/>
      </c:spPr>
    </c:title>
    <c:autoTitleDeleted val="0"/>
    <c:plotArea>
      <c:layout>
        <c:manualLayout>
          <c:layoutTarget val="inner"/>
          <c:xMode val="edge"/>
          <c:yMode val="edge"/>
          <c:x val="0.145833630032613"/>
          <c:y val="0.347223399601914"/>
          <c:w val="0.816668328182634"/>
          <c:h val="0.305556591649684"/>
        </c:manualLayout>
      </c:layout>
      <c:barChart>
        <c:barDir val="col"/>
        <c:grouping val="stacked"/>
        <c:varyColors val="0"/>
        <c:ser>
          <c:idx val="0"/>
          <c:order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5280000" scaled="0"/>
              </a:gradFill>
            </a:ln>
            <a:effectLst/>
          </c:spPr>
          <c:invertIfNegative val="0"/>
          <c:dLbls>
            <c:dLbl>
              <c:idx val="1"/>
              <c:layout>
                <c:manualLayout>
                  <c:x val="-0.00833333333333333"/>
                  <c:y val="-0.30208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33"/>
                  <c:y val="-0.31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errBars>
            <c:errBarType val="both"/>
            <c:errValType val="stdDev"/>
            <c:noEndCap val="0"/>
            <c:val val="1"/>
            <c:spPr>
              <a:noFill/>
              <a:ln w="9525" cap="flat" cmpd="sng" algn="ctr">
                <a:solidFill>
                  <a:schemeClr val="tx1">
                    <a:lumMod val="65000"/>
                    <a:lumOff val="35000"/>
                  </a:schemeClr>
                </a:solidFill>
                <a:round/>
              </a:ln>
              <a:effectLst/>
            </c:spPr>
          </c:errBars>
          <c:cat>
            <c:multiLvlStrRef>
              <c:f>'[做图表 Microsoft Excel 97-2003 工作表 (2).xls]Sheet1'!$A$54:$C$55</c:f>
              <c:multiLvlStrCache>
                <c:ptCount val="3"/>
                <c:lvl>
                  <c:pt idx="1">
                    <c:v>2021年</c:v>
                  </c:pt>
                  <c:pt idx="2">
                    <c:v>2022年</c:v>
                  </c:pt>
                </c:lvl>
                <c:lvl>
                  <c:pt idx="0">
                    <c:v>单位：万元</c:v>
                  </c:pt>
                </c:lvl>
              </c:multiLvlStrCache>
            </c:multiLvlStrRef>
          </c:cat>
          <c:val>
            <c:numRef>
              <c:f>'[做图表 Microsoft Excel 97-2003 工作表 (2).xls]Sheet1'!$A$56:$C$56</c:f>
              <c:numCache>
                <c:formatCode>General</c:formatCode>
                <c:ptCount val="3"/>
                <c:pt idx="1">
                  <c:v>381.98</c:v>
                </c:pt>
                <c:pt idx="2">
                  <c:v>278.48</c:v>
                </c:pt>
              </c:numCache>
            </c:numRef>
          </c:val>
        </c:ser>
        <c:dLbls>
          <c:showLegendKey val="0"/>
          <c:showVal val="0"/>
          <c:showCatName val="0"/>
          <c:showSerName val="0"/>
          <c:showPercent val="0"/>
          <c:showBubbleSize val="0"/>
        </c:dLbls>
        <c:gapWidth val="500"/>
        <c:overlap val="100"/>
        <c:axId val="937070800"/>
        <c:axId val="254075497"/>
      </c:barChart>
      <c:catAx>
        <c:axId val="937070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75497"/>
        <c:crosses val="autoZero"/>
        <c:auto val="1"/>
        <c:lblAlgn val="ctr"/>
        <c:lblOffset val="100"/>
        <c:noMultiLvlLbl val="0"/>
      </c:catAx>
      <c:valAx>
        <c:axId val="254075497"/>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070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1" i="0" u="none" strike="noStrike" baseline="0">
                <a:solidFill>
                  <a:srgbClr val="333333"/>
                </a:solidFill>
                <a:latin typeface="Calibri" panose="020F0502020204030204" charset="-122"/>
                <a:ea typeface="Calibri" panose="020F0502020204030204" charset="-122"/>
                <a:cs typeface="Calibri" panose="020F0502020204030204" charset="-122"/>
              </a:rPr>
              <a:t>202</a:t>
            </a:r>
            <a:r>
              <a:rPr lang="en-US" altLang="zh-CN" sz="1400" b="1" i="0" u="none" strike="noStrike" baseline="0">
                <a:solidFill>
                  <a:srgbClr val="333333"/>
                </a:solidFill>
                <a:latin typeface="Calibri" panose="020F0502020204030204" charset="-122"/>
                <a:ea typeface="Calibri" panose="020F0502020204030204" charset="-122"/>
                <a:cs typeface="Calibri" panose="020F0502020204030204" charset="-122"/>
              </a:rPr>
              <a:t>2</a:t>
            </a:r>
            <a:r>
              <a:rPr sz="1400" b="1"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年一般公共预算财政拨款支出决算构成图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989754659046"/>
          <c:y val="0.0264810698135029"/>
        </c:manualLayout>
      </c:layout>
      <c:overlay val="0"/>
      <c:spPr>
        <a:noFill/>
        <a:ln w="3175">
          <a:noFill/>
        </a:ln>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dLbl>
              <c:idx val="2"/>
              <c:layout>
                <c:manualLayout>
                  <c:x val="0.0506448254422858"/>
                  <c:y val="-0.10048508749684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19.57</c:v>
                </c:pt>
                <c:pt idx="3">
                  <c:v>288.93</c:v>
                </c:pt>
                <c:pt idx="4">
                  <c:v>12.52</c:v>
                </c:pt>
              </c:numCache>
            </c:numRef>
          </c:val>
        </c:ser>
        <c:ser>
          <c:idx val="1"/>
          <c:order val="1"/>
          <c:explosion val="0"/>
          <c:dPt>
            <c:idx val="0"/>
            <c:bubble3D val="0"/>
            <c:explosion val="0"/>
            <c:spPr>
              <a:solidFill>
                <a:srgbClr val="5B9BD5">
                  <a:alpha val="100000"/>
                </a:srgbClr>
              </a:solidFill>
              <a:ln w="1905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Pt>
            <c:idx val="5"/>
            <c:bubble3D val="0"/>
            <c:explosion val="0"/>
            <c:spPr>
              <a:solidFill>
                <a:srgbClr val="70AD47">
                  <a:alpha val="100000"/>
                </a:srgbClr>
              </a:solidFill>
              <a:ln w="19050">
                <a:solidFill>
                  <a:srgbClr val="FFFFFF">
                    <a:alpha val="100000"/>
                  </a:srgbClr>
                </a:solidFill>
                <a:prstDash val="solid"/>
              </a:ln>
            </c:spPr>
          </c:dPt>
          <c:dPt>
            <c:idx val="6"/>
            <c:bubble3D val="0"/>
            <c:explosion val="0"/>
            <c:spPr>
              <a:solidFill>
                <a:srgbClr val="2C4D75">
                  <a:lumMod val="60000"/>
                </a:srgbClr>
              </a:solidFill>
              <a:ln w="19050">
                <a:solidFill>
                  <a:srgbClr val="FFFFFF"/>
                </a:solidFill>
              </a:ln>
              <a:effectLst/>
            </c:spPr>
          </c:dPt>
          <c:dPt>
            <c:idx val="7"/>
            <c:bubble3D val="0"/>
            <c:explosion val="0"/>
            <c:spPr>
              <a:solidFill>
                <a:srgbClr val="772C2A">
                  <a:lumMod val="60000"/>
                </a:srgbClr>
              </a:solidFill>
              <a:ln w="19050">
                <a:solidFill>
                  <a:srgbClr val="FFFFFF"/>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2022年一般公共预算财政拨款支出决算构成图</a:t>
            </a:r>
          </a:p>
        </c:rich>
      </c:tx>
      <c:layout>
        <c:manualLayout>
          <c:xMode val="edge"/>
          <c:yMode val="edge"/>
          <c:x val="0.14989754659046"/>
          <c:y val="0.0264810698135029"/>
        </c:manualLayout>
      </c:layout>
      <c:overlay val="0"/>
      <c:spPr>
        <a:noFill/>
        <a:ln>
          <a:noFill/>
        </a:ln>
        <a:effectLst/>
      </c:spPr>
    </c:title>
    <c:autoTitleDeleted val="0"/>
    <c:plotArea>
      <c:layout>
        <c:manualLayout>
          <c:layoutTarget val="inner"/>
          <c:xMode val="edge"/>
          <c:yMode val="edge"/>
          <c:x val="0.305019305019305"/>
          <c:y val="0.390501822360733"/>
          <c:w val="0.297297297297297"/>
          <c:h val="0.406332977321304"/>
        </c:manualLayout>
      </c:layout>
      <c:pieChart>
        <c:varyColors val="1"/>
        <c:ser>
          <c:idx val="0"/>
          <c:order val="0"/>
          <c:spPr/>
          <c:explosion val="0"/>
          <c:dPt>
            <c:idx val="0"/>
            <c:bubble3D val="0"/>
            <c:explosion val="0"/>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a:outerShdw blurRad="76200" dist="25400" dir="2700000" algn="tl" rotWithShape="0">
                  <a:schemeClr val="accent1">
                    <a:shade val="76667"/>
                    <a:lumMod val="50000"/>
                    <a:alpha val="30000"/>
                  </a:schemeClr>
                </a:outerShdw>
              </a:effectLst>
            </c:spPr>
          </c:dPt>
          <c:dPt>
            <c:idx val="1"/>
            <c:bubble3D val="0"/>
            <c:explosion val="0"/>
            <c:spPr>
              <a:gradFill>
                <a:gsLst>
                  <a:gs pos="0">
                    <a:schemeClr val="accent2">
                      <a:shade val="76667"/>
                      <a:lumMod val="40000"/>
                      <a:lumOff val="60000"/>
                    </a:schemeClr>
                  </a:gs>
                  <a:gs pos="90000">
                    <a:schemeClr val="accent2">
                      <a:shade val="76667"/>
                    </a:schemeClr>
                  </a:gs>
                </a:gsLst>
                <a:lin ang="5400000" scaled="0"/>
              </a:gradFill>
              <a:ln>
                <a:gradFill>
                  <a:gsLst>
                    <a:gs pos="0">
                      <a:schemeClr val="accent2">
                        <a:shade val="76667"/>
                      </a:schemeClr>
                    </a:gs>
                    <a:gs pos="100000">
                      <a:schemeClr val="accent2">
                        <a:shade val="76667"/>
                        <a:lumMod val="75000"/>
                      </a:schemeClr>
                    </a:gs>
                  </a:gsLst>
                  <a:lin ang="5400000" scaled="1"/>
                </a:gradFill>
              </a:ln>
              <a:effectLst>
                <a:outerShdw blurRad="76200" dist="25400" dir="2700000" algn="tl" rotWithShape="0">
                  <a:schemeClr val="accent2">
                    <a:shade val="76667"/>
                    <a:lumMod val="50000"/>
                    <a:alpha val="30000"/>
                  </a:schemeClr>
                </a:outerShdw>
              </a:effectLst>
            </c:spPr>
          </c:dPt>
          <c:dPt>
            <c:idx val="2"/>
            <c:bubble3D val="0"/>
            <c:explosion val="0"/>
            <c:spPr>
              <a:gradFill>
                <a:gsLst>
                  <a:gs pos="0">
                    <a:schemeClr val="accent3">
                      <a:shade val="76667"/>
                      <a:lumMod val="40000"/>
                      <a:lumOff val="60000"/>
                    </a:schemeClr>
                  </a:gs>
                  <a:gs pos="90000">
                    <a:schemeClr val="accent3">
                      <a:shade val="76667"/>
                    </a:schemeClr>
                  </a:gs>
                </a:gsLst>
                <a:lin ang="5400000" scaled="0"/>
              </a:gradFill>
              <a:ln>
                <a:gradFill>
                  <a:gsLst>
                    <a:gs pos="0">
                      <a:schemeClr val="accent3">
                        <a:shade val="76667"/>
                      </a:schemeClr>
                    </a:gs>
                    <a:gs pos="100000">
                      <a:schemeClr val="accent3">
                        <a:shade val="76667"/>
                        <a:lumMod val="75000"/>
                      </a:schemeClr>
                    </a:gs>
                  </a:gsLst>
                  <a:lin ang="5400000" scaled="1"/>
                </a:gradFill>
              </a:ln>
              <a:effectLst>
                <a:outerShdw blurRad="76200" dist="25400" dir="2700000" algn="tl" rotWithShape="0">
                  <a:schemeClr val="accent3">
                    <a:shade val="76667"/>
                    <a:lumMod val="50000"/>
                    <a:alpha val="30000"/>
                  </a:schemeClr>
                </a:outerShdw>
              </a:effectLst>
            </c:spPr>
          </c:dPt>
          <c:dPt>
            <c:idx val="3"/>
            <c:bubble3D val="0"/>
            <c:explosion val="0"/>
            <c:spPr>
              <a:gradFill>
                <a:gsLst>
                  <a:gs pos="0">
                    <a:schemeClr val="accent4">
                      <a:shade val="76667"/>
                      <a:lumMod val="40000"/>
                      <a:lumOff val="60000"/>
                    </a:schemeClr>
                  </a:gs>
                  <a:gs pos="90000">
                    <a:schemeClr val="accent4">
                      <a:shade val="76667"/>
                    </a:schemeClr>
                  </a:gs>
                </a:gsLst>
                <a:lin ang="5400000" scaled="0"/>
              </a:gradFill>
              <a:ln>
                <a:gradFill>
                  <a:gsLst>
                    <a:gs pos="0">
                      <a:schemeClr val="accent4">
                        <a:shade val="76667"/>
                      </a:schemeClr>
                    </a:gs>
                    <a:gs pos="100000">
                      <a:schemeClr val="accent4">
                        <a:shade val="76667"/>
                        <a:lumMod val="75000"/>
                      </a:schemeClr>
                    </a:gs>
                  </a:gsLst>
                  <a:lin ang="5400000" scaled="1"/>
                </a:gradFill>
              </a:ln>
              <a:effectLst>
                <a:outerShdw blurRad="76200" dist="25400" dir="2700000" algn="tl" rotWithShape="0">
                  <a:schemeClr val="accent4">
                    <a:shade val="76667"/>
                    <a:lumMod val="50000"/>
                    <a:alpha val="30000"/>
                  </a:schemeClr>
                </a:outerShdw>
              </a:effectLst>
            </c:spPr>
          </c:dPt>
          <c:dPt>
            <c:idx val="4"/>
            <c:bubble3D val="0"/>
            <c:explosion val="0"/>
            <c:spPr>
              <a:gradFill>
                <a:gsLst>
                  <a:gs pos="0">
                    <a:schemeClr val="accent5">
                      <a:shade val="76667"/>
                      <a:lumMod val="40000"/>
                      <a:lumOff val="60000"/>
                    </a:schemeClr>
                  </a:gs>
                  <a:gs pos="90000">
                    <a:schemeClr val="accent5">
                      <a:shade val="76667"/>
                    </a:schemeClr>
                  </a:gs>
                </a:gsLst>
                <a:lin ang="5400000" scaled="0"/>
              </a:gradFill>
              <a:ln>
                <a:gradFill>
                  <a:gsLst>
                    <a:gs pos="0">
                      <a:schemeClr val="accent5">
                        <a:shade val="76667"/>
                      </a:schemeClr>
                    </a:gs>
                    <a:gs pos="100000">
                      <a:schemeClr val="accent5">
                        <a:shade val="76667"/>
                        <a:lumMod val="75000"/>
                      </a:schemeClr>
                    </a:gs>
                  </a:gsLst>
                  <a:lin ang="5400000" scaled="1"/>
                </a:gradFill>
              </a:ln>
              <a:effectLst>
                <a:outerShdw blurRad="76200" dist="25400" dir="2700000" algn="tl" rotWithShape="0">
                  <a:schemeClr val="accent5">
                    <a:shade val="76667"/>
                    <a:lumMod val="50000"/>
                    <a:alpha val="30000"/>
                  </a:schemeClr>
                </a:outerShdw>
              </a:effectLst>
            </c:spPr>
          </c:dPt>
          <c:dPt>
            <c:idx val="5"/>
            <c:bubble3D val="0"/>
            <c:explosion val="0"/>
            <c:spPr>
              <a:gradFill>
                <a:gsLst>
                  <a:gs pos="0">
                    <a:schemeClr val="accent6">
                      <a:shade val="76667"/>
                      <a:lumMod val="40000"/>
                      <a:lumOff val="60000"/>
                    </a:schemeClr>
                  </a:gs>
                  <a:gs pos="90000">
                    <a:schemeClr val="accent6">
                      <a:shade val="76667"/>
                    </a:schemeClr>
                  </a:gs>
                </a:gsLst>
                <a:lin ang="5400000" scaled="0"/>
              </a:gradFill>
              <a:ln>
                <a:gradFill>
                  <a:gsLst>
                    <a:gs pos="0">
                      <a:schemeClr val="accent6">
                        <a:shade val="76667"/>
                      </a:schemeClr>
                    </a:gs>
                    <a:gs pos="100000">
                      <a:schemeClr val="accent6">
                        <a:shade val="76667"/>
                        <a:lumMod val="75000"/>
                      </a:schemeClr>
                    </a:gs>
                  </a:gsLst>
                  <a:lin ang="5400000" scaled="1"/>
                </a:gradFill>
              </a:ln>
              <a:effectLst>
                <a:outerShdw blurRad="76200" dist="25400" dir="2700000" algn="tl" rotWithShape="0">
                  <a:schemeClr val="accent6">
                    <a:shade val="76667"/>
                    <a:lumMod val="50000"/>
                    <a:alpha val="30000"/>
                  </a:schemeClr>
                </a:outerShdw>
              </a:effectLst>
            </c:spPr>
          </c:dPt>
          <c:dPt>
            <c:idx val="6"/>
            <c:bubble3D val="0"/>
            <c:explosion val="0"/>
            <c:spPr>
              <a:gradFill>
                <a:gsLst>
                  <a:gs pos="0">
                    <a:schemeClr val="accent1">
                      <a:tint val="76667"/>
                      <a:lumMod val="40000"/>
                      <a:lumOff val="60000"/>
                    </a:schemeClr>
                  </a:gs>
                  <a:gs pos="90000">
                    <a:schemeClr val="accent1">
                      <a:tint val="76667"/>
                    </a:schemeClr>
                  </a:gs>
                </a:gsLst>
                <a:lin ang="5400000" scaled="0"/>
              </a:gradFill>
              <a:ln>
                <a:gradFill>
                  <a:gsLst>
                    <a:gs pos="0">
                      <a:schemeClr val="accent1">
                        <a:tint val="76667"/>
                      </a:schemeClr>
                    </a:gs>
                    <a:gs pos="100000">
                      <a:schemeClr val="accent1">
                        <a:tint val="76667"/>
                        <a:lumMod val="75000"/>
                      </a:schemeClr>
                    </a:gs>
                  </a:gsLst>
                  <a:lin ang="5400000" scaled="1"/>
                </a:gradFill>
              </a:ln>
              <a:effectLst>
                <a:outerShdw blurRad="76200" dist="25400" dir="2700000" algn="tl" rotWithShape="0">
                  <a:schemeClr val="accent1">
                    <a:tint val="76667"/>
                    <a:lumMod val="50000"/>
                    <a:alpha val="30000"/>
                  </a:schemeClr>
                </a:outerShdw>
              </a:effectLst>
            </c:spPr>
          </c:dPt>
          <c:dPt>
            <c:idx val="7"/>
            <c:bubble3D val="0"/>
            <c:explosion val="0"/>
            <c:spPr>
              <a:gradFill>
                <a:gsLst>
                  <a:gs pos="0">
                    <a:schemeClr val="accent2">
                      <a:tint val="76667"/>
                      <a:lumMod val="40000"/>
                      <a:lumOff val="60000"/>
                    </a:schemeClr>
                  </a:gs>
                  <a:gs pos="90000">
                    <a:schemeClr val="accent2">
                      <a:tint val="76667"/>
                    </a:schemeClr>
                  </a:gs>
                </a:gsLst>
                <a:lin ang="5400000" scaled="0"/>
              </a:gradFill>
              <a:ln>
                <a:gradFill>
                  <a:gsLst>
                    <a:gs pos="0">
                      <a:schemeClr val="accent2">
                        <a:tint val="76667"/>
                      </a:schemeClr>
                    </a:gs>
                    <a:gs pos="100000">
                      <a:schemeClr val="accent2">
                        <a:tint val="76667"/>
                        <a:lumMod val="75000"/>
                      </a:schemeClr>
                    </a:gs>
                  </a:gsLst>
                  <a:lin ang="5400000" scaled="1"/>
                </a:gradFill>
              </a:ln>
              <a:effectLst>
                <a:outerShdw blurRad="76200" dist="25400" dir="2700000" algn="tl" rotWithShape="0">
                  <a:schemeClr val="accent2">
                    <a:tint val="76667"/>
                    <a:lumMod val="50000"/>
                    <a:alpha val="30000"/>
                  </a:schemeClr>
                </a:outerShdw>
              </a:effectLst>
            </c:spPr>
          </c:dPt>
          <c:dLbls>
            <c:dLbl>
              <c:idx val="2"/>
              <c:layout>
                <c:manualLayout>
                  <c:x val="0.0506448254422858"/>
                  <c:y val="-0.1004850874968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355942901953"/>
                  <c:y val="-0.040857951928188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9953114132208"/>
                  <c:y val="0.004913218787139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49064894162624"/>
                  <c:y val="-0.103619574602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5579750609085"/>
                  <c:y val="-0.07291758754694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(2).xls]Sheet1'!$B$4:$B$11</c:f>
              <c:numCache>
                <c:formatCode>General</c:formatCode>
                <c:ptCount val="8"/>
                <c:pt idx="2">
                  <c:v>13.1</c:v>
                </c:pt>
                <c:pt idx="3">
                  <c:v>253.4</c:v>
                </c:pt>
                <c:pt idx="4">
                  <c:v>11.98</c:v>
                </c:pt>
              </c:numCache>
            </c:numRef>
          </c:val>
        </c:ser>
        <c:ser>
          <c:idx val="1"/>
          <c:order val="1"/>
          <c:spPr/>
          <c:explosion val="0"/>
          <c:dPt>
            <c:idx val="0"/>
            <c:bubble3D val="0"/>
            <c:explosion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(2).xls]Sheet1'!#REF!</c:f>
              <c:numCache>
                <c:formatCode>General</c:formatCode>
                <c:ptCount val="1"/>
              </c:numCache>
            </c:numRef>
          </c:val>
        </c:ser>
        <c:ser>
          <c:idx val="2"/>
          <c:order val="2"/>
          <c:spPr/>
          <c:explosion val="0"/>
          <c:dPt>
            <c:idx val="0"/>
            <c:bubble3D val="0"/>
            <c:explosion val="0"/>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a:outerShdw blurRad="76200" dist="25400" dir="2700000" algn="tl" rotWithShape="0">
                  <a:schemeClr val="accent1">
                    <a:shade val="76667"/>
                    <a:lumMod val="50000"/>
                    <a:alpha val="30000"/>
                  </a:schemeClr>
                </a:outerShdw>
              </a:effectLst>
            </c:spPr>
          </c:dPt>
          <c:dPt>
            <c:idx val="1"/>
            <c:bubble3D val="0"/>
            <c:explosion val="0"/>
            <c:spPr>
              <a:gradFill>
                <a:gsLst>
                  <a:gs pos="0">
                    <a:schemeClr val="accent2">
                      <a:shade val="76667"/>
                      <a:lumMod val="40000"/>
                      <a:lumOff val="60000"/>
                    </a:schemeClr>
                  </a:gs>
                  <a:gs pos="90000">
                    <a:schemeClr val="accent2">
                      <a:shade val="76667"/>
                    </a:schemeClr>
                  </a:gs>
                </a:gsLst>
                <a:lin ang="5400000" scaled="0"/>
              </a:gradFill>
              <a:ln>
                <a:gradFill>
                  <a:gsLst>
                    <a:gs pos="0">
                      <a:schemeClr val="accent2">
                        <a:shade val="76667"/>
                      </a:schemeClr>
                    </a:gs>
                    <a:gs pos="100000">
                      <a:schemeClr val="accent2">
                        <a:shade val="76667"/>
                        <a:lumMod val="75000"/>
                      </a:schemeClr>
                    </a:gs>
                  </a:gsLst>
                  <a:lin ang="5400000" scaled="1"/>
                </a:gradFill>
              </a:ln>
              <a:effectLst>
                <a:outerShdw blurRad="76200" dist="25400" dir="2700000" algn="tl" rotWithShape="0">
                  <a:schemeClr val="accent2">
                    <a:shade val="76667"/>
                    <a:lumMod val="50000"/>
                    <a:alpha val="30000"/>
                  </a:schemeClr>
                </a:outerShdw>
              </a:effectLst>
            </c:spPr>
          </c:dPt>
          <c:dPt>
            <c:idx val="2"/>
            <c:bubble3D val="0"/>
            <c:explosion val="0"/>
            <c:spPr>
              <a:gradFill>
                <a:gsLst>
                  <a:gs pos="0">
                    <a:schemeClr val="accent3">
                      <a:shade val="76667"/>
                      <a:lumMod val="40000"/>
                      <a:lumOff val="60000"/>
                    </a:schemeClr>
                  </a:gs>
                  <a:gs pos="90000">
                    <a:schemeClr val="accent3">
                      <a:shade val="76667"/>
                    </a:schemeClr>
                  </a:gs>
                </a:gsLst>
                <a:lin ang="5400000" scaled="0"/>
              </a:gradFill>
              <a:ln>
                <a:gradFill>
                  <a:gsLst>
                    <a:gs pos="0">
                      <a:schemeClr val="accent3">
                        <a:shade val="76667"/>
                      </a:schemeClr>
                    </a:gs>
                    <a:gs pos="100000">
                      <a:schemeClr val="accent3">
                        <a:shade val="76667"/>
                        <a:lumMod val="75000"/>
                      </a:schemeClr>
                    </a:gs>
                  </a:gsLst>
                  <a:lin ang="5400000" scaled="1"/>
                </a:gradFill>
              </a:ln>
              <a:effectLst>
                <a:outerShdw blurRad="76200" dist="25400" dir="2700000" algn="tl" rotWithShape="0">
                  <a:schemeClr val="accent3">
                    <a:shade val="76667"/>
                    <a:lumMod val="50000"/>
                    <a:alpha val="30000"/>
                  </a:schemeClr>
                </a:outerShdw>
              </a:effectLst>
            </c:spPr>
          </c:dPt>
          <c:dPt>
            <c:idx val="3"/>
            <c:bubble3D val="0"/>
            <c:explosion val="0"/>
            <c:spPr>
              <a:gradFill>
                <a:gsLst>
                  <a:gs pos="0">
                    <a:schemeClr val="accent4">
                      <a:shade val="76667"/>
                      <a:lumMod val="40000"/>
                      <a:lumOff val="60000"/>
                    </a:schemeClr>
                  </a:gs>
                  <a:gs pos="90000">
                    <a:schemeClr val="accent4">
                      <a:shade val="76667"/>
                    </a:schemeClr>
                  </a:gs>
                </a:gsLst>
                <a:lin ang="5400000" scaled="0"/>
              </a:gradFill>
              <a:ln>
                <a:gradFill>
                  <a:gsLst>
                    <a:gs pos="0">
                      <a:schemeClr val="accent4">
                        <a:shade val="76667"/>
                      </a:schemeClr>
                    </a:gs>
                    <a:gs pos="100000">
                      <a:schemeClr val="accent4">
                        <a:shade val="76667"/>
                        <a:lumMod val="75000"/>
                      </a:schemeClr>
                    </a:gs>
                  </a:gsLst>
                  <a:lin ang="5400000" scaled="1"/>
                </a:gradFill>
              </a:ln>
              <a:effectLst>
                <a:outerShdw blurRad="76200" dist="25400" dir="2700000" algn="tl" rotWithShape="0">
                  <a:schemeClr val="accent4">
                    <a:shade val="76667"/>
                    <a:lumMod val="50000"/>
                    <a:alpha val="30000"/>
                  </a:schemeClr>
                </a:outerShdw>
              </a:effectLst>
            </c:spPr>
          </c:dPt>
          <c:dPt>
            <c:idx val="4"/>
            <c:bubble3D val="0"/>
            <c:explosion val="0"/>
            <c:spPr>
              <a:gradFill>
                <a:gsLst>
                  <a:gs pos="0">
                    <a:schemeClr val="accent5">
                      <a:shade val="76667"/>
                      <a:lumMod val="40000"/>
                      <a:lumOff val="60000"/>
                    </a:schemeClr>
                  </a:gs>
                  <a:gs pos="90000">
                    <a:schemeClr val="accent5">
                      <a:shade val="76667"/>
                    </a:schemeClr>
                  </a:gs>
                </a:gsLst>
                <a:lin ang="5400000" scaled="0"/>
              </a:gradFill>
              <a:ln>
                <a:gradFill>
                  <a:gsLst>
                    <a:gs pos="0">
                      <a:schemeClr val="accent5">
                        <a:shade val="76667"/>
                      </a:schemeClr>
                    </a:gs>
                    <a:gs pos="100000">
                      <a:schemeClr val="accent5">
                        <a:shade val="76667"/>
                        <a:lumMod val="75000"/>
                      </a:schemeClr>
                    </a:gs>
                  </a:gsLst>
                  <a:lin ang="5400000" scaled="1"/>
                </a:gradFill>
              </a:ln>
              <a:effectLst>
                <a:outerShdw blurRad="76200" dist="25400" dir="2700000" algn="tl" rotWithShape="0">
                  <a:schemeClr val="accent5">
                    <a:shade val="76667"/>
                    <a:lumMod val="50000"/>
                    <a:alpha val="30000"/>
                  </a:schemeClr>
                </a:outerShdw>
              </a:effectLst>
            </c:spPr>
          </c:dPt>
          <c:dPt>
            <c:idx val="5"/>
            <c:bubble3D val="0"/>
            <c:explosion val="0"/>
            <c:spPr>
              <a:gradFill>
                <a:gsLst>
                  <a:gs pos="0">
                    <a:schemeClr val="accent6">
                      <a:shade val="76667"/>
                      <a:lumMod val="40000"/>
                      <a:lumOff val="60000"/>
                    </a:schemeClr>
                  </a:gs>
                  <a:gs pos="90000">
                    <a:schemeClr val="accent6">
                      <a:shade val="76667"/>
                    </a:schemeClr>
                  </a:gs>
                </a:gsLst>
                <a:lin ang="5400000" scaled="0"/>
              </a:gradFill>
              <a:ln>
                <a:gradFill>
                  <a:gsLst>
                    <a:gs pos="0">
                      <a:schemeClr val="accent6">
                        <a:shade val="76667"/>
                      </a:schemeClr>
                    </a:gs>
                    <a:gs pos="100000">
                      <a:schemeClr val="accent6">
                        <a:shade val="76667"/>
                        <a:lumMod val="75000"/>
                      </a:schemeClr>
                    </a:gs>
                  </a:gsLst>
                  <a:lin ang="5400000" scaled="1"/>
                </a:gradFill>
              </a:ln>
              <a:effectLst>
                <a:outerShdw blurRad="76200" dist="25400" dir="2700000" algn="tl" rotWithShape="0">
                  <a:schemeClr val="accent6">
                    <a:shade val="76667"/>
                    <a:lumMod val="50000"/>
                    <a:alpha val="30000"/>
                  </a:schemeClr>
                </a:outerShdw>
              </a:effectLst>
            </c:spPr>
          </c:dPt>
          <c:dPt>
            <c:idx val="6"/>
            <c:bubble3D val="0"/>
            <c:explosion val="0"/>
            <c:spPr>
              <a:gradFill>
                <a:gsLst>
                  <a:gs pos="0">
                    <a:schemeClr val="accent1">
                      <a:tint val="76667"/>
                      <a:lumMod val="40000"/>
                      <a:lumOff val="60000"/>
                    </a:schemeClr>
                  </a:gs>
                  <a:gs pos="90000">
                    <a:schemeClr val="accent1">
                      <a:tint val="76667"/>
                    </a:schemeClr>
                  </a:gs>
                </a:gsLst>
                <a:lin ang="5400000" scaled="0"/>
              </a:gradFill>
              <a:ln>
                <a:gradFill>
                  <a:gsLst>
                    <a:gs pos="0">
                      <a:schemeClr val="accent1">
                        <a:tint val="76667"/>
                      </a:schemeClr>
                    </a:gs>
                    <a:gs pos="100000">
                      <a:schemeClr val="accent1">
                        <a:tint val="76667"/>
                        <a:lumMod val="75000"/>
                      </a:schemeClr>
                    </a:gs>
                  </a:gsLst>
                  <a:lin ang="5400000" scaled="1"/>
                </a:gradFill>
              </a:ln>
              <a:effectLst>
                <a:outerShdw blurRad="76200" dist="25400" dir="2700000" algn="tl" rotWithShape="0">
                  <a:schemeClr val="accent1">
                    <a:tint val="76667"/>
                    <a:lumMod val="50000"/>
                    <a:alpha val="30000"/>
                  </a:schemeClr>
                </a:outerShdw>
              </a:effectLst>
            </c:spPr>
          </c:dPt>
          <c:dPt>
            <c:idx val="7"/>
            <c:bubble3D val="0"/>
            <c:explosion val="0"/>
            <c:spPr>
              <a:gradFill>
                <a:gsLst>
                  <a:gs pos="0">
                    <a:schemeClr val="accent2">
                      <a:tint val="76667"/>
                      <a:lumMod val="40000"/>
                      <a:lumOff val="60000"/>
                    </a:schemeClr>
                  </a:gs>
                  <a:gs pos="90000">
                    <a:schemeClr val="accent2">
                      <a:tint val="76667"/>
                    </a:schemeClr>
                  </a:gs>
                </a:gsLst>
                <a:lin ang="5400000" scaled="0"/>
              </a:gradFill>
              <a:ln>
                <a:gradFill>
                  <a:gsLst>
                    <a:gs pos="0">
                      <a:schemeClr val="accent2">
                        <a:tint val="76667"/>
                      </a:schemeClr>
                    </a:gs>
                    <a:gs pos="100000">
                      <a:schemeClr val="accent2">
                        <a:tint val="76667"/>
                        <a:lumMod val="75000"/>
                      </a:schemeClr>
                    </a:gs>
                  </a:gsLst>
                  <a:lin ang="5400000" scaled="1"/>
                </a:gradFill>
              </a:ln>
              <a:effectLst>
                <a:outerShdw blurRad="76200" dist="25400" dir="2700000" algn="tl" rotWithShape="0">
                  <a:schemeClr val="accent2">
                    <a:tint val="76667"/>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(2).xls]Sheet1'!$A$4:$A$11</c:f>
              <c:strCache>
                <c:ptCount val="8"/>
                <c:pt idx="1">
                  <c:v>单位：万元</c:v>
                </c:pt>
                <c:pt idx="2">
                  <c:v>社会保障和就业支出</c:v>
                </c:pt>
                <c:pt idx="3">
                  <c:v>卫生健康支出</c:v>
                </c:pt>
                <c:pt idx="4">
                  <c:v>住房保障支出</c:v>
                </c:pt>
              </c:strCache>
            </c:strRef>
          </c:cat>
          <c:val>
            <c:numRef>
              <c:f>'[做图表 Microsoft Excel 97-2003 工作表 (2).xls]Sheet1'!$C$4:$C$11</c:f>
              <c:numCache>
                <c:formatCode>General</c:formatCode>
                <c:ptCount val="8"/>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三公经费财政拨款支出结构图</a:t>
            </a:r>
          </a:p>
        </c:rich>
      </c:tx>
      <c:layout/>
      <c:overlay val="0"/>
      <c:spPr>
        <a:noFill/>
        <a:ln>
          <a:noFill/>
        </a:ln>
        <a:effectLst/>
      </c:spPr>
    </c:title>
    <c:autoTitleDeleted val="0"/>
    <c:plotArea>
      <c:layout/>
      <c:pieChart>
        <c:varyColors val="1"/>
        <c:ser>
          <c:idx val="0"/>
          <c:order val="0"/>
          <c:spPr/>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'[做图表 Microsoft Excel 97-2003 工作表 (2).xls]Sheet1'!$A$168:$A$171</c:f>
              <c:strCache>
                <c:ptCount val="4"/>
                <c:pt idx="0">
                  <c:v>单位：万元</c:v>
                </c:pt>
                <c:pt idx="1">
                  <c:v>公务用车购置及运行维护</c:v>
                </c:pt>
                <c:pt idx="2">
                  <c:v>因公出国</c:v>
                </c:pt>
                <c:pt idx="3">
                  <c:v>公务接待费</c:v>
                </c:pt>
              </c:strCache>
            </c:strRef>
          </c:cat>
          <c:val>
            <c:numRef>
              <c:f>'[做图表 Microsoft Excel 97-2003 工作表 (2).xls]Sheet1'!$B$168:$B$171</c:f>
              <c:numCache>
                <c:formatCode>General</c:formatCode>
                <c:ptCount val="4"/>
                <c:pt idx="1">
                  <c:v>1.04</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1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528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2023-10-08T23:50:10Z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BE4E9461BF57440D9A95DF289CEE7AFB_12</vt:lpwstr>
  </property>
</Properties>
</file>