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contextualSpacing/>
        <w:rPr>
          <w:rFonts w:eastAsia="宋体"/>
          <w:b/>
          <w:sz w:val="44"/>
          <w:szCs w:val="44"/>
          <w:shd w:val="clear" w:color="auto" w:fill="FFFFFF"/>
        </w:rPr>
      </w:pPr>
      <w:bookmarkStart w:id="0" w:name="_GoBack"/>
      <w:bookmarkEnd w:id="0"/>
    </w:p>
    <w:p>
      <w:pPr>
        <w:widowControl/>
        <w:spacing w:line="580" w:lineRule="exact"/>
        <w:contextualSpacing/>
        <w:jc w:val="center"/>
        <w:rPr>
          <w:rFonts w:hint="eastAsia" w:eastAsia="宋体"/>
          <w:b/>
          <w:sz w:val="44"/>
          <w:szCs w:val="44"/>
          <w:shd w:val="clear" w:color="auto" w:fill="FFFFFF"/>
          <w:lang w:eastAsia="zh-CN"/>
        </w:rPr>
      </w:pPr>
      <w:r>
        <w:rPr>
          <w:rFonts w:hint="eastAsia" w:eastAsia="宋体"/>
          <w:b/>
          <w:sz w:val="44"/>
          <w:szCs w:val="44"/>
          <w:shd w:val="clear" w:color="auto" w:fill="FFFFFF"/>
          <w:lang w:eastAsia="zh-CN"/>
        </w:rPr>
        <w:t>仁和区卫生健康局</w:t>
      </w:r>
    </w:p>
    <w:p>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202</w:t>
      </w:r>
      <w:r>
        <w:rPr>
          <w:rFonts w:hint="eastAsia" w:eastAsia="宋体"/>
          <w:b/>
          <w:sz w:val="44"/>
          <w:szCs w:val="44"/>
          <w:shd w:val="clear" w:color="auto" w:fill="FFFFFF"/>
          <w:lang w:val="en-US" w:eastAsia="zh-CN"/>
        </w:rPr>
        <w:t>2</w:t>
      </w:r>
      <w:r>
        <w:rPr>
          <w:rFonts w:eastAsia="宋体"/>
          <w:b/>
          <w:sz w:val="44"/>
          <w:szCs w:val="44"/>
          <w:shd w:val="clear" w:color="auto" w:fill="FFFFFF"/>
        </w:rPr>
        <w:t>年部门整体支出绩效</w:t>
      </w:r>
      <w:r>
        <w:rPr>
          <w:rFonts w:hint="eastAsia" w:eastAsia="宋体"/>
          <w:b/>
          <w:sz w:val="44"/>
          <w:szCs w:val="44"/>
          <w:shd w:val="clear" w:color="auto" w:fill="FFFFFF"/>
          <w:lang w:eastAsia="zh-CN"/>
        </w:rPr>
        <w:t>自评</w:t>
      </w:r>
      <w:r>
        <w:rPr>
          <w:rFonts w:eastAsia="宋体"/>
          <w:b/>
          <w:sz w:val="44"/>
          <w:szCs w:val="44"/>
          <w:shd w:val="clear" w:color="auto" w:fill="FFFFFF"/>
        </w:rPr>
        <w:t>报告</w:t>
      </w:r>
    </w:p>
    <w:p>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部门（单位）概况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eastAsia="仿宋_GB2312"/>
          <w:color w:val="000000"/>
          <w:kern w:val="0"/>
          <w:szCs w:val="32"/>
          <w:shd w:val="clear" w:color="auto" w:fill="FFFFFF"/>
          <w:lang w:val="en-US" w:eastAsia="zh-CN"/>
        </w:rPr>
      </w:pPr>
      <w:r>
        <w:rPr>
          <w:rFonts w:hint="eastAsia"/>
          <w:color w:val="000000"/>
          <w:kern w:val="0"/>
          <w:szCs w:val="32"/>
          <w:shd w:val="clear" w:color="auto" w:fill="FFFFFF"/>
          <w:lang w:val="zh-CN"/>
        </w:rPr>
        <w:t>攀枝花市仁和区卫生健康属于全额拨款行政单位，一级预算单位，执行政府会计准则制度。本单位内设</w:t>
      </w:r>
      <w:r>
        <w:rPr>
          <w:rFonts w:hint="eastAsia"/>
          <w:color w:val="000000"/>
          <w:kern w:val="0"/>
          <w:szCs w:val="32"/>
          <w:shd w:val="clear" w:color="auto" w:fill="FFFFFF"/>
          <w:lang w:val="en-US" w:eastAsia="zh-CN"/>
        </w:rPr>
        <w:t>7个股室，分别为：办公室、人事与科教股、规划与财务股、医政医管与卫生应急股、基层卫生与疾病防控股、人口健康与妇幼保健股、爱卫办。</w:t>
      </w:r>
    </w:p>
    <w:p>
      <w:pPr>
        <w:widowControl/>
        <w:numPr>
          <w:ilvl w:val="0"/>
          <w:numId w:val="1"/>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机构职能。</w:t>
      </w:r>
    </w:p>
    <w:p>
      <w:pPr>
        <w:widowControl/>
        <w:numPr>
          <w:ilvl w:val="0"/>
          <w:numId w:val="2"/>
        </w:numPr>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组织拟订全区卫生健康政策。</w:t>
      </w:r>
    </w:p>
    <w:p>
      <w:pPr>
        <w:widowControl/>
        <w:numPr>
          <w:ilvl w:val="0"/>
          <w:numId w:val="2"/>
        </w:numPr>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rPr>
        <w:t>牵头推进全区深化医药卫生体制改革。</w:t>
      </w:r>
    </w:p>
    <w:p>
      <w:pPr>
        <w:widowControl/>
        <w:numPr>
          <w:ilvl w:val="0"/>
          <w:numId w:val="2"/>
        </w:numPr>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rPr>
        <w:t>组织制定并落实全区疾病预防控制规划、免疫规划以及严重危害人民健康的艾滋病等重大传染病、寄生虫病、地方病等公共卫生问题的干预措施。</w:t>
      </w:r>
    </w:p>
    <w:p>
      <w:pPr>
        <w:widowControl/>
        <w:numPr>
          <w:ilvl w:val="0"/>
          <w:numId w:val="2"/>
        </w:numPr>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rPr>
        <w:t>贯彻落实国家应对人口老龄化政策措施。</w:t>
      </w:r>
    </w:p>
    <w:p>
      <w:pPr>
        <w:widowControl/>
        <w:numPr>
          <w:ilvl w:val="0"/>
          <w:numId w:val="2"/>
        </w:numPr>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rPr>
        <w:t>贯彻落实国家药物政策和国家基本药物制度。</w:t>
      </w:r>
    </w:p>
    <w:p>
      <w:pPr>
        <w:pStyle w:val="18"/>
        <w:autoSpaceDE w:val="0"/>
        <w:spacing w:line="576"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组织实施食品安全风险监测，开展食品安全企业标准备案，组织开展食品安全事故流行病学调查。</w:t>
      </w:r>
    </w:p>
    <w:p>
      <w:pPr>
        <w:widowControl/>
        <w:numPr>
          <w:ilvl w:val="0"/>
          <w:numId w:val="0"/>
        </w:numPr>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val="zh-CN"/>
        </w:rPr>
        <w:t>）</w:t>
      </w:r>
      <w:r>
        <w:rPr>
          <w:rFonts w:hint="eastAsia" w:ascii="仿宋" w:hAnsi="仿宋" w:eastAsia="仿宋" w:cs="仿宋"/>
          <w:sz w:val="32"/>
          <w:szCs w:val="32"/>
        </w:rPr>
        <w:t>负责职责范围内的职业卫生、放射卫生、环境卫生、学校卫生、公共场所卫生、饮用水卫生等公共卫生的监督管理。</w:t>
      </w:r>
    </w:p>
    <w:p>
      <w:pPr>
        <w:widowControl/>
        <w:numPr>
          <w:ilvl w:val="0"/>
          <w:numId w:val="0"/>
        </w:numPr>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制定全区医疗机构、医疗服务行业管理办法并监督实施，建立医疗服务评价和监督管理体系。</w:t>
      </w:r>
    </w:p>
    <w:p>
      <w:pPr>
        <w:pStyle w:val="18"/>
        <w:autoSpaceDE w:val="0"/>
        <w:spacing w:line="576"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制定全区中医药中长期发展规划，并纳入卫生健康事业发展总体规划和战略目标予以组织实施。</w:t>
      </w:r>
    </w:p>
    <w:p>
      <w:pPr>
        <w:pStyle w:val="18"/>
        <w:autoSpaceDE w:val="0"/>
        <w:spacing w:line="576"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10</w:t>
      </w:r>
      <w:r>
        <w:rPr>
          <w:rFonts w:hint="eastAsia" w:ascii="仿宋" w:hAnsi="仿宋" w:eastAsia="仿宋" w:cs="仿宋"/>
          <w:sz w:val="32"/>
          <w:szCs w:val="32"/>
          <w:lang w:eastAsia="zh-CN"/>
        </w:rPr>
        <w:t>）</w:t>
      </w:r>
      <w:r>
        <w:rPr>
          <w:rFonts w:hint="eastAsia" w:ascii="仿宋" w:hAnsi="仿宋" w:eastAsia="仿宋" w:cs="仿宋"/>
          <w:sz w:val="32"/>
          <w:szCs w:val="32"/>
        </w:rPr>
        <w:t>负责全区计划生育管理和服务工作，开展人口监测预警，研究提出人口与家庭发展相关政策建议，执行计划生育政策。指导区计划生育协会的业务工作。</w:t>
      </w:r>
    </w:p>
    <w:p>
      <w:pPr>
        <w:pStyle w:val="18"/>
        <w:autoSpaceDE w:val="0"/>
        <w:spacing w:line="576"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11</w:t>
      </w:r>
      <w:r>
        <w:rPr>
          <w:rFonts w:hint="eastAsia" w:ascii="仿宋" w:hAnsi="仿宋" w:eastAsia="仿宋" w:cs="仿宋"/>
          <w:sz w:val="32"/>
          <w:szCs w:val="32"/>
          <w:lang w:eastAsia="zh-CN"/>
        </w:rPr>
        <w:t>）</w:t>
      </w:r>
      <w:r>
        <w:rPr>
          <w:rFonts w:hint="eastAsia" w:ascii="仿宋" w:hAnsi="仿宋" w:eastAsia="仿宋" w:cs="仿宋"/>
          <w:sz w:val="32"/>
          <w:szCs w:val="32"/>
        </w:rPr>
        <w:t>指导乡（镇）、街办卫生健康工作。指导基层医疗卫生、妇幼健康服务体系和基层卫生队伍建设。推进卫生健康科技创新发展。</w:t>
      </w:r>
    </w:p>
    <w:p>
      <w:pPr>
        <w:pStyle w:val="18"/>
        <w:autoSpaceDE w:val="0"/>
        <w:spacing w:line="576"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12</w:t>
      </w:r>
      <w:r>
        <w:rPr>
          <w:rFonts w:hint="eastAsia" w:ascii="仿宋" w:hAnsi="仿宋" w:eastAsia="仿宋" w:cs="仿宋"/>
          <w:sz w:val="32"/>
          <w:szCs w:val="32"/>
          <w:lang w:eastAsia="zh-CN"/>
        </w:rPr>
        <w:t>）</w:t>
      </w:r>
      <w:r>
        <w:rPr>
          <w:rFonts w:hint="eastAsia" w:ascii="仿宋" w:hAnsi="仿宋" w:eastAsia="仿宋" w:cs="仿宋"/>
          <w:sz w:val="32"/>
          <w:szCs w:val="32"/>
        </w:rPr>
        <w:t>负责区确定的保健对象的医疗保健工作，负责区有关部门（单位）离休干部医疗管理工作。负责重要会议与重大活动的医疗卫生保障工作。</w:t>
      </w:r>
    </w:p>
    <w:p>
      <w:pPr>
        <w:pStyle w:val="18"/>
        <w:autoSpaceDE w:val="0"/>
        <w:spacing w:line="576"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13</w:t>
      </w:r>
      <w:r>
        <w:rPr>
          <w:rFonts w:hint="eastAsia" w:ascii="仿宋" w:hAnsi="仿宋" w:eastAsia="仿宋" w:cs="仿宋"/>
          <w:sz w:val="32"/>
          <w:szCs w:val="32"/>
          <w:lang w:eastAsia="zh-CN"/>
        </w:rPr>
        <w:t>）</w:t>
      </w:r>
      <w:r>
        <w:rPr>
          <w:rFonts w:hint="eastAsia" w:ascii="仿宋" w:hAnsi="仿宋" w:eastAsia="仿宋" w:cs="仿宋"/>
          <w:sz w:val="32"/>
          <w:szCs w:val="32"/>
        </w:rPr>
        <w:t>依法依规履行职责范围内的职业健康、安全生产、生态环境保护等工作。</w:t>
      </w:r>
    </w:p>
    <w:p>
      <w:pPr>
        <w:pStyle w:val="18"/>
        <w:autoSpaceDE w:val="0"/>
        <w:spacing w:line="576"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14</w:t>
      </w:r>
      <w:r>
        <w:rPr>
          <w:rFonts w:hint="eastAsia" w:ascii="仿宋" w:hAnsi="仿宋" w:eastAsia="仿宋" w:cs="仿宋"/>
          <w:sz w:val="32"/>
          <w:szCs w:val="32"/>
          <w:lang w:eastAsia="zh-CN"/>
        </w:rPr>
        <w:t>）</w:t>
      </w:r>
      <w:r>
        <w:rPr>
          <w:rFonts w:hint="eastAsia" w:ascii="仿宋" w:hAnsi="仿宋" w:eastAsia="仿宋" w:cs="仿宋"/>
          <w:sz w:val="32"/>
          <w:szCs w:val="32"/>
        </w:rPr>
        <w:t>负责卫生健康、人口有关法律法规和政策措施的落实，监督管理完善执法体系、规范行政执法行为、依法依规查处本行业违法行为。</w:t>
      </w:r>
    </w:p>
    <w:p>
      <w:pPr>
        <w:pStyle w:val="18"/>
        <w:autoSpaceDE w:val="0"/>
        <w:spacing w:line="576"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15</w:t>
      </w:r>
      <w:r>
        <w:rPr>
          <w:rFonts w:hint="eastAsia" w:ascii="仿宋" w:hAnsi="仿宋" w:eastAsia="仿宋" w:cs="仿宋"/>
          <w:sz w:val="32"/>
          <w:szCs w:val="32"/>
          <w:lang w:val="en-US" w:eastAsia="zh-CN"/>
        </w:rPr>
        <w:t>)</w:t>
      </w:r>
      <w:r>
        <w:rPr>
          <w:rFonts w:hint="eastAsia" w:ascii="仿宋" w:hAnsi="仿宋" w:eastAsia="仿宋" w:cs="仿宋"/>
          <w:sz w:val="32"/>
          <w:szCs w:val="32"/>
        </w:rPr>
        <w:t>负责审批服务便民化工作，按照省、市要求，指导推进相对集中行政许可权改革。</w:t>
      </w:r>
    </w:p>
    <w:p>
      <w:pPr>
        <w:pStyle w:val="18"/>
        <w:autoSpaceDE w:val="0"/>
        <w:spacing w:line="576"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16</w:t>
      </w:r>
      <w:r>
        <w:rPr>
          <w:rFonts w:hint="eastAsia" w:ascii="仿宋" w:hAnsi="仿宋" w:eastAsia="仿宋" w:cs="仿宋"/>
          <w:sz w:val="32"/>
          <w:szCs w:val="32"/>
          <w:lang w:val="en-US" w:eastAsia="zh-CN"/>
        </w:rPr>
        <w:t>)</w:t>
      </w:r>
      <w:r>
        <w:rPr>
          <w:rFonts w:hint="eastAsia" w:ascii="仿宋" w:hAnsi="仿宋" w:eastAsia="仿宋" w:cs="仿宋"/>
          <w:sz w:val="32"/>
          <w:szCs w:val="32"/>
        </w:rPr>
        <w:t>完成区委、区政府交办的其它任务。</w:t>
      </w:r>
    </w:p>
    <w:p>
      <w:pPr>
        <w:pStyle w:val="18"/>
        <w:autoSpaceDE w:val="0"/>
        <w:snapToGrid w:val="0"/>
        <w:spacing w:line="576" w:lineRule="exact"/>
        <w:ind w:firstLine="643" w:firstLineChars="200"/>
        <w:rPr>
          <w:b/>
          <w:bCs/>
          <w:color w:val="000000"/>
          <w:kern w:val="0"/>
          <w:szCs w:val="32"/>
          <w:shd w:val="clear" w:color="auto" w:fill="FFFFFF"/>
          <w:lang w:val="zh-CN"/>
        </w:rPr>
      </w:pPr>
      <w:r>
        <w:rPr>
          <w:b/>
          <w:bCs/>
          <w:color w:val="000000"/>
          <w:kern w:val="0"/>
          <w:szCs w:val="32"/>
          <w:shd w:val="clear" w:color="auto" w:fill="FFFFFF"/>
          <w:lang w:val="zh-CN"/>
        </w:rPr>
        <w:t>（三）人员概况。</w:t>
      </w:r>
    </w:p>
    <w:p>
      <w:pPr>
        <w:pStyle w:val="18"/>
        <w:autoSpaceDE w:val="0"/>
        <w:snapToGrid w:val="0"/>
        <w:spacing w:line="576" w:lineRule="exact"/>
        <w:ind w:firstLine="640" w:firstLineChars="200"/>
        <w:rPr>
          <w:rFonts w:hint="default" w:ascii="仿宋_GB2312" w:hAnsi="仿宋" w:eastAsia="仿宋_GB2312"/>
          <w:sz w:val="32"/>
          <w:szCs w:val="32"/>
          <w:lang w:val="en-US"/>
        </w:rPr>
      </w:pPr>
      <w:r>
        <w:rPr>
          <w:rFonts w:hint="eastAsia" w:ascii="仿宋" w:hAnsi="仿宋" w:eastAsia="仿宋" w:cs="仿宋"/>
          <w:sz w:val="32"/>
          <w:szCs w:val="32"/>
        </w:rPr>
        <w:t>区卫生健康局机关行政编制17名</w:t>
      </w:r>
      <w:r>
        <w:rPr>
          <w:rFonts w:hint="eastAsia" w:ascii="仿宋" w:hAnsi="仿宋" w:eastAsia="仿宋" w:cs="仿宋"/>
          <w:sz w:val="32"/>
          <w:szCs w:val="32"/>
          <w:lang w:val="en-US" w:eastAsia="zh-CN"/>
        </w:rPr>
        <w:t>,实有在编人员18名（含区纪检监察派驻组人员1名）；机关参公编制2名，实有人员0；</w:t>
      </w:r>
      <w:r>
        <w:rPr>
          <w:rFonts w:hint="eastAsia" w:ascii="仿宋" w:hAnsi="仿宋" w:eastAsia="仿宋" w:cs="仿宋"/>
          <w:sz w:val="32"/>
          <w:szCs w:val="32"/>
        </w:rPr>
        <w:t>机关后勤服务人员</w:t>
      </w:r>
      <w:r>
        <w:rPr>
          <w:rFonts w:hint="eastAsia" w:ascii="仿宋" w:hAnsi="仿宋" w:eastAsia="仿宋" w:cs="仿宋"/>
          <w:sz w:val="32"/>
          <w:szCs w:val="32"/>
          <w:lang w:eastAsia="zh-CN"/>
        </w:rPr>
        <w:t>编制</w:t>
      </w:r>
      <w:r>
        <w:rPr>
          <w:rFonts w:hint="eastAsia" w:ascii="仿宋" w:hAnsi="仿宋" w:eastAsia="仿宋" w:cs="仿宋"/>
          <w:sz w:val="32"/>
          <w:szCs w:val="32"/>
        </w:rPr>
        <w:t>3名</w:t>
      </w:r>
      <w:r>
        <w:rPr>
          <w:rFonts w:hint="eastAsia" w:ascii="仿宋" w:hAnsi="仿宋" w:eastAsia="仿宋" w:cs="仿宋"/>
          <w:sz w:val="32"/>
          <w:szCs w:val="32"/>
          <w:lang w:eastAsia="zh-CN"/>
        </w:rPr>
        <w:t>，实有人员</w:t>
      </w:r>
      <w:r>
        <w:rPr>
          <w:rFonts w:hint="eastAsia" w:ascii="仿宋" w:hAnsi="仿宋" w:eastAsia="仿宋" w:cs="仿宋"/>
          <w:sz w:val="32"/>
          <w:szCs w:val="32"/>
          <w:lang w:val="en-US" w:eastAsia="zh-CN"/>
        </w:rPr>
        <w:t>1名；事业编制人员3名，实有人员3名；</w:t>
      </w:r>
      <w:r>
        <w:rPr>
          <w:rFonts w:hint="eastAsia" w:ascii="仿宋" w:hAnsi="仿宋" w:eastAsia="仿宋" w:cs="仿宋"/>
          <w:sz w:val="32"/>
          <w:szCs w:val="32"/>
          <w:lang w:eastAsia="zh-CN"/>
        </w:rPr>
        <w:t>离退休人员</w:t>
      </w:r>
      <w:r>
        <w:rPr>
          <w:rFonts w:hint="eastAsia" w:ascii="仿宋" w:hAnsi="仿宋" w:eastAsia="仿宋" w:cs="仿宋"/>
          <w:sz w:val="32"/>
          <w:szCs w:val="32"/>
          <w:lang w:val="en-US" w:eastAsia="zh-CN"/>
        </w:rPr>
        <w:t>23名；事业编内聘用人员1名，劳务派遣人员2名。</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pPr>
        <w:widowControl/>
        <w:adjustRightInd w:val="0"/>
        <w:snapToGrid w:val="0"/>
        <w:spacing w:line="580" w:lineRule="exact"/>
        <w:ind w:firstLine="643" w:firstLineChars="200"/>
        <w:contextualSpacing/>
        <w:jc w:val="left"/>
        <w:rPr>
          <w:b/>
          <w:bCs/>
          <w:color w:val="000000"/>
          <w:kern w:val="0"/>
          <w:szCs w:val="32"/>
          <w:shd w:val="clear" w:color="auto" w:fill="FFFFFF"/>
          <w:lang w:val="zh-CN"/>
        </w:rPr>
      </w:pPr>
      <w:r>
        <w:rPr>
          <w:b/>
          <w:bCs/>
          <w:color w:val="000000"/>
          <w:kern w:val="0"/>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default" w:eastAsia="仿宋_GB2312"/>
          <w:color w:val="000000"/>
          <w:kern w:val="0"/>
          <w:szCs w:val="32"/>
          <w:shd w:val="clear" w:color="auto" w:fill="FFFFFF"/>
          <w:lang w:val="en-US" w:eastAsia="zh-CN"/>
        </w:rPr>
      </w:pPr>
      <w:r>
        <w:rPr>
          <w:rFonts w:hint="eastAsia"/>
          <w:color w:val="000000"/>
          <w:kern w:val="0"/>
          <w:szCs w:val="32"/>
          <w:shd w:val="clear" w:color="auto" w:fill="FFFFFF"/>
          <w:lang w:val="en-US" w:eastAsia="zh-CN"/>
        </w:rPr>
        <w:t>2022年，区卫生健康局收到财政拨款3194.99万元，其中基本支出拨款529.88万元（年中追加11.55万元），项目经费拨款2665.11万元，其中年初预算926万元，调减指标200.46万元至仁和区基层医疗卫生机构使用，年中追加区级项目经费1459.32万元，收到上级专项经费862.11万元，年终财政收回指标381.88万元。</w:t>
      </w:r>
    </w:p>
    <w:p>
      <w:pPr>
        <w:widowControl/>
        <w:numPr>
          <w:ilvl w:val="0"/>
          <w:numId w:val="0"/>
        </w:numPr>
        <w:adjustRightInd w:val="0"/>
        <w:snapToGrid w:val="0"/>
        <w:spacing w:line="580" w:lineRule="exact"/>
        <w:ind w:left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（二）</w:t>
      </w:r>
      <w:r>
        <w:rPr>
          <w:color w:val="000000"/>
          <w:kern w:val="0"/>
          <w:szCs w:val="32"/>
          <w:shd w:val="clear" w:color="auto" w:fill="FFFFFF"/>
          <w:lang w:val="zh-CN"/>
        </w:rPr>
        <w:t>部门财政资金支出情况。</w:t>
      </w:r>
    </w:p>
    <w:p>
      <w:pPr>
        <w:widowControl/>
        <w:numPr>
          <w:ilvl w:val="0"/>
          <w:numId w:val="0"/>
        </w:numPr>
        <w:adjustRightInd w:val="0"/>
        <w:snapToGrid w:val="0"/>
        <w:spacing w:line="580" w:lineRule="exact"/>
        <w:ind w:firstLine="640" w:firstLineChars="200"/>
        <w:contextualSpacing/>
        <w:jc w:val="left"/>
        <w:rPr>
          <w:rFonts w:hint="default" w:eastAsia="仿宋_GB2312"/>
          <w:color w:val="000000"/>
          <w:kern w:val="0"/>
          <w:szCs w:val="32"/>
          <w:shd w:val="clear" w:color="auto" w:fill="FFFFFF"/>
          <w:lang w:val="en-US" w:eastAsia="zh-CN"/>
        </w:rPr>
      </w:pPr>
      <w:r>
        <w:rPr>
          <w:rFonts w:hint="eastAsia"/>
          <w:color w:val="000000"/>
          <w:kern w:val="0"/>
          <w:szCs w:val="32"/>
          <w:shd w:val="clear" w:color="auto" w:fill="FFFFFF"/>
          <w:lang w:val="en-US" w:eastAsia="zh-CN"/>
        </w:rPr>
        <w:t>2022年，区卫生健康局财政资金支出3194.99万元，其中基本支出529.88万元（其中人员经费501.75万元，公用经费28.13万元），项目支出2665.11万元，其中区级项目经费支出1834.55万元，上级财政资金项目支出830.56万元。</w:t>
      </w:r>
    </w:p>
    <w:p>
      <w:pPr>
        <w:widowControl/>
        <w:numPr>
          <w:ilvl w:val="0"/>
          <w:numId w:val="3"/>
        </w:numPr>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部门整体预算绩效管理情况</w:t>
      </w:r>
    </w:p>
    <w:p>
      <w:pPr>
        <w:widowControl/>
        <w:numPr>
          <w:ilvl w:val="0"/>
          <w:numId w:val="0"/>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（一）部门预算项目绩效管理。</w:t>
      </w:r>
    </w:p>
    <w:p>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仁和区卫生健康局按要求编制了2022年部门预算，含基本支出预算和项目支出预算，基本支出含人员经费和公用经费；部门预算项目支出编制特定目标类项目24个，其中50万元以上项目6个，基金类项目3个；作为卫生系统主管部门，8个项目由区卫生健康局编制，预算批复后调整至各基层医疗卫生机构执行。具体情况如下：</w:t>
      </w:r>
    </w:p>
    <w:p>
      <w:pPr>
        <w:widowControl/>
        <w:numPr>
          <w:ilvl w:val="0"/>
          <w:numId w:val="0"/>
        </w:numPr>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1.人员类。人员类经费预算462.27万元，实际使用501.75万元，追加使用金额39.49万元，主要原因为人员增资。</w:t>
      </w:r>
    </w:p>
    <w:p>
      <w:pPr>
        <w:widowControl/>
        <w:numPr>
          <w:ilvl w:val="0"/>
          <w:numId w:val="0"/>
        </w:numPr>
        <w:adjustRightInd w:val="0"/>
        <w:snapToGrid w:val="0"/>
        <w:spacing w:line="580" w:lineRule="exact"/>
        <w:ind w:firstLine="64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2.运转类。公用经费预算56.07万元，实际使用28.13万元，主要原因为一是厉行勤俭节约，压减开支；二是部份录入的支付计划，因财政资金困难未支付。</w:t>
      </w:r>
    </w:p>
    <w:p>
      <w:pPr>
        <w:widowControl/>
        <w:numPr>
          <w:ilvl w:val="0"/>
          <w:numId w:val="0"/>
        </w:numPr>
        <w:adjustRightInd w:val="0"/>
        <w:snapToGrid w:val="0"/>
        <w:spacing w:line="580" w:lineRule="exact"/>
        <w:ind w:firstLine="64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3.特定目标类。2022年项目预算24个，金额926万元，年中追加区级项目6个，金额为1459.32万元，2022年使用区级项目经费1834.55元，调整至各基层医疗卫生机构使用200.46万元；收到上级专项拨款862.11万元，2022年使用上级资金830.56万元，主要为计划生育服务项目。</w:t>
      </w:r>
    </w:p>
    <w:p>
      <w:pPr>
        <w:widowControl/>
        <w:numPr>
          <w:ilvl w:val="0"/>
          <w:numId w:val="0"/>
        </w:numPr>
        <w:adjustRightInd w:val="0"/>
        <w:snapToGrid w:val="0"/>
        <w:spacing w:line="580" w:lineRule="exact"/>
        <w:ind w:firstLine="640"/>
        <w:contextualSpacing/>
        <w:jc w:val="left"/>
        <w:rPr>
          <w:rFonts w:hint="default"/>
          <w:color w:val="000000"/>
          <w:kern w:val="0"/>
          <w:szCs w:val="32"/>
          <w:shd w:val="clear" w:color="auto" w:fill="FFFFFF"/>
          <w:lang w:val="en-US" w:eastAsia="zh-CN"/>
        </w:rPr>
      </w:pPr>
      <w:r>
        <w:rPr>
          <w:rFonts w:hint="eastAsia"/>
          <w:color w:val="000000"/>
          <w:kern w:val="0"/>
          <w:szCs w:val="32"/>
          <w:shd w:val="clear" w:color="auto" w:fill="FFFFFF"/>
          <w:lang w:val="en-US" w:eastAsia="zh-CN"/>
        </w:rPr>
        <w:t>2022年，仁和区卫生健康局紧紧围绕各项中心工作，突出重点，统筹兼顾，全面深化医药卫生体制改革，切实做好卫生健康工作，圆满完成各项工作任务，达到年初预算各项目既定绩效目标。但也存在因财政资金保障困难，部分项目资金执行率低、个别项目未执行等问题。</w:t>
      </w:r>
    </w:p>
    <w:p>
      <w:pPr>
        <w:widowControl/>
        <w:numPr>
          <w:ilvl w:val="0"/>
          <w:numId w:val="0"/>
        </w:numPr>
        <w:adjustRightInd w:val="0"/>
        <w:snapToGrid w:val="0"/>
        <w:spacing w:line="580" w:lineRule="exact"/>
        <w:ind w:left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（二）</w:t>
      </w:r>
      <w:r>
        <w:rPr>
          <w:color w:val="000000"/>
          <w:kern w:val="0"/>
          <w:szCs w:val="32"/>
          <w:shd w:val="clear" w:color="auto" w:fill="FFFFFF"/>
          <w:lang w:val="zh-CN"/>
        </w:rPr>
        <w:t>结果应用情况。</w:t>
      </w:r>
    </w:p>
    <w:p>
      <w:pPr>
        <w:pStyle w:val="4"/>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color w:val="000000"/>
          <w:kern w:val="0"/>
          <w:szCs w:val="32"/>
          <w:shd w:val="clear" w:color="auto" w:fill="FFFFFF"/>
          <w:lang w:val="en-US" w:eastAsia="zh-CN"/>
        </w:rPr>
        <w:t>2022年10月，仁和区卫生健康局按区财政要求开展了1次</w:t>
      </w:r>
      <w:r>
        <w:rPr>
          <w:rFonts w:hint="eastAsia" w:ascii="仿宋" w:hAnsi="仿宋" w:eastAsia="仿宋" w:cs="Courier New"/>
          <w:sz w:val="32"/>
          <w:szCs w:val="32"/>
          <w:lang w:val="en-US" w:eastAsia="zh-CN"/>
        </w:rPr>
        <w:t>2022年部门年初预算资金、追加的各级财政转金和上年度结余结转资金的预算执行情况、预算调整情况、绩效目标完成情况及实现情况全面开展了绩效监控，对存在问题提出整改措施及建议。本次绩效自评，由财务股牵头推动，各项目主管股室及相关项目牵头、执行单位相互协作配合，对照项目绩效目标及实施方案，按照部门整体支出绩效评价体系和专项预算项目支出绩效评价指标体系内容，进行了严格认真自评，得出自评得分。对绩效自评中发现的问题，将落实责任，确保整改到位。本次自评结果及自评报告（含部门整体支出绩效评价报告和专项预算项目支出绩效自评报告）在规定时间内在仁和区政府门户网站进行公开公示，公开信息真实、完整、准确。</w:t>
      </w:r>
      <w:r>
        <w:rPr>
          <w:rFonts w:hint="eastAsia" w:ascii="仿宋_GB2312" w:hAnsi="仿宋_GB2312" w:eastAsia="仿宋_GB2312" w:cs="仿宋_GB2312"/>
          <w:sz w:val="32"/>
          <w:szCs w:val="32"/>
          <w:lang w:val="en-US" w:eastAsia="zh-CN"/>
        </w:rPr>
        <w:t>评价结果将作为预算安排的重要依据，参照项目年度预算执行情况及项目支出需求，将保障重点支出，调整支出结构，优化财政资金配置，不断强化绩效理念，推动绩效管理水平不断提高。</w:t>
      </w:r>
    </w:p>
    <w:p>
      <w:pPr>
        <w:widowControl/>
        <w:numPr>
          <w:ilvl w:val="0"/>
          <w:numId w:val="4"/>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自评质量</w:t>
      </w:r>
      <w:r>
        <w:rPr>
          <w:rFonts w:hint="eastAsia"/>
          <w:color w:val="000000"/>
          <w:kern w:val="0"/>
          <w:szCs w:val="32"/>
          <w:shd w:val="clear" w:color="auto" w:fill="FFFFFF"/>
          <w:lang w:val="zh-CN"/>
        </w:rPr>
        <w:t>。</w:t>
      </w:r>
    </w:p>
    <w:p>
      <w:pPr>
        <w:widowControl/>
        <w:adjustRightInd w:val="0"/>
        <w:snapToGrid w:val="0"/>
        <w:spacing w:line="580" w:lineRule="exact"/>
        <w:contextualSpacing/>
        <w:jc w:val="left"/>
        <w:rPr>
          <w:rFonts w:hint="default" w:eastAsia="仿宋_GB2312"/>
          <w:color w:val="000000"/>
          <w:kern w:val="0"/>
          <w:szCs w:val="32"/>
          <w:shd w:val="clear" w:color="auto" w:fill="FFFFFF"/>
          <w:lang w:val="en-US" w:eastAsia="zh-CN"/>
        </w:rPr>
      </w:pPr>
      <w:r>
        <w:rPr>
          <w:color w:val="000000"/>
          <w:kern w:val="0"/>
          <w:szCs w:val="32"/>
          <w:shd w:val="clear" w:color="auto" w:fill="FFFFFF"/>
        </w:rPr>
        <w:t xml:space="preserve">    </w:t>
      </w:r>
      <w:r>
        <w:rPr>
          <w:rFonts w:hint="eastAsia"/>
          <w:color w:val="000000"/>
          <w:kern w:val="0"/>
          <w:szCs w:val="32"/>
          <w:shd w:val="clear" w:color="auto" w:fill="FFFFFF"/>
          <w:lang w:eastAsia="zh-CN"/>
        </w:rPr>
        <w:t>仁和区卫生健康局在</w:t>
      </w:r>
      <w:r>
        <w:rPr>
          <w:rFonts w:hint="eastAsia"/>
          <w:color w:val="000000"/>
          <w:kern w:val="0"/>
          <w:szCs w:val="32"/>
          <w:shd w:val="clear" w:color="auto" w:fill="FFFFFF"/>
          <w:lang w:val="en-US" w:eastAsia="zh-CN"/>
        </w:rPr>
        <w:t>2022年年度绩效自评中，认真落实预算绩效评价主体责任，</w:t>
      </w:r>
      <w:r>
        <w:rPr>
          <w:rFonts w:hint="eastAsia" w:ascii="仿宋_GB2312" w:hAnsi="仿宋_GB2312" w:eastAsia="仿宋_GB2312" w:cs="仿宋_GB2312"/>
          <w:kern w:val="2"/>
          <w:sz w:val="32"/>
          <w:szCs w:val="32"/>
          <w:lang w:val="en-US" w:eastAsia="zh-CN" w:bidi="ar-SA"/>
        </w:rPr>
        <w:t>对 50 万元（ 含） 以上的特定目标类部门预算项目绩效目标完成情况进行自</w:t>
      </w:r>
      <w:r>
        <w:rPr>
          <w:rStyle w:val="19"/>
        </w:rPr>
        <w:t>评</w:t>
      </w:r>
      <w:r>
        <w:rPr>
          <w:rStyle w:val="19"/>
          <w:rFonts w:hint="eastAsia" w:eastAsia="仿宋_GB2312"/>
          <w:lang w:eastAsia="zh-CN"/>
        </w:rPr>
        <w:t>，</w:t>
      </w:r>
      <w:r>
        <w:rPr>
          <w:rFonts w:hint="eastAsia"/>
          <w:color w:val="000000"/>
          <w:kern w:val="0"/>
          <w:szCs w:val="32"/>
          <w:shd w:val="clear" w:color="auto" w:fill="FFFFFF"/>
          <w:lang w:val="en-US" w:eastAsia="zh-CN"/>
        </w:rPr>
        <w:t>对包括直达资金在内的所有专项项目开展绩效自评，实现专项项目自评全覆盖，并细化财务部门和业务部门对项目自评的责任分工，做到客观、真实反映专项项目财政资金绩效情况。</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default" w:eastAsia="仿宋_GB2312"/>
          <w:color w:val="000000"/>
          <w:kern w:val="0"/>
          <w:szCs w:val="32"/>
          <w:shd w:val="clear" w:color="auto" w:fill="FFFFFF"/>
          <w:lang w:val="en-US" w:eastAsia="zh-CN"/>
        </w:rPr>
      </w:pPr>
      <w:r>
        <w:rPr>
          <w:rFonts w:hint="eastAsia"/>
          <w:color w:val="000000"/>
          <w:kern w:val="0"/>
          <w:szCs w:val="32"/>
          <w:shd w:val="clear" w:color="auto" w:fill="FFFFFF"/>
          <w:lang w:val="zh-CN"/>
        </w:rPr>
        <w:t>通过认真自评，仁和区卫生健康局</w:t>
      </w:r>
      <w:r>
        <w:rPr>
          <w:rFonts w:hint="eastAsia"/>
          <w:color w:val="000000"/>
          <w:kern w:val="0"/>
          <w:szCs w:val="32"/>
          <w:shd w:val="clear" w:color="auto" w:fill="FFFFFF"/>
          <w:lang w:val="en-US" w:eastAsia="zh-CN"/>
        </w:rPr>
        <w:t>2022年部门整体支出绩效评价得分83.2分（详见附件1），专项预算项目支出绩效</w:t>
      </w:r>
      <w:r>
        <w:rPr>
          <w:rFonts w:hint="eastAsia"/>
          <w:color w:val="000000"/>
          <w:kern w:val="0"/>
          <w:szCs w:val="32"/>
          <w:shd w:val="clear" w:color="auto" w:fill="FFFFFF"/>
          <w:lang w:val="zh-CN"/>
        </w:rPr>
        <w:t>评价自评得分</w:t>
      </w:r>
      <w:r>
        <w:rPr>
          <w:rFonts w:hint="eastAsia"/>
          <w:color w:val="000000"/>
          <w:kern w:val="0"/>
          <w:szCs w:val="32"/>
          <w:shd w:val="clear" w:color="auto" w:fill="FFFFFF"/>
          <w:lang w:val="en-US" w:eastAsia="zh-CN"/>
        </w:rPr>
        <w:t>83.5分（详见附件4）。</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年，区卫生健康局围绕基本职能和工作目标任务，</w:t>
      </w:r>
      <w:r>
        <w:rPr>
          <w:rFonts w:hint="eastAsia" w:ascii="仿宋" w:hAnsi="仿宋" w:eastAsia="仿宋" w:cs="仿宋"/>
          <w:sz w:val="32"/>
          <w:szCs w:val="32"/>
        </w:rPr>
        <w:t>完成年内项目组织管理任务，做好各类项目执行的全过程监督管理工作，确保各类项目按计划有效实施，体现了政策导向，长期保障工作平稳进行。通过项目的实施，确保了资金使用效率，保障了各项工作进展顺利</w:t>
      </w:r>
      <w:r>
        <w:rPr>
          <w:rFonts w:hint="eastAsia" w:ascii="仿宋" w:hAnsi="仿宋" w:eastAsia="仿宋" w:cs="仿宋"/>
          <w:sz w:val="32"/>
          <w:szCs w:val="32"/>
          <w:lang w:eastAsia="zh-CN"/>
        </w:rPr>
        <w:t>，达到了预期绩效目标。</w:t>
      </w:r>
    </w:p>
    <w:p>
      <w:pPr>
        <w:widowControl/>
        <w:numPr>
          <w:ilvl w:val="0"/>
          <w:numId w:val="0"/>
        </w:numPr>
        <w:adjustRightInd w:val="0"/>
        <w:snapToGrid w:val="0"/>
        <w:spacing w:line="580" w:lineRule="exact"/>
        <w:ind w:left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（二）</w:t>
      </w:r>
      <w:r>
        <w:rPr>
          <w:color w:val="000000"/>
          <w:kern w:val="0"/>
          <w:szCs w:val="32"/>
          <w:shd w:val="clear" w:color="auto" w:fill="FFFFFF"/>
          <w:lang w:val="zh-CN"/>
        </w:rPr>
        <w:t>存在问题。</w:t>
      </w:r>
    </w:p>
    <w:p>
      <w:pPr>
        <w:pStyle w:val="4"/>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1.绩效目标管理意识还有待加强。</w:t>
      </w:r>
    </w:p>
    <w:p>
      <w:pPr>
        <w:pStyle w:val="4"/>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因财政保障困难，部分专项</w:t>
      </w:r>
      <w:r>
        <w:rPr>
          <w:rFonts w:hint="eastAsia" w:ascii="仿宋_GB2312" w:hAnsi="仿宋_GB2312" w:eastAsia="仿宋_GB2312" w:cs="仿宋_GB2312"/>
          <w:sz w:val="32"/>
          <w:szCs w:val="32"/>
          <w:lang w:val="en-US" w:eastAsia="zh-CN"/>
        </w:rPr>
        <w:t>项目经费执行率较低</w:t>
      </w:r>
      <w:r>
        <w:rPr>
          <w:rFonts w:hint="eastAsia" w:ascii="仿宋_GB2312" w:hAnsi="仿宋_GB2312" w:cs="仿宋_GB2312"/>
          <w:sz w:val="32"/>
          <w:szCs w:val="32"/>
          <w:lang w:val="en-US" w:eastAsia="zh-CN"/>
        </w:rPr>
        <w:t>，个别专项项目2022年未执行</w:t>
      </w:r>
      <w:r>
        <w:rPr>
          <w:rFonts w:hint="eastAsia" w:ascii="仿宋_GB2312" w:hAnsi="仿宋_GB2312" w:eastAsia="仿宋_GB2312" w:cs="仿宋_GB2312"/>
          <w:sz w:val="32"/>
          <w:szCs w:val="32"/>
          <w:lang w:val="en-US" w:eastAsia="zh-CN"/>
        </w:rPr>
        <w:t>。</w:t>
      </w:r>
    </w:p>
    <w:p>
      <w:pPr>
        <w:widowControl/>
        <w:numPr>
          <w:ilvl w:val="0"/>
          <w:numId w:val="0"/>
        </w:numPr>
        <w:adjustRightInd w:val="0"/>
        <w:snapToGrid w:val="0"/>
        <w:spacing w:line="580" w:lineRule="exact"/>
        <w:ind w:leftChars="200"/>
        <w:contextualSpacing/>
        <w:jc w:val="left"/>
        <w:rPr>
          <w:color w:val="000000"/>
          <w:kern w:val="0"/>
          <w:szCs w:val="32"/>
          <w:shd w:val="clear" w:color="auto" w:fill="FFFFFF"/>
          <w:lang w:val="zh-CN"/>
        </w:rPr>
      </w:pPr>
      <w:r>
        <w:rPr>
          <w:color w:val="000000"/>
          <w:kern w:val="0"/>
          <w:szCs w:val="32"/>
          <w:shd w:val="clear" w:color="auto" w:fill="FFFFFF"/>
          <w:lang w:val="zh-CN"/>
        </w:rPr>
        <w:t>（三）改进建议。</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预算法》、《绩效管理实施办法》及会计制度的学习，提高理论水平和业务水平，进一步科学设定绩效目标，提高预算编制的准确性，加强预算执行管理。全面实施预算绩效管理，牢固树立“花钱必问效，无效必问责”的意识。</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2.加强预算资金动态管理，积极争取财政资金支持，确保已完成项目的资金支付，提高资金使用效益。</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sz w:val="32"/>
          <w:szCs w:val="32"/>
          <w:lang w:val="en-US" w:eastAsia="zh-CN"/>
        </w:rPr>
      </w:pPr>
    </w:p>
    <w:p>
      <w:pPr>
        <w:widowControl/>
        <w:numPr>
          <w:ilvl w:val="0"/>
          <w:numId w:val="0"/>
        </w:numPr>
        <w:adjustRightInd w:val="0"/>
        <w:snapToGrid w:val="0"/>
        <w:spacing w:line="580" w:lineRule="exact"/>
        <w:ind w:leftChars="200"/>
        <w:contextualSpacing/>
        <w:jc w:val="left"/>
        <w:rPr>
          <w:rFonts w:hint="default" w:eastAsia="仿宋_GB2312"/>
          <w:color w:val="000000"/>
          <w:kern w:val="0"/>
          <w:szCs w:val="32"/>
          <w:shd w:val="clear" w:color="auto" w:fill="FFFFFF"/>
          <w:lang w:val="en-US" w:eastAsia="zh-CN"/>
        </w:rPr>
      </w:pPr>
      <w:r>
        <w:rPr>
          <w:rFonts w:hint="eastAsia"/>
          <w:color w:val="000000"/>
          <w:kern w:val="0"/>
          <w:szCs w:val="32"/>
          <w:shd w:val="clear" w:color="auto" w:fill="FFFFFF"/>
          <w:lang w:val="en-US" w:eastAsia="zh-CN"/>
        </w:rPr>
        <w:t>附件：1.2022年部门整体支出绩效评价</w:t>
      </w:r>
    </w:p>
    <w:p>
      <w:pPr>
        <w:widowControl/>
        <w:adjustRightInd w:val="0"/>
        <w:snapToGrid w:val="0"/>
        <w:spacing w:line="580" w:lineRule="exact"/>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 xml:space="preserve">          2.2022年专项预算项目支出绩效评价</w:t>
      </w:r>
    </w:p>
    <w:p>
      <w:pPr>
        <w:widowControl/>
        <w:adjustRightInd w:val="0"/>
        <w:snapToGrid w:val="0"/>
        <w:spacing w:line="580" w:lineRule="exact"/>
        <w:ind w:left="1920" w:hanging="1920" w:hangingChars="6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 xml:space="preserve">          3-1.2022年基本公共卫生服务项目支出绩效自评报告（主管部门评价）</w:t>
      </w:r>
    </w:p>
    <w:p>
      <w:pPr>
        <w:widowControl/>
        <w:adjustRightInd w:val="0"/>
        <w:snapToGrid w:val="0"/>
        <w:spacing w:line="580" w:lineRule="exact"/>
        <w:ind w:left="1920" w:leftChars="500" w:hanging="320" w:hangingChars="100"/>
        <w:contextualSpacing/>
        <w:jc w:val="left"/>
        <w:rPr>
          <w:rFonts w:hint="default"/>
          <w:color w:val="000000"/>
          <w:kern w:val="0"/>
          <w:szCs w:val="32"/>
          <w:shd w:val="clear" w:color="auto" w:fill="FFFFFF"/>
          <w:lang w:val="en-US" w:eastAsia="zh-CN"/>
        </w:rPr>
      </w:pPr>
      <w:r>
        <w:rPr>
          <w:rFonts w:hint="default"/>
          <w:color w:val="000000"/>
          <w:kern w:val="0"/>
          <w:szCs w:val="32"/>
          <w:shd w:val="clear" w:color="auto" w:fill="FFFFFF"/>
          <w:lang w:val="en-US" w:eastAsia="zh-CN"/>
        </w:rPr>
        <w:t>3-2</w:t>
      </w:r>
      <w:r>
        <w:rPr>
          <w:rFonts w:hint="eastAsia"/>
          <w:color w:val="000000"/>
          <w:kern w:val="0"/>
          <w:szCs w:val="32"/>
          <w:shd w:val="clear" w:color="auto" w:fill="FFFFFF"/>
          <w:lang w:val="en-US" w:eastAsia="zh-CN"/>
        </w:rPr>
        <w:t>.</w:t>
      </w:r>
      <w:r>
        <w:rPr>
          <w:rFonts w:hint="default"/>
          <w:color w:val="000000"/>
          <w:kern w:val="0"/>
          <w:szCs w:val="32"/>
          <w:shd w:val="clear" w:color="auto" w:fill="FFFFFF"/>
          <w:lang w:val="en-US" w:eastAsia="zh-CN"/>
        </w:rPr>
        <w:t>2022年全区适龄儿童接种疫苗耗材服务费及扩大国家免疫规划经费项目支出绩效</w:t>
      </w:r>
      <w:r>
        <w:rPr>
          <w:rFonts w:hint="eastAsia"/>
          <w:color w:val="000000"/>
          <w:kern w:val="0"/>
          <w:szCs w:val="32"/>
          <w:shd w:val="clear" w:color="auto" w:fill="FFFFFF"/>
          <w:lang w:val="en-US" w:eastAsia="zh-CN"/>
        </w:rPr>
        <w:t>自评</w:t>
      </w:r>
      <w:r>
        <w:rPr>
          <w:rFonts w:hint="default"/>
          <w:color w:val="000000"/>
          <w:kern w:val="0"/>
          <w:szCs w:val="32"/>
          <w:shd w:val="clear" w:color="auto" w:fill="FFFFFF"/>
          <w:lang w:val="en-US" w:eastAsia="zh-CN"/>
        </w:rPr>
        <w:t>报告（主管部门评价）</w:t>
      </w:r>
    </w:p>
    <w:p>
      <w:pPr>
        <w:widowControl/>
        <w:adjustRightInd w:val="0"/>
        <w:snapToGrid w:val="0"/>
        <w:spacing w:line="580" w:lineRule="exact"/>
        <w:ind w:left="1920" w:leftChars="500" w:hanging="320" w:hangingChars="100"/>
        <w:contextualSpacing/>
        <w:jc w:val="left"/>
        <w:rPr>
          <w:rFonts w:hint="default"/>
          <w:color w:val="000000"/>
          <w:kern w:val="0"/>
          <w:szCs w:val="32"/>
          <w:shd w:val="clear" w:color="auto" w:fill="FFFFFF"/>
          <w:lang w:val="en-US" w:eastAsia="zh-CN"/>
        </w:rPr>
      </w:pPr>
      <w:r>
        <w:rPr>
          <w:rFonts w:hint="default"/>
          <w:color w:val="000000"/>
          <w:kern w:val="0"/>
          <w:szCs w:val="32"/>
          <w:shd w:val="clear" w:color="auto" w:fill="FFFFFF"/>
          <w:lang w:val="en-US" w:eastAsia="zh-CN"/>
        </w:rPr>
        <w:t>3-3</w:t>
      </w:r>
      <w:r>
        <w:rPr>
          <w:rFonts w:hint="eastAsia"/>
          <w:color w:val="000000"/>
          <w:kern w:val="0"/>
          <w:szCs w:val="32"/>
          <w:shd w:val="clear" w:color="auto" w:fill="FFFFFF"/>
          <w:lang w:val="en-US" w:eastAsia="zh-CN"/>
        </w:rPr>
        <w:t>.</w:t>
      </w:r>
      <w:r>
        <w:rPr>
          <w:rFonts w:hint="default"/>
          <w:color w:val="000000"/>
          <w:kern w:val="0"/>
          <w:szCs w:val="32"/>
          <w:shd w:val="clear" w:color="auto" w:fill="FFFFFF"/>
          <w:lang w:val="en-US" w:eastAsia="zh-CN"/>
        </w:rPr>
        <w:t>2022年重大传染病防控项目支出绩效</w:t>
      </w:r>
      <w:r>
        <w:rPr>
          <w:rFonts w:hint="eastAsia"/>
          <w:color w:val="000000"/>
          <w:kern w:val="0"/>
          <w:szCs w:val="32"/>
          <w:shd w:val="clear" w:color="auto" w:fill="FFFFFF"/>
          <w:lang w:val="en-US" w:eastAsia="zh-CN"/>
        </w:rPr>
        <w:t>自评</w:t>
      </w:r>
      <w:r>
        <w:rPr>
          <w:rFonts w:hint="default"/>
          <w:color w:val="000000"/>
          <w:kern w:val="0"/>
          <w:szCs w:val="32"/>
          <w:shd w:val="clear" w:color="auto" w:fill="FFFFFF"/>
          <w:lang w:val="en-US" w:eastAsia="zh-CN"/>
        </w:rPr>
        <w:t>报告（主管部门评价）</w:t>
      </w:r>
    </w:p>
    <w:p>
      <w:pPr>
        <w:widowControl/>
        <w:adjustRightInd w:val="0"/>
        <w:snapToGrid w:val="0"/>
        <w:spacing w:line="580" w:lineRule="exact"/>
        <w:ind w:left="1920" w:leftChars="500" w:hanging="320" w:hangingChars="1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3-4.2022年实施国家基本药物制度项目支出绩效自评报告（主管部门评价）</w:t>
      </w:r>
    </w:p>
    <w:p>
      <w:pPr>
        <w:widowControl/>
        <w:adjustRightInd w:val="0"/>
        <w:snapToGrid w:val="0"/>
        <w:spacing w:line="580" w:lineRule="exact"/>
        <w:ind w:left="1920" w:leftChars="500" w:hanging="320" w:hangingChars="1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3-5.2022年村医养老保险支出绩效自评报告（政府性基金预算）</w:t>
      </w:r>
    </w:p>
    <w:p>
      <w:pPr>
        <w:widowControl/>
        <w:adjustRightInd w:val="0"/>
        <w:snapToGrid w:val="0"/>
        <w:spacing w:line="580" w:lineRule="exact"/>
        <w:ind w:left="1920" w:leftChars="500" w:hanging="320" w:hangingChars="1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4-1.2022年计划生育服务项目支出绩效评价报告（单位自评）</w:t>
      </w:r>
    </w:p>
    <w:p>
      <w:pPr>
        <w:widowControl/>
        <w:adjustRightInd w:val="0"/>
        <w:snapToGrid w:val="0"/>
        <w:spacing w:line="580" w:lineRule="exact"/>
        <w:ind w:left="1920" w:leftChars="500" w:hanging="320" w:hangingChars="1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4-2.2022年育儿补贴金项目支出绩效自评报告（单位自评）</w:t>
      </w:r>
    </w:p>
    <w:p>
      <w:pPr>
        <w:widowControl/>
        <w:adjustRightInd w:val="0"/>
        <w:snapToGrid w:val="0"/>
        <w:spacing w:line="580" w:lineRule="exact"/>
        <w:ind w:left="1920" w:leftChars="500" w:hanging="320" w:hangingChars="100"/>
        <w:contextualSpacing/>
        <w:jc w:val="left"/>
        <w:rPr>
          <w:rFonts w:hint="default"/>
          <w:color w:val="000000"/>
          <w:kern w:val="0"/>
          <w:szCs w:val="32"/>
          <w:shd w:val="clear" w:color="auto" w:fill="FFFFFF"/>
          <w:lang w:val="en-US" w:eastAsia="zh-CN"/>
        </w:rPr>
      </w:pPr>
      <w:r>
        <w:rPr>
          <w:rFonts w:hint="eastAsia"/>
          <w:color w:val="000000"/>
          <w:kern w:val="0"/>
          <w:szCs w:val="32"/>
          <w:shd w:val="clear" w:color="auto" w:fill="FFFFFF"/>
          <w:lang w:val="en-US" w:eastAsia="zh-CN"/>
        </w:rPr>
        <w:t>5.2022年度财政资金使用情况表</w:t>
      </w: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Times_New_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6"/>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6"/>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49628"/>
    <w:multiLevelType w:val="singleLevel"/>
    <w:tmpl w:val="E1C49628"/>
    <w:lvl w:ilvl="0" w:tentative="0">
      <w:start w:val="2"/>
      <w:numFmt w:val="chineseCounting"/>
      <w:suff w:val="nothing"/>
      <w:lvlText w:val="（%1）"/>
      <w:lvlJc w:val="left"/>
      <w:rPr>
        <w:rFonts w:hint="eastAsia"/>
      </w:rPr>
    </w:lvl>
  </w:abstractNum>
  <w:abstractNum w:abstractNumId="1">
    <w:nsid w:val="F7DE9630"/>
    <w:multiLevelType w:val="singleLevel"/>
    <w:tmpl w:val="F7DE9630"/>
    <w:lvl w:ilvl="0" w:tentative="0">
      <w:start w:val="1"/>
      <w:numFmt w:val="decimal"/>
      <w:suff w:val="nothing"/>
      <w:lvlText w:val="（%1）"/>
      <w:lvlJc w:val="left"/>
    </w:lvl>
  </w:abstractNum>
  <w:abstractNum w:abstractNumId="2">
    <w:nsid w:val="2B34A547"/>
    <w:multiLevelType w:val="singleLevel"/>
    <w:tmpl w:val="2B34A547"/>
    <w:lvl w:ilvl="0" w:tentative="0">
      <w:start w:val="3"/>
      <w:numFmt w:val="chineseCounting"/>
      <w:suff w:val="nothing"/>
      <w:lvlText w:val="%1、"/>
      <w:lvlJc w:val="left"/>
      <w:rPr>
        <w:rFonts w:hint="eastAsia"/>
      </w:rPr>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6CB4D60"/>
    <w:rsid w:val="0DC31556"/>
    <w:rsid w:val="15040E30"/>
    <w:rsid w:val="1A3D6143"/>
    <w:rsid w:val="1C013801"/>
    <w:rsid w:val="2D527252"/>
    <w:rsid w:val="2EAE55F2"/>
    <w:rsid w:val="2EDF4302"/>
    <w:rsid w:val="324B1CAE"/>
    <w:rsid w:val="47550EBA"/>
    <w:rsid w:val="4A424663"/>
    <w:rsid w:val="62415DED"/>
    <w:rsid w:val="6636451A"/>
    <w:rsid w:val="6EF65E9C"/>
    <w:rsid w:val="71397E03"/>
    <w:rsid w:val="77FFA8F9"/>
    <w:rsid w:val="7A9314AC"/>
    <w:rsid w:val="7C631402"/>
    <w:rsid w:val="7CA60B12"/>
    <w:rsid w:val="7D584626"/>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qFormat/>
    <w:uiPriority w:val="0"/>
    <w:rPr>
      <w:rFonts w:ascii="宋体" w:eastAsia="宋体"/>
      <w:sz w:val="18"/>
      <w:szCs w:val="18"/>
    </w:rPr>
  </w:style>
  <w:style w:type="paragraph" w:styleId="4">
    <w:name w:val="Plain Text"/>
    <w:basedOn w:val="1"/>
    <w:next w:val="2"/>
    <w:qFormat/>
    <w:uiPriority w:val="0"/>
    <w:rPr>
      <w:rFonts w:ascii="宋体" w:hAnsi="Courier New"/>
    </w:rPr>
  </w:style>
  <w:style w:type="paragraph" w:styleId="5">
    <w:name w:val="Balloon Text"/>
    <w:basedOn w:val="1"/>
    <w:semiHidden/>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rFonts w:eastAsia="宋体"/>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四号正文"/>
    <w:basedOn w:val="1"/>
    <w:link w:val="13"/>
    <w:qFormat/>
    <w:uiPriority w:val="0"/>
    <w:pPr>
      <w:spacing w:line="360" w:lineRule="auto"/>
    </w:pPr>
    <w:rPr>
      <w:rFonts w:ascii="??" w:hAnsi="??" w:eastAsia="宋体" w:cs="宋体"/>
      <w:color w:val="000000"/>
      <w:kern w:val="0"/>
      <w:sz w:val="28"/>
      <w:szCs w:val="21"/>
    </w:rPr>
  </w:style>
  <w:style w:type="character" w:customStyle="1" w:styleId="13">
    <w:name w:val="四号正文 Char"/>
    <w:basedOn w:val="10"/>
    <w:link w:val="12"/>
    <w:qFormat/>
    <w:uiPriority w:val="0"/>
    <w:rPr>
      <w:rFonts w:ascii="??" w:hAnsi="??" w:eastAsia="宋体" w:cs="宋体"/>
      <w:color w:val="000000"/>
      <w:sz w:val="28"/>
      <w:szCs w:val="21"/>
      <w:lang w:val="en-US" w:eastAsia="zh-CN" w:bidi="ar-SA"/>
    </w:rPr>
  </w:style>
  <w:style w:type="character" w:customStyle="1" w:styleId="14">
    <w:name w:val="文档结构图 Char"/>
    <w:basedOn w:val="10"/>
    <w:link w:val="3"/>
    <w:qFormat/>
    <w:uiPriority w:val="0"/>
    <w:rPr>
      <w:rFonts w:ascii="宋体"/>
      <w:kern w:val="2"/>
      <w:sz w:val="18"/>
      <w:szCs w:val="18"/>
    </w:rPr>
  </w:style>
  <w:style w:type="paragraph" w:customStyle="1" w:styleId="15">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6">
    <w:name w:val="页脚 Char"/>
    <w:basedOn w:val="10"/>
    <w:link w:val="6"/>
    <w:qFormat/>
    <w:uiPriority w:val="99"/>
    <w:rPr>
      <w:kern w:val="2"/>
      <w:sz w:val="18"/>
      <w:szCs w:val="18"/>
    </w:rPr>
  </w:style>
  <w:style w:type="character" w:customStyle="1" w:styleId="17">
    <w:name w:val="font31"/>
    <w:basedOn w:val="10"/>
    <w:qFormat/>
    <w:uiPriority w:val="0"/>
    <w:rPr>
      <w:rFonts w:hint="eastAsia" w:ascii="宋体" w:hAnsi="宋体" w:eastAsia="宋体" w:cs="宋体"/>
      <w:color w:val="000000"/>
      <w:sz w:val="24"/>
      <w:szCs w:val="24"/>
      <w:u w:val="none"/>
    </w:rPr>
  </w:style>
  <w:style w:type="paragraph" w:customStyle="1" w:styleId="18">
    <w:name w:val="List Paragraph"/>
    <w:basedOn w:val="1"/>
    <w:uiPriority w:val="0"/>
    <w:pPr>
      <w:ind w:firstLine="420" w:firstLineChars="200"/>
    </w:pPr>
    <w:rPr>
      <w:rFonts w:ascii="Times" w:hAnsi="Times" w:eastAsia="仿宋_GB2312" w:cs="Times"/>
      <w:sz w:val="32"/>
      <w:szCs w:val="32"/>
    </w:rPr>
  </w:style>
  <w:style w:type="character" w:customStyle="1" w:styleId="19">
    <w:name w:val="fontstyle01"/>
    <w:basedOn w:val="10"/>
    <w:uiPriority w:val="0"/>
    <w:rPr>
      <w:rFonts w:ascii="仿宋_GB2312" w:hAnsi="仿宋_GB2312" w:eastAsia="仿宋_GB2312" w:cs="仿宋_GB2312"/>
      <w:color w:val="000000"/>
      <w:sz w:val="32"/>
      <w:szCs w:val="32"/>
    </w:rPr>
  </w:style>
  <w:style w:type="character" w:customStyle="1" w:styleId="20">
    <w:name w:val="fontstyle21"/>
    <w:basedOn w:val="10"/>
    <w:uiPriority w:val="0"/>
    <w:rPr>
      <w:rFonts w:ascii="Times_New_Roman" w:hAnsi="Times_New_Roman" w:eastAsia="Times_New_Roman" w:cs="Times_New_Roman"/>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PSZX</Company>
  <Pages>2</Pages>
  <Words>114</Words>
  <Characters>650</Characters>
  <Lines>5</Lines>
  <Paragraphs>1</Paragraphs>
  <TotalTime>15</TotalTime>
  <ScaleCrop>false</ScaleCrop>
  <LinksUpToDate>false</LinksUpToDate>
  <CharactersWithSpaces>763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肖珊</cp:lastModifiedBy>
  <cp:lastPrinted>2022-03-26T08:26:00Z</cp:lastPrinted>
  <dcterms:modified xsi:type="dcterms:W3CDTF">2023-10-08T10:16:59Z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E6F3C2D9CD52452F82A230D7B40F29AA</vt:lpwstr>
  </property>
</Properties>
</file>