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240" w:lineRule="auto"/>
        <w:contextualSpacing/>
        <w:textAlignment w:val="auto"/>
        <w:rPr>
          <w:rFonts w:eastAsia="宋体"/>
          <w:b/>
          <w:sz w:val="44"/>
          <w:szCs w:val="44"/>
          <w:shd w:val="clear" w:color="auto" w:fill="FFFFFF"/>
        </w:rPr>
      </w:pPr>
    </w:p>
    <w:p>
      <w:pPr>
        <w:keepNext w:val="0"/>
        <w:keepLines w:val="0"/>
        <w:pageBreakBefore w:val="0"/>
        <w:widowControl/>
        <w:kinsoku/>
        <w:wordWrap/>
        <w:overflowPunct/>
        <w:topLinePunct w:val="0"/>
        <w:autoSpaceDE/>
        <w:autoSpaceDN/>
        <w:bidi w:val="0"/>
        <w:spacing w:line="240" w:lineRule="auto"/>
        <w:contextualSpacing/>
        <w:jc w:val="both"/>
        <w:textAlignment w:val="auto"/>
        <w:rPr>
          <w:rFonts w:hint="eastAsia" w:ascii="方正小标宋_GBK" w:hAnsi="方正小标宋_GBK" w:eastAsia="方正小标宋_GBK" w:cs="方正小标宋_GBK"/>
          <w:szCs w:val="32"/>
          <w:shd w:val="clear" w:color="auto" w:fill="FFFFFF"/>
        </w:rPr>
      </w:pPr>
      <w:r>
        <w:rPr>
          <w:rFonts w:hint="eastAsia" w:ascii="方正小标宋_GBK" w:hAnsi="方正小标宋_GBK" w:eastAsia="方正小标宋_GBK" w:cs="方正小标宋_GBK"/>
          <w:b/>
          <w:sz w:val="44"/>
          <w:szCs w:val="44"/>
          <w:shd w:val="clear" w:color="auto" w:fill="FFFFFF"/>
          <w:lang w:val="en-US" w:eastAsia="zh-CN"/>
        </w:rPr>
        <w:t>攀枝花市仁和区大田医院</w:t>
      </w:r>
      <w:r>
        <w:rPr>
          <w:rFonts w:hint="eastAsia" w:ascii="方正小标宋_GBK" w:hAnsi="方正小标宋_GBK" w:eastAsia="方正小标宋_GBK" w:cs="方正小标宋_GBK"/>
          <w:b/>
          <w:sz w:val="44"/>
          <w:szCs w:val="44"/>
          <w:shd w:val="clear" w:color="auto" w:fill="FFFFFF"/>
        </w:rPr>
        <w:t>202</w:t>
      </w:r>
      <w:r>
        <w:rPr>
          <w:rFonts w:hint="eastAsia" w:ascii="方正小标宋_GBK" w:hAnsi="方正小标宋_GBK" w:eastAsia="方正小标宋_GBK" w:cs="方正小标宋_GBK"/>
          <w:b/>
          <w:sz w:val="44"/>
          <w:szCs w:val="44"/>
          <w:shd w:val="clear" w:color="auto" w:fill="FFFFFF"/>
          <w:lang w:val="en-US" w:eastAsia="zh-CN"/>
        </w:rPr>
        <w:t>2</w:t>
      </w:r>
      <w:bookmarkStart w:id="0" w:name="_GoBack"/>
      <w:bookmarkEnd w:id="0"/>
      <w:r>
        <w:rPr>
          <w:rFonts w:hint="eastAsia" w:ascii="方正小标宋_GBK" w:hAnsi="方正小标宋_GBK" w:eastAsia="方正小标宋_GBK" w:cs="方正小标宋_GBK"/>
          <w:b/>
          <w:sz w:val="44"/>
          <w:szCs w:val="44"/>
          <w:shd w:val="clear" w:color="auto" w:fill="FFFFFF"/>
        </w:rPr>
        <w:t>年部门整体支出绩效评价报告</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contextualSpacing/>
        <w:jc w:val="left"/>
        <w:textAlignment w:val="auto"/>
        <w:rPr>
          <w:rFonts w:eastAsia="黑体"/>
          <w:color w:val="000000"/>
          <w:kern w:val="0"/>
          <w:sz w:val="24"/>
          <w:szCs w:val="32"/>
          <w:shd w:val="clear" w:color="auto" w:fill="FFFFFF"/>
        </w:rPr>
      </w:pP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黑体" w:hAnsi="黑体" w:eastAsia="黑体" w:cs="黑体"/>
          <w:b w:val="0"/>
          <w:bCs w:val="0"/>
          <w:color w:val="000000"/>
          <w:kern w:val="0"/>
          <w:sz w:val="32"/>
          <w:szCs w:val="32"/>
          <w:shd w:val="clear" w:color="auto" w:fill="FFFFFF"/>
          <w:lang w:val="zh-CN"/>
        </w:rPr>
      </w:pPr>
      <w:r>
        <w:rPr>
          <w:rFonts w:hint="eastAsia" w:ascii="黑体" w:hAnsi="黑体" w:eastAsia="黑体" w:cs="黑体"/>
          <w:b w:val="0"/>
          <w:bCs w:val="0"/>
          <w:color w:val="000000"/>
          <w:kern w:val="0"/>
          <w:sz w:val="32"/>
          <w:szCs w:val="32"/>
          <w:shd w:val="clear" w:color="auto" w:fill="FFFFFF"/>
        </w:rPr>
        <w:t>一、</w:t>
      </w:r>
      <w:r>
        <w:rPr>
          <w:rFonts w:hint="eastAsia" w:ascii="黑体" w:hAnsi="黑体" w:eastAsia="黑体" w:cs="黑体"/>
          <w:b w:val="0"/>
          <w:bCs w:val="0"/>
          <w:color w:val="000000"/>
          <w:kern w:val="0"/>
          <w:sz w:val="32"/>
          <w:szCs w:val="32"/>
          <w:shd w:val="clear" w:color="auto" w:fill="FFFFFF"/>
          <w:lang w:val="zh-CN"/>
        </w:rPr>
        <w:t>单位概况</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b w:val="0"/>
          <w:bCs w:val="0"/>
          <w:color w:val="000000"/>
          <w:kern w:val="0"/>
          <w:sz w:val="32"/>
          <w:szCs w:val="32"/>
          <w:shd w:val="clear" w:color="auto" w:fill="FFFFFF"/>
          <w:lang w:val="zh-CN"/>
        </w:rPr>
      </w:pPr>
      <w:r>
        <w:rPr>
          <w:rFonts w:hint="eastAsia" w:ascii="仿宋_GB2312" w:hAnsi="仿宋_GB2312" w:eastAsia="仿宋_GB2312" w:cs="仿宋_GB2312"/>
          <w:b w:val="0"/>
          <w:bCs w:val="0"/>
          <w:color w:val="000000"/>
          <w:kern w:val="0"/>
          <w:sz w:val="32"/>
          <w:szCs w:val="32"/>
          <w:shd w:val="clear" w:color="auto" w:fill="FFFFFF"/>
          <w:lang w:val="zh-CN"/>
        </w:rPr>
        <w:t>（一）机构组成。</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攀枝花市仁和区大田医院（攀枝花市仁和区大田镇妇幼保健站）下设7个内设机构。 </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 xml:space="preserve">办公室。负责党务、监督检查、财务、行政、人事、宣传、信息、精神文明、档案、信访维稳、安全生 产、后勤保障等工作。 </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 xml:space="preserve">全科医疗科。负责卫生院范围内的基础医疗工 作，开展门诊、住院、会诊、出诊和急诊急救等工作。 </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 xml:space="preserve">公共卫生科。负责预防接种、母婴保健、计划生育、重大传染病防治等国家基本公共卫生服务相关工作。 </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 xml:space="preserve">中医科。负责中医诊断、治疗，开展针灸、拔 罐、刮痧、推拿等中医适宜技术。 </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 xml:space="preserve">药剂科。负责药品调剂，药械采购、储存验收维护和医保结算等工作。 </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 xml:space="preserve">医技科。负责院内超声、心电、临床影像、医疗检验等工作。 </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b w:val="0"/>
          <w:bCs w:val="0"/>
          <w:color w:val="000000"/>
          <w:kern w:val="0"/>
          <w:sz w:val="32"/>
          <w:szCs w:val="32"/>
          <w:shd w:val="clear" w:color="auto" w:fill="FFFFFF"/>
          <w:lang w:val="zh-CN" w:eastAsia="zh-CN"/>
        </w:rPr>
      </w:pP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护理部。负责临床护理工作及院内感染控制等工作</w:t>
      </w:r>
      <w:r>
        <w:rPr>
          <w:rFonts w:hint="eastAsia" w:ascii="仿宋_GB2312" w:hAnsi="仿宋_GB2312" w:eastAsia="仿宋_GB2312" w:cs="仿宋_GB2312"/>
          <w:b w:val="0"/>
          <w:bCs w:val="0"/>
          <w:sz w:val="32"/>
          <w:szCs w:val="32"/>
          <w:lang w:eastAsia="zh-CN"/>
        </w:rPr>
        <w:t>。</w:t>
      </w:r>
    </w:p>
    <w:p>
      <w:pPr>
        <w:keepNext w:val="0"/>
        <w:keepLines w:val="0"/>
        <w:pageBreakBefore w:val="0"/>
        <w:widowControl/>
        <w:numPr>
          <w:ilvl w:val="0"/>
          <w:numId w:val="1"/>
        </w:numPr>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b w:val="0"/>
          <w:bCs w:val="0"/>
          <w:color w:val="000000"/>
          <w:kern w:val="0"/>
          <w:sz w:val="32"/>
          <w:szCs w:val="32"/>
          <w:shd w:val="clear" w:color="auto" w:fill="FFFFFF"/>
          <w:lang w:val="zh-CN"/>
        </w:rPr>
      </w:pPr>
      <w:r>
        <w:rPr>
          <w:rFonts w:hint="eastAsia" w:ascii="仿宋_GB2312" w:hAnsi="仿宋_GB2312" w:eastAsia="仿宋_GB2312" w:cs="仿宋_GB2312"/>
          <w:b w:val="0"/>
          <w:bCs w:val="0"/>
          <w:color w:val="000000"/>
          <w:kern w:val="0"/>
          <w:sz w:val="32"/>
          <w:szCs w:val="32"/>
          <w:shd w:val="clear" w:color="auto" w:fill="FFFFFF"/>
          <w:lang w:val="zh-CN"/>
        </w:rPr>
        <w:t>机构职能。</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b w:val="0"/>
          <w:bCs w:val="0"/>
          <w:color w:val="000000"/>
          <w:kern w:val="0"/>
          <w:sz w:val="32"/>
          <w:szCs w:val="32"/>
          <w:shd w:val="clear" w:color="auto" w:fill="FFFFFF"/>
          <w:lang w:val="zh-CN" w:eastAsia="zh-CN"/>
        </w:rPr>
      </w:pPr>
      <w:r>
        <w:rPr>
          <w:rFonts w:hint="eastAsia" w:ascii="仿宋_GB2312" w:hAnsi="仿宋_GB2312" w:eastAsia="仿宋_GB2312" w:cs="仿宋_GB2312"/>
          <w:b w:val="0"/>
          <w:bCs w:val="0"/>
          <w:sz w:val="32"/>
          <w:szCs w:val="32"/>
        </w:rPr>
        <w:t>攀枝花市仁和区大田医院（攀枝花市仁和区大田镇妇幼保健站）实行党组织领导下的院长负责制，院党支部发挥把方向、管大局、作决策、促改革、保落实的领导作用，决定本单位重大问题，支持院长依法依规独立 负责地行使职权。院长一般作为法定代表人，在院党支部领导下，全面负责医院医疗、教学、科研、行政管理工作</w:t>
      </w:r>
      <w:r>
        <w:rPr>
          <w:rFonts w:hint="eastAsia" w:ascii="仿宋_GB2312" w:hAnsi="仿宋_GB2312" w:eastAsia="仿宋_GB2312" w:cs="仿宋_GB2312"/>
          <w:b w:val="0"/>
          <w:bCs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攀枝花市仁和区大田医院（攀枝花市仁和区大田镇妇幼保健站）贯彻落实党中央和省市区委关于卫生健康工作的方针政策和决策部署。主要职责是：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 xml:space="preserve">基本医疗服务：负责辖区一般常见病、多发病、 地方病的基本医疗服务；现场救护和转诊服务；慢性病管 理服务；母婴保健技术服务等。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 xml:space="preserve">公共卫生服务：坚持预防为主，及时处理辖区重大疫情和公共卫生突发事件；重点预防控制地方病、传染病、职业病等重大疾病；开展医学康复、精神卫生、基本职业卫生、保健咨询服务；建立城乡居民健康档案，提供健康教育、预防接种、儿童健康管理、孕产妇健康管理、老年人健康管理、慢性病患者健康管理、严重精神障碍患 者管理、结核病患者管理、中医药健康管理、传染病和突发公共卫生事件报告和处理、卫生计生监督协管等基本公共卫生服务。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综合管理服务：协助政府制定和组织实施辖区内卫生健康事业发展规划；管理、指导村卫生室业务工作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 xml:space="preserve">并对乡村医生开展相关技能培训；开展医保政策法规宣传咨询，配合做好即时补偿结算等工作。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b w:val="0"/>
          <w:bCs w:val="0"/>
          <w:color w:val="000000"/>
          <w:kern w:val="0"/>
          <w:sz w:val="32"/>
          <w:szCs w:val="32"/>
          <w:shd w:val="clear" w:color="auto" w:fill="FFFFFF"/>
          <w:lang w:val="zh-CN" w:eastAsia="zh-CN"/>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完成攀枝花市仁和区卫生健康局交办的其他工作任务</w:t>
      </w:r>
      <w:r>
        <w:rPr>
          <w:rFonts w:hint="eastAsia" w:ascii="仿宋_GB2312" w:hAnsi="仿宋_GB2312" w:eastAsia="仿宋_GB2312" w:cs="仿宋_GB2312"/>
          <w:b w:val="0"/>
          <w:bCs w:val="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b w:val="0"/>
          <w:bCs w:val="0"/>
          <w:color w:val="000000"/>
          <w:kern w:val="0"/>
          <w:sz w:val="32"/>
          <w:szCs w:val="32"/>
          <w:shd w:val="clear" w:color="auto" w:fill="FFFFFF"/>
          <w:lang w:val="zh-CN"/>
        </w:rPr>
      </w:pPr>
      <w:r>
        <w:rPr>
          <w:rFonts w:hint="eastAsia" w:ascii="仿宋_GB2312" w:hAnsi="仿宋_GB2312" w:eastAsia="仿宋_GB2312" w:cs="仿宋_GB2312"/>
          <w:b w:val="0"/>
          <w:bCs w:val="0"/>
          <w:color w:val="000000"/>
          <w:kern w:val="0"/>
          <w:sz w:val="32"/>
          <w:szCs w:val="32"/>
          <w:shd w:val="clear" w:color="auto" w:fill="FFFFFF"/>
          <w:lang w:val="zh-CN"/>
        </w:rPr>
        <w:t>（三）人员概况</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b w:val="0"/>
          <w:bCs w:val="0"/>
          <w:color w:val="000000"/>
          <w:kern w:val="0"/>
          <w:sz w:val="32"/>
          <w:szCs w:val="32"/>
          <w:shd w:val="clear" w:color="auto" w:fill="FFFFFF"/>
          <w:lang w:val="en-US" w:eastAsia="zh-CN"/>
        </w:rPr>
      </w:pPr>
      <w:r>
        <w:rPr>
          <w:rFonts w:hint="eastAsia" w:ascii="仿宋_GB2312" w:hAnsi="仿宋_GB2312" w:eastAsia="仿宋_GB2312" w:cs="仿宋_GB2312"/>
          <w:b w:val="0"/>
          <w:bCs w:val="0"/>
          <w:sz w:val="32"/>
          <w:szCs w:val="32"/>
        </w:rPr>
        <w:t>攀枝花市仁和区大田医院（攀枝花市仁和区大田镇妇幼保健站）</w:t>
      </w:r>
      <w:r>
        <w:rPr>
          <w:rFonts w:hint="eastAsia" w:ascii="仿宋_GB2312" w:hAnsi="仿宋_GB2312" w:eastAsia="仿宋_GB2312" w:cs="仿宋_GB2312"/>
          <w:b w:val="0"/>
          <w:bCs w:val="0"/>
          <w:sz w:val="32"/>
          <w:szCs w:val="32"/>
          <w:lang w:eastAsia="zh-CN"/>
        </w:rPr>
        <w:t>核定</w:t>
      </w:r>
      <w:r>
        <w:rPr>
          <w:rFonts w:hint="eastAsia" w:ascii="仿宋_GB2312" w:hAnsi="仿宋_GB2312" w:eastAsia="仿宋_GB2312" w:cs="仿宋_GB2312"/>
          <w:b w:val="0"/>
          <w:bCs w:val="0"/>
          <w:sz w:val="32"/>
          <w:szCs w:val="32"/>
        </w:rPr>
        <w:t>事业编制23名，领导职数3名，其中：党支部书记、院长1名，党支部副书记、副院长1名，副院长1名</w:t>
      </w:r>
      <w:r>
        <w:rPr>
          <w:rFonts w:hint="eastAsia" w:ascii="仿宋_GB2312" w:hAnsi="仿宋_GB2312" w:eastAsia="仿宋_GB2312" w:cs="仿宋_GB2312"/>
          <w:b w:val="0"/>
          <w:bCs w:val="0"/>
          <w:sz w:val="32"/>
          <w:szCs w:val="32"/>
          <w:lang w:eastAsia="zh-CN"/>
        </w:rPr>
        <w:t>。截止</w:t>
      </w:r>
      <w:r>
        <w:rPr>
          <w:rFonts w:hint="eastAsia" w:ascii="仿宋_GB2312" w:hAnsi="仿宋_GB2312" w:eastAsia="仿宋_GB2312" w:cs="仿宋_GB2312"/>
          <w:b w:val="0"/>
          <w:bCs w:val="0"/>
          <w:sz w:val="32"/>
          <w:szCs w:val="32"/>
          <w:lang w:val="en-US" w:eastAsia="zh-CN"/>
        </w:rPr>
        <w:t>2022年12月31日在岗人员26人，其中在编人员18人，聘用人员7人，公共卫生特别岗位人员1人。</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黑体" w:hAnsi="黑体" w:eastAsia="黑体" w:cs="黑体"/>
          <w:b w:val="0"/>
          <w:bCs w:val="0"/>
          <w:color w:val="000000"/>
          <w:kern w:val="0"/>
          <w:sz w:val="32"/>
          <w:szCs w:val="32"/>
          <w:shd w:val="clear" w:color="auto" w:fill="FFFFFF"/>
        </w:rPr>
      </w:pPr>
      <w:r>
        <w:rPr>
          <w:rFonts w:hint="eastAsia" w:ascii="黑体" w:hAnsi="黑体" w:eastAsia="黑体" w:cs="黑体"/>
          <w:b w:val="0"/>
          <w:bCs w:val="0"/>
          <w:color w:val="000000"/>
          <w:kern w:val="0"/>
          <w:sz w:val="32"/>
          <w:szCs w:val="32"/>
          <w:shd w:val="clear" w:color="auto" w:fill="FFFFFF"/>
        </w:rPr>
        <w:t>二、部门财政资金收支情况</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b w:val="0"/>
          <w:bCs w:val="0"/>
          <w:color w:val="auto"/>
          <w:kern w:val="0"/>
          <w:sz w:val="32"/>
          <w:szCs w:val="32"/>
          <w:shd w:val="clear" w:color="auto" w:fill="FFFFFF"/>
          <w:lang w:val="zh-CN"/>
        </w:rPr>
      </w:pPr>
      <w:r>
        <w:rPr>
          <w:rFonts w:hint="eastAsia" w:ascii="仿宋_GB2312" w:hAnsi="仿宋_GB2312" w:eastAsia="仿宋_GB2312" w:cs="仿宋_GB2312"/>
          <w:b w:val="0"/>
          <w:bCs w:val="0"/>
          <w:color w:val="auto"/>
          <w:kern w:val="0"/>
          <w:sz w:val="32"/>
          <w:szCs w:val="32"/>
          <w:shd w:val="clear" w:color="auto" w:fill="FFFFFF"/>
          <w:lang w:val="zh-CN"/>
        </w:rPr>
        <w:t>（一）部门财政资金收入情况</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640" w:firstLineChars="200"/>
        <w:contextualSpacing/>
        <w:jc w:val="left"/>
        <w:textAlignment w:val="auto"/>
        <w:outlineLvl w:val="9"/>
        <w:rPr>
          <w:rFonts w:hint="eastAsia" w:ascii="仿宋_GB2312" w:hAnsi="仿宋_GB2312" w:eastAsia="仿宋_GB2312" w:cs="仿宋_GB2312"/>
          <w:b w:val="0"/>
          <w:bCs w:val="0"/>
          <w:color w:val="FF0000"/>
          <w:kern w:val="0"/>
          <w:sz w:val="32"/>
          <w:szCs w:val="32"/>
          <w:shd w:val="clear" w:color="auto" w:fill="FFFFFF"/>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攀枝花市仁和区大田医院（攀枝花市仁和区大田镇妇幼保健站）</w:t>
      </w:r>
      <w:r>
        <w:rPr>
          <w:rFonts w:hint="eastAsia" w:ascii="仿宋_GB2312" w:hAnsi="仿宋_GB2312" w:eastAsia="仿宋_GB2312" w:cs="仿宋_GB2312"/>
          <w:b w:val="0"/>
          <w:bCs w:val="0"/>
          <w:sz w:val="32"/>
          <w:szCs w:val="32"/>
          <w:lang w:val="en-US" w:eastAsia="zh-CN"/>
        </w:rPr>
        <w:t>2022年财政资金预算总收入389.67万元，其中，基本收入289.01万元，项目收入100.66万元。2022年决算收入449.45万元，其中一般公共预算财政拨款收入449.15万元，政府性基金预算财政拨款收入 0.3万元</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b w:val="0"/>
          <w:bCs w:val="0"/>
          <w:color w:val="auto"/>
          <w:kern w:val="0"/>
          <w:sz w:val="32"/>
          <w:szCs w:val="32"/>
          <w:shd w:val="clear" w:color="auto" w:fill="FFFFFF"/>
          <w:lang w:val="zh-CN"/>
        </w:rPr>
      </w:pPr>
      <w:r>
        <w:rPr>
          <w:rFonts w:hint="eastAsia" w:ascii="仿宋_GB2312" w:hAnsi="仿宋_GB2312" w:eastAsia="仿宋_GB2312" w:cs="仿宋_GB2312"/>
          <w:b w:val="0"/>
          <w:bCs w:val="0"/>
          <w:color w:val="auto"/>
          <w:kern w:val="0"/>
          <w:sz w:val="32"/>
          <w:szCs w:val="32"/>
          <w:shd w:val="clear" w:color="auto" w:fill="FFFFFF"/>
          <w:lang w:val="zh-CN"/>
        </w:rPr>
        <w:t>部门财政资金支出情况</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right="0" w:rightChars="0" w:firstLine="640" w:firstLineChars="200"/>
        <w:contextualSpacing/>
        <w:jc w:val="left"/>
        <w:textAlignment w:val="auto"/>
        <w:outlineLvl w:val="9"/>
        <w:rPr>
          <w:rFonts w:hint="eastAsia" w:ascii="仿宋_GB2312" w:hAnsi="仿宋_GB2312" w:eastAsia="仿宋_GB2312" w:cs="仿宋_GB2312"/>
          <w:b w:val="0"/>
          <w:bCs w:val="0"/>
          <w:color w:val="FF0000"/>
          <w:kern w:val="0"/>
          <w:sz w:val="32"/>
          <w:szCs w:val="32"/>
          <w:shd w:val="clear" w:color="auto" w:fill="FFFFFF"/>
          <w:lang w:val="zh-CN"/>
        </w:rPr>
      </w:pPr>
      <w:r>
        <w:rPr>
          <w:rFonts w:hint="eastAsia" w:ascii="仿宋_GB2312" w:hAnsi="仿宋_GB2312" w:eastAsia="仿宋_GB2312" w:cs="仿宋_GB2312"/>
          <w:b w:val="0"/>
          <w:bCs w:val="0"/>
          <w:sz w:val="32"/>
          <w:szCs w:val="32"/>
        </w:rPr>
        <w:t>攀枝花市仁和区大田医院（攀枝花市仁和区大田镇妇幼保健站）</w:t>
      </w:r>
      <w:r>
        <w:rPr>
          <w:rFonts w:hint="eastAsia" w:ascii="仿宋_GB2312" w:hAnsi="仿宋_GB2312" w:eastAsia="仿宋_GB2312" w:cs="仿宋_GB2312"/>
          <w:b w:val="0"/>
          <w:bCs w:val="0"/>
          <w:sz w:val="32"/>
          <w:szCs w:val="32"/>
          <w:lang w:val="en-US" w:eastAsia="zh-CN"/>
        </w:rPr>
        <w:t>2022年财政资金总支出449.45万元，其中，人员经费支出279.31万元，部门预算项目支出78.62万元，专项项目支出91.52万元。</w:t>
      </w:r>
    </w:p>
    <w:p>
      <w:pPr>
        <w:keepNext w:val="0"/>
        <w:keepLines w:val="0"/>
        <w:pageBreakBefore w:val="0"/>
        <w:widowControl/>
        <w:numPr>
          <w:numId w:val="0"/>
        </w:numPr>
        <w:kinsoku/>
        <w:wordWrap/>
        <w:overflowPunct/>
        <w:topLinePunct w:val="0"/>
        <w:autoSpaceDE/>
        <w:autoSpaceDN/>
        <w:bidi w:val="0"/>
        <w:adjustRightInd w:val="0"/>
        <w:snapToGrid w:val="0"/>
        <w:spacing w:line="240" w:lineRule="auto"/>
        <w:ind w:left="640" w:leftChars="0"/>
        <w:contextualSpacing/>
        <w:jc w:val="left"/>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黑体" w:hAnsi="黑体" w:eastAsia="黑体" w:cs="黑体"/>
          <w:b w:val="0"/>
          <w:bCs w:val="0"/>
          <w:color w:val="000000"/>
          <w:kern w:val="0"/>
          <w:sz w:val="32"/>
          <w:szCs w:val="32"/>
          <w:shd w:val="clear" w:color="auto" w:fill="FFFFFF"/>
          <w:lang w:val="en-US" w:eastAsia="zh-CN"/>
        </w:rPr>
        <w:t>三、</w:t>
      </w:r>
      <w:r>
        <w:rPr>
          <w:rFonts w:hint="eastAsia" w:ascii="黑体" w:hAnsi="黑体" w:eastAsia="黑体" w:cs="黑体"/>
          <w:b w:val="0"/>
          <w:bCs w:val="0"/>
          <w:color w:val="000000"/>
          <w:kern w:val="0"/>
          <w:sz w:val="32"/>
          <w:szCs w:val="32"/>
          <w:shd w:val="clear" w:color="auto" w:fill="FFFFFF"/>
        </w:rPr>
        <w:t>部门整体预算绩效管理情况</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contextualSpacing/>
        <w:jc w:val="left"/>
        <w:textAlignment w:val="auto"/>
        <w:rPr>
          <w:rFonts w:hint="eastAsia" w:ascii="仿宋_GB2312" w:hAnsi="仿宋_GB2312" w:eastAsia="仿宋_GB2312" w:cs="仿宋_GB2312"/>
          <w:b w:val="0"/>
          <w:bCs w:val="0"/>
          <w:color w:val="000000"/>
          <w:kern w:val="0"/>
          <w:sz w:val="32"/>
          <w:szCs w:val="32"/>
          <w:shd w:val="clear" w:color="auto" w:fill="FFFFFF"/>
          <w:lang w:val="en-US" w:eastAsia="zh-CN"/>
        </w:rPr>
      </w:pPr>
      <w:r>
        <w:rPr>
          <w:rFonts w:hint="eastAsia" w:ascii="仿宋_GB2312" w:hAnsi="仿宋_GB2312" w:eastAsia="仿宋_GB2312" w:cs="仿宋_GB2312"/>
          <w:b w:val="0"/>
          <w:bCs w:val="0"/>
          <w:color w:val="000000"/>
          <w:kern w:val="0"/>
          <w:sz w:val="32"/>
          <w:szCs w:val="32"/>
          <w:shd w:val="clear" w:color="auto" w:fill="FFFFFF"/>
          <w:lang w:val="en-US" w:eastAsia="zh-CN"/>
        </w:rPr>
        <w:t xml:space="preserve">   （一）目标制定</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b w:val="0"/>
          <w:bCs w:val="0"/>
          <w:color w:val="000000"/>
          <w:kern w:val="0"/>
          <w:sz w:val="32"/>
          <w:szCs w:val="32"/>
          <w:shd w:val="clear" w:color="auto" w:fill="FFFFFF"/>
          <w:lang w:val="en-US" w:eastAsia="zh-CN"/>
        </w:rPr>
      </w:pPr>
      <w:r>
        <w:rPr>
          <w:rFonts w:hint="eastAsia" w:ascii="仿宋_GB2312" w:hAnsi="仿宋_GB2312" w:eastAsia="仿宋_GB2312" w:cs="仿宋_GB2312"/>
          <w:b w:val="0"/>
          <w:bCs w:val="0"/>
          <w:color w:val="000000"/>
          <w:kern w:val="0"/>
          <w:sz w:val="32"/>
          <w:szCs w:val="32"/>
          <w:shd w:val="clear" w:color="auto" w:fill="FFFFFF"/>
          <w:lang w:val="en-US" w:eastAsia="zh-CN"/>
        </w:rPr>
        <w:t>我单位严格按照规定使用财政拨付资金进行以下工作：</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color w:val="000000"/>
          <w:kern w:val="0"/>
          <w:sz w:val="32"/>
          <w:szCs w:val="32"/>
          <w:shd w:val="clear" w:color="auto" w:fill="FFFFFF"/>
          <w:lang w:val="en-US" w:eastAsia="zh-CN"/>
        </w:rPr>
        <w:t>1.</w:t>
      </w:r>
      <w:r>
        <w:rPr>
          <w:rFonts w:hint="eastAsia" w:ascii="仿宋_GB2312" w:hAnsi="仿宋_GB2312" w:eastAsia="仿宋_GB2312" w:cs="仿宋_GB2312"/>
          <w:b w:val="0"/>
          <w:bCs w:val="0"/>
          <w:sz w:val="32"/>
          <w:szCs w:val="32"/>
          <w:lang w:eastAsia="zh-CN"/>
        </w:rPr>
        <w:t>开展</w:t>
      </w:r>
      <w:r>
        <w:rPr>
          <w:rFonts w:hint="eastAsia" w:ascii="仿宋_GB2312" w:hAnsi="仿宋_GB2312" w:eastAsia="仿宋_GB2312" w:cs="仿宋_GB2312"/>
          <w:b w:val="0"/>
          <w:bCs w:val="0"/>
          <w:sz w:val="32"/>
          <w:szCs w:val="32"/>
        </w:rPr>
        <w:t>辖区一般常见病、多发病、 地方病</w:t>
      </w:r>
      <w:r>
        <w:rPr>
          <w:rFonts w:hint="eastAsia" w:ascii="仿宋_GB2312" w:hAnsi="仿宋_GB2312" w:eastAsia="仿宋_GB2312" w:cs="仿宋_GB2312"/>
          <w:b w:val="0"/>
          <w:bCs w:val="0"/>
          <w:sz w:val="32"/>
          <w:szCs w:val="32"/>
          <w:lang w:eastAsia="zh-CN"/>
        </w:rPr>
        <w:t>等</w:t>
      </w:r>
      <w:r>
        <w:rPr>
          <w:rFonts w:hint="eastAsia" w:ascii="仿宋_GB2312" w:hAnsi="仿宋_GB2312" w:eastAsia="仿宋_GB2312" w:cs="仿宋_GB2312"/>
          <w:b w:val="0"/>
          <w:bCs w:val="0"/>
          <w:sz w:val="32"/>
          <w:szCs w:val="32"/>
        </w:rPr>
        <w:t>基本医疗服务</w:t>
      </w:r>
      <w:r>
        <w:rPr>
          <w:rFonts w:hint="eastAsia" w:ascii="仿宋_GB2312" w:hAnsi="仿宋_GB2312" w:eastAsia="仿宋_GB2312" w:cs="仿宋_GB2312"/>
          <w:b w:val="0"/>
          <w:bCs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color w:val="000000"/>
          <w:kern w:val="0"/>
          <w:sz w:val="32"/>
          <w:szCs w:val="32"/>
          <w:shd w:val="clear" w:color="auto" w:fill="FFFFFF"/>
          <w:lang w:val="en-US" w:eastAsia="zh-CN"/>
        </w:rPr>
        <w:t>2.</w:t>
      </w:r>
      <w:r>
        <w:rPr>
          <w:rFonts w:hint="eastAsia" w:ascii="仿宋_GB2312" w:hAnsi="仿宋_GB2312" w:eastAsia="仿宋_GB2312" w:cs="仿宋_GB2312"/>
          <w:b w:val="0"/>
          <w:bCs w:val="0"/>
          <w:sz w:val="32"/>
          <w:szCs w:val="32"/>
          <w:lang w:val="en-US" w:eastAsia="zh-CN"/>
        </w:rPr>
        <w:t>开展</w:t>
      </w:r>
      <w:r>
        <w:rPr>
          <w:rFonts w:hint="eastAsia" w:ascii="仿宋_GB2312" w:hAnsi="仿宋_GB2312" w:eastAsia="仿宋_GB2312" w:cs="仿宋_GB2312"/>
          <w:b w:val="0"/>
          <w:bCs w:val="0"/>
          <w:sz w:val="32"/>
          <w:szCs w:val="32"/>
        </w:rPr>
        <w:t>建立城乡居民健康档案，提供健康教育、预防接种、儿童健康管理、孕产妇健康管理、老年人健康管理</w:t>
      </w:r>
      <w:r>
        <w:rPr>
          <w:rFonts w:hint="eastAsia" w:ascii="仿宋_GB2312" w:hAnsi="仿宋_GB2312" w:eastAsia="仿宋_GB2312" w:cs="仿宋_GB2312"/>
          <w:b w:val="0"/>
          <w:bCs w:val="0"/>
          <w:sz w:val="32"/>
          <w:szCs w:val="32"/>
          <w:lang w:eastAsia="zh-CN"/>
        </w:rPr>
        <w:t>等公共卫生服务。</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开展乡村医生技能培训、医保政策宣传等综合管理服务。</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（二）目标实现</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1.人员类：完成了对工资、津补贴、绩效、保险、职业年金、住房公积金、抚恤金的支付。</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2.运转类：医疗卫生管理经费完成了对药品、材料、试剂、疫苗、检测、杂支等费用的部分支付；医疗服务与保障能力提升（中医药事业传承与发展部分）完成了对中医馆购买设备费用的支付。</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（三）支出控制、及时处置</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对资金的支出严格按相关规定进行支付、控制，并对工作中支付失败的资金及时进行了重付。</w:t>
      </w:r>
    </w:p>
    <w:p>
      <w:pPr>
        <w:pStyle w:val="3"/>
        <w:keepNext w:val="0"/>
        <w:keepLines w:val="0"/>
        <w:pageBreakBefore w:val="0"/>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（四）执行进度</w:t>
      </w:r>
    </w:p>
    <w:p>
      <w:pPr>
        <w:pStyle w:val="3"/>
        <w:keepNext w:val="0"/>
        <w:keepLines w:val="0"/>
        <w:pageBreakBefore w:val="0"/>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sz w:val="32"/>
          <w:szCs w:val="32"/>
          <w:lang w:val="en-US" w:eastAsia="zh-CN"/>
        </w:rPr>
        <w:t>1.基药中央资金预算下达数9.8万元，已使用4.65万元，使用率47.5%；基药省级资金预算下达数4.75万元，已使用1.02万元，使用率21%。</w:t>
      </w:r>
      <w:r>
        <w:rPr>
          <w:rFonts w:hint="eastAsia" w:ascii="仿宋_GB2312" w:hAnsi="仿宋_GB2312" w:eastAsia="仿宋_GB2312" w:cs="仿宋_GB2312"/>
          <w:b w:val="0"/>
          <w:bCs w:val="0"/>
          <w:kern w:val="2"/>
          <w:sz w:val="32"/>
          <w:szCs w:val="32"/>
          <w:lang w:val="en-US" w:eastAsia="zh-CN" w:bidi="ar-SA"/>
        </w:rPr>
        <w:t>资金使用率低的主要原因是：财政资金调度困难，支付进度缓慢。</w:t>
      </w:r>
    </w:p>
    <w:p>
      <w:pPr>
        <w:pStyle w:val="3"/>
        <w:keepNext w:val="0"/>
        <w:keepLines w:val="0"/>
        <w:pageBreakBefore w:val="0"/>
        <w:numPr>
          <w:ilvl w:val="0"/>
          <w:numId w:val="0"/>
        </w:numPr>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2.基本公共卫生中央资金预算下达数61.79万元，已使用61.52万元，使用率99.56%；基本公共卫生省级资金预算下达数8.74万元，已使用8.74万元，使用率100%。</w:t>
      </w:r>
    </w:p>
    <w:p>
      <w:pPr>
        <w:pStyle w:val="3"/>
        <w:keepNext w:val="0"/>
        <w:keepLines w:val="0"/>
        <w:pageBreakBefore w:val="0"/>
        <w:widowControl w:val="0"/>
        <w:numPr>
          <w:ilvl w:val="0"/>
          <w:numId w:val="0"/>
        </w:numPr>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3.医疗服务与保障能力提升补助资金预算下达数3万元，已使用3万，使用率100%。</w:t>
      </w:r>
    </w:p>
    <w:p>
      <w:pPr>
        <w:pStyle w:val="3"/>
        <w:keepNext w:val="0"/>
        <w:keepLines w:val="0"/>
        <w:pageBreakBefore w:val="0"/>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4.政府资金投入1.5万元，已使用0.3万元，使用率20%，资金使用率低的主要原因是：财政资金调度困难，支付进度缓慢。</w:t>
      </w:r>
    </w:p>
    <w:p>
      <w:pPr>
        <w:pStyle w:val="3"/>
        <w:keepNext w:val="0"/>
        <w:keepLines w:val="0"/>
        <w:pageBreakBefore w:val="0"/>
        <w:numPr>
          <w:ilvl w:val="0"/>
          <w:numId w:val="0"/>
        </w:numPr>
        <w:kinsoku/>
        <w:wordWrap/>
        <w:overflowPunct/>
        <w:topLinePunct w:val="0"/>
        <w:autoSpaceDE/>
        <w:autoSpaceDN/>
        <w:bidi w:val="0"/>
        <w:spacing w:line="240" w:lineRule="auto"/>
        <w:ind w:firstLine="64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（五）预算完成情况</w:t>
      </w:r>
    </w:p>
    <w:p>
      <w:pPr>
        <w:pStyle w:val="3"/>
        <w:keepNext w:val="0"/>
        <w:keepLines w:val="0"/>
        <w:pageBreakBefore w:val="0"/>
        <w:numPr>
          <w:ilvl w:val="0"/>
          <w:numId w:val="0"/>
        </w:numPr>
        <w:kinsoku/>
        <w:wordWrap/>
        <w:overflowPunct/>
        <w:topLinePunct w:val="0"/>
        <w:autoSpaceDE/>
        <w:autoSpaceDN/>
        <w:bidi w:val="0"/>
        <w:spacing w:line="240" w:lineRule="auto"/>
        <w:ind w:firstLine="64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i w:val="0"/>
          <w:iCs w:val="0"/>
          <w:caps w:val="0"/>
          <w:color w:val="auto"/>
          <w:spacing w:val="0"/>
          <w:sz w:val="32"/>
          <w:szCs w:val="32"/>
          <w:shd w:val="clear" w:fill="FFFFFF"/>
          <w:vertAlign w:val="baseline"/>
        </w:rPr>
        <w:t>从我单位决算报表反映202</w:t>
      </w:r>
      <w:r>
        <w:rPr>
          <w:rFonts w:hint="eastAsia" w:ascii="仿宋_GB2312" w:hAnsi="仿宋_GB2312" w:eastAsia="仿宋_GB2312" w:cs="仿宋_GB2312"/>
          <w:b w:val="0"/>
          <w:bCs w:val="0"/>
          <w:i w:val="0"/>
          <w:iCs w:val="0"/>
          <w:caps w:val="0"/>
          <w:color w:val="auto"/>
          <w:spacing w:val="0"/>
          <w:sz w:val="32"/>
          <w:szCs w:val="32"/>
          <w:shd w:val="clear" w:fill="FFFFFF"/>
          <w:vertAlign w:val="baseline"/>
          <w:lang w:val="en-US" w:eastAsia="zh-CN"/>
        </w:rPr>
        <w:t>2</w:t>
      </w:r>
      <w:r>
        <w:rPr>
          <w:rFonts w:hint="eastAsia" w:ascii="仿宋_GB2312" w:hAnsi="仿宋_GB2312" w:eastAsia="仿宋_GB2312" w:cs="仿宋_GB2312"/>
          <w:b w:val="0"/>
          <w:bCs w:val="0"/>
          <w:i w:val="0"/>
          <w:iCs w:val="0"/>
          <w:caps w:val="0"/>
          <w:color w:val="auto"/>
          <w:spacing w:val="0"/>
          <w:sz w:val="32"/>
          <w:szCs w:val="32"/>
          <w:shd w:val="clear" w:fill="FFFFFF"/>
          <w:vertAlign w:val="baseline"/>
        </w:rPr>
        <w:t>年总收入</w:t>
      </w:r>
      <w:r>
        <w:rPr>
          <w:rFonts w:hint="eastAsia" w:ascii="仿宋_GB2312" w:hAnsi="仿宋_GB2312" w:eastAsia="仿宋_GB2312" w:cs="仿宋_GB2312"/>
          <w:b w:val="0"/>
          <w:bCs w:val="0"/>
          <w:i w:val="0"/>
          <w:iCs w:val="0"/>
          <w:caps w:val="0"/>
          <w:color w:val="auto"/>
          <w:spacing w:val="0"/>
          <w:sz w:val="32"/>
          <w:szCs w:val="32"/>
          <w:shd w:val="clear" w:fill="FFFFFF"/>
          <w:vertAlign w:val="baseline"/>
          <w:lang w:val="en-US" w:eastAsia="zh-CN"/>
        </w:rPr>
        <w:t>449.45</w:t>
      </w:r>
      <w:r>
        <w:rPr>
          <w:rFonts w:hint="eastAsia" w:ascii="仿宋_GB2312" w:hAnsi="仿宋_GB2312" w:eastAsia="仿宋_GB2312" w:cs="仿宋_GB2312"/>
          <w:b w:val="0"/>
          <w:bCs w:val="0"/>
          <w:i w:val="0"/>
          <w:iCs w:val="0"/>
          <w:caps w:val="0"/>
          <w:color w:val="auto"/>
          <w:spacing w:val="0"/>
          <w:sz w:val="32"/>
          <w:szCs w:val="32"/>
          <w:shd w:val="clear" w:fill="FFFFFF"/>
          <w:vertAlign w:val="baseline"/>
        </w:rPr>
        <w:t>万元，其中：一般公共预算财政拨款收入</w:t>
      </w:r>
      <w:r>
        <w:rPr>
          <w:rFonts w:hint="eastAsia" w:ascii="仿宋_GB2312" w:hAnsi="仿宋_GB2312" w:eastAsia="仿宋_GB2312" w:cs="仿宋_GB2312"/>
          <w:b w:val="0"/>
          <w:bCs w:val="0"/>
          <w:i w:val="0"/>
          <w:iCs w:val="0"/>
          <w:caps w:val="0"/>
          <w:color w:val="auto"/>
          <w:spacing w:val="0"/>
          <w:sz w:val="32"/>
          <w:szCs w:val="32"/>
          <w:shd w:val="clear" w:fill="FFFFFF"/>
          <w:vertAlign w:val="baseline"/>
          <w:lang w:val="en-US" w:eastAsia="zh-CN"/>
        </w:rPr>
        <w:t>449.15</w:t>
      </w:r>
      <w:r>
        <w:rPr>
          <w:rFonts w:hint="eastAsia" w:ascii="仿宋_GB2312" w:hAnsi="仿宋_GB2312" w:eastAsia="仿宋_GB2312" w:cs="仿宋_GB2312"/>
          <w:b w:val="0"/>
          <w:bCs w:val="0"/>
          <w:i w:val="0"/>
          <w:iCs w:val="0"/>
          <w:caps w:val="0"/>
          <w:color w:val="auto"/>
          <w:spacing w:val="0"/>
          <w:sz w:val="32"/>
          <w:szCs w:val="32"/>
          <w:shd w:val="clear" w:fill="FFFFFF"/>
          <w:vertAlign w:val="baseline"/>
        </w:rPr>
        <w:t>万元,政府性基金预算财政拨款收入</w:t>
      </w:r>
      <w:r>
        <w:rPr>
          <w:rFonts w:hint="eastAsia" w:ascii="仿宋_GB2312" w:hAnsi="仿宋_GB2312" w:eastAsia="仿宋_GB2312" w:cs="仿宋_GB2312"/>
          <w:b w:val="0"/>
          <w:bCs w:val="0"/>
          <w:i w:val="0"/>
          <w:iCs w:val="0"/>
          <w:caps w:val="0"/>
          <w:color w:val="auto"/>
          <w:spacing w:val="0"/>
          <w:sz w:val="32"/>
          <w:szCs w:val="32"/>
          <w:shd w:val="clear" w:fill="FFFFFF"/>
          <w:vertAlign w:val="baseline"/>
          <w:lang w:val="en-US" w:eastAsia="zh-CN"/>
        </w:rPr>
        <w:t>0.3万元</w:t>
      </w:r>
      <w:r>
        <w:rPr>
          <w:rFonts w:hint="eastAsia" w:ascii="仿宋_GB2312" w:hAnsi="仿宋_GB2312" w:eastAsia="仿宋_GB2312" w:cs="仿宋_GB2312"/>
          <w:b w:val="0"/>
          <w:bCs w:val="0"/>
          <w:i w:val="0"/>
          <w:iCs w:val="0"/>
          <w:caps w:val="0"/>
          <w:color w:val="auto"/>
          <w:spacing w:val="0"/>
          <w:sz w:val="32"/>
          <w:szCs w:val="32"/>
          <w:shd w:val="clear" w:fill="FFFFFF"/>
          <w:vertAlign w:val="baseline"/>
        </w:rPr>
        <w:t>。202</w:t>
      </w:r>
      <w:r>
        <w:rPr>
          <w:rFonts w:hint="eastAsia" w:ascii="仿宋_GB2312" w:hAnsi="仿宋_GB2312" w:eastAsia="仿宋_GB2312" w:cs="仿宋_GB2312"/>
          <w:b w:val="0"/>
          <w:bCs w:val="0"/>
          <w:i w:val="0"/>
          <w:iCs w:val="0"/>
          <w:caps w:val="0"/>
          <w:color w:val="auto"/>
          <w:spacing w:val="0"/>
          <w:sz w:val="32"/>
          <w:szCs w:val="32"/>
          <w:shd w:val="clear" w:fill="FFFFFF"/>
          <w:vertAlign w:val="baseline"/>
          <w:lang w:val="en-US" w:eastAsia="zh-CN"/>
        </w:rPr>
        <w:t>2</w:t>
      </w:r>
      <w:r>
        <w:rPr>
          <w:rFonts w:hint="eastAsia" w:ascii="仿宋_GB2312" w:hAnsi="仿宋_GB2312" w:eastAsia="仿宋_GB2312" w:cs="仿宋_GB2312"/>
          <w:b w:val="0"/>
          <w:bCs w:val="0"/>
          <w:i w:val="0"/>
          <w:iCs w:val="0"/>
          <w:caps w:val="0"/>
          <w:color w:val="auto"/>
          <w:spacing w:val="0"/>
          <w:sz w:val="32"/>
          <w:szCs w:val="32"/>
          <w:shd w:val="clear" w:fill="FFFFFF"/>
          <w:vertAlign w:val="baseline"/>
        </w:rPr>
        <w:t>年实际支出</w:t>
      </w:r>
      <w:r>
        <w:rPr>
          <w:rFonts w:hint="eastAsia" w:ascii="仿宋_GB2312" w:hAnsi="仿宋_GB2312" w:eastAsia="仿宋_GB2312" w:cs="仿宋_GB2312"/>
          <w:b w:val="0"/>
          <w:bCs w:val="0"/>
          <w:i w:val="0"/>
          <w:iCs w:val="0"/>
          <w:caps w:val="0"/>
          <w:color w:val="auto"/>
          <w:spacing w:val="0"/>
          <w:sz w:val="32"/>
          <w:szCs w:val="32"/>
          <w:shd w:val="clear" w:fill="FFFFFF"/>
          <w:vertAlign w:val="baseline"/>
          <w:lang w:val="en-US" w:eastAsia="zh-CN"/>
        </w:rPr>
        <w:t>449.45</w:t>
      </w:r>
      <w:r>
        <w:rPr>
          <w:rFonts w:hint="eastAsia" w:ascii="仿宋_GB2312" w:hAnsi="仿宋_GB2312" w:eastAsia="仿宋_GB2312" w:cs="仿宋_GB2312"/>
          <w:b w:val="0"/>
          <w:bCs w:val="0"/>
          <w:i w:val="0"/>
          <w:iCs w:val="0"/>
          <w:caps w:val="0"/>
          <w:color w:val="auto"/>
          <w:spacing w:val="0"/>
          <w:sz w:val="32"/>
          <w:szCs w:val="32"/>
          <w:shd w:val="clear" w:fill="FFFFFF"/>
          <w:vertAlign w:val="baseline"/>
        </w:rPr>
        <w:t>万元，</w:t>
      </w:r>
      <w:r>
        <w:rPr>
          <w:rFonts w:hint="eastAsia" w:ascii="仿宋_GB2312" w:hAnsi="仿宋_GB2312" w:eastAsia="仿宋_GB2312" w:cs="仿宋_GB2312"/>
          <w:b w:val="0"/>
          <w:bCs w:val="0"/>
          <w:i w:val="0"/>
          <w:iCs w:val="0"/>
          <w:caps w:val="0"/>
          <w:color w:val="auto"/>
          <w:spacing w:val="0"/>
          <w:sz w:val="32"/>
          <w:szCs w:val="32"/>
          <w:shd w:val="clear" w:fill="FFFFFF"/>
          <w:vertAlign w:val="baseline"/>
          <w:lang w:eastAsia="zh-CN"/>
        </w:rPr>
        <w:t>其中：</w:t>
      </w:r>
      <w:r>
        <w:rPr>
          <w:rFonts w:hint="eastAsia" w:ascii="仿宋_GB2312" w:hAnsi="仿宋_GB2312" w:eastAsia="仿宋_GB2312" w:cs="仿宋_GB2312"/>
          <w:b w:val="0"/>
          <w:bCs w:val="0"/>
          <w:i w:val="0"/>
          <w:iCs w:val="0"/>
          <w:caps w:val="0"/>
          <w:color w:val="auto"/>
          <w:spacing w:val="0"/>
          <w:sz w:val="32"/>
          <w:szCs w:val="32"/>
          <w:shd w:val="clear" w:fill="FFFFFF"/>
          <w:vertAlign w:val="baseline"/>
        </w:rPr>
        <w:t>基本支出</w:t>
      </w:r>
      <w:r>
        <w:rPr>
          <w:rFonts w:hint="eastAsia" w:ascii="仿宋_GB2312" w:hAnsi="仿宋_GB2312" w:eastAsia="仿宋_GB2312" w:cs="仿宋_GB2312"/>
          <w:b w:val="0"/>
          <w:bCs w:val="0"/>
          <w:i w:val="0"/>
          <w:iCs w:val="0"/>
          <w:caps w:val="0"/>
          <w:color w:val="auto"/>
          <w:spacing w:val="0"/>
          <w:sz w:val="32"/>
          <w:szCs w:val="32"/>
          <w:shd w:val="clear" w:fill="FFFFFF"/>
          <w:vertAlign w:val="baseline"/>
          <w:lang w:val="en-US" w:eastAsia="zh-CN"/>
        </w:rPr>
        <w:t>279.31</w:t>
      </w:r>
      <w:r>
        <w:rPr>
          <w:rFonts w:hint="eastAsia" w:ascii="仿宋_GB2312" w:hAnsi="仿宋_GB2312" w:eastAsia="仿宋_GB2312" w:cs="仿宋_GB2312"/>
          <w:b w:val="0"/>
          <w:bCs w:val="0"/>
          <w:i w:val="0"/>
          <w:iCs w:val="0"/>
          <w:caps w:val="0"/>
          <w:color w:val="auto"/>
          <w:spacing w:val="0"/>
          <w:sz w:val="32"/>
          <w:szCs w:val="32"/>
          <w:shd w:val="clear" w:fill="FFFFFF"/>
          <w:vertAlign w:val="baseline"/>
        </w:rPr>
        <w:t>万元</w:t>
      </w:r>
      <w:r>
        <w:rPr>
          <w:rFonts w:hint="eastAsia" w:ascii="仿宋_GB2312" w:hAnsi="仿宋_GB2312" w:eastAsia="仿宋_GB2312" w:cs="仿宋_GB2312"/>
          <w:b w:val="0"/>
          <w:bCs w:val="0"/>
          <w:i w:val="0"/>
          <w:iCs w:val="0"/>
          <w:caps w:val="0"/>
          <w:color w:val="auto"/>
          <w:spacing w:val="0"/>
          <w:sz w:val="32"/>
          <w:szCs w:val="32"/>
          <w:shd w:val="clear" w:fill="FFFFFF"/>
          <w:vertAlign w:val="baseline"/>
          <w:lang w:eastAsia="zh-CN"/>
        </w:rPr>
        <w:t>，项目支出</w:t>
      </w:r>
      <w:r>
        <w:rPr>
          <w:rFonts w:hint="eastAsia" w:ascii="仿宋_GB2312" w:hAnsi="仿宋_GB2312" w:eastAsia="仿宋_GB2312" w:cs="仿宋_GB2312"/>
          <w:b w:val="0"/>
          <w:bCs w:val="0"/>
          <w:i w:val="0"/>
          <w:iCs w:val="0"/>
          <w:caps w:val="0"/>
          <w:color w:val="auto"/>
          <w:spacing w:val="0"/>
          <w:sz w:val="32"/>
          <w:szCs w:val="32"/>
          <w:shd w:val="clear" w:fill="FFFFFF"/>
          <w:vertAlign w:val="baseline"/>
          <w:lang w:val="en-US" w:eastAsia="zh-CN"/>
        </w:rPr>
        <w:t>170.14万元</w:t>
      </w:r>
      <w:r>
        <w:rPr>
          <w:rFonts w:hint="eastAsia" w:ascii="仿宋_GB2312" w:hAnsi="仿宋_GB2312" w:eastAsia="仿宋_GB2312" w:cs="仿宋_GB2312"/>
          <w:b w:val="0"/>
          <w:bCs w:val="0"/>
          <w:i w:val="0"/>
          <w:iCs w:val="0"/>
          <w:caps w:val="0"/>
          <w:color w:val="auto"/>
          <w:spacing w:val="0"/>
          <w:sz w:val="32"/>
          <w:szCs w:val="32"/>
          <w:shd w:val="clear" w:fill="FFFFFF"/>
          <w:vertAlign w:val="baseline"/>
        </w:rPr>
        <w:t>。</w:t>
      </w:r>
    </w:p>
    <w:p>
      <w:pPr>
        <w:pStyle w:val="3"/>
        <w:keepNext w:val="0"/>
        <w:keepLines w:val="0"/>
        <w:pageBreakBefore w:val="0"/>
        <w:widowControl w:val="0"/>
        <w:numPr>
          <w:ilvl w:val="0"/>
          <w:numId w:val="0"/>
        </w:numPr>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b w:val="0"/>
          <w:bCs w:val="0"/>
          <w:color w:val="000000"/>
          <w:kern w:val="0"/>
          <w:sz w:val="32"/>
          <w:szCs w:val="32"/>
          <w:shd w:val="clear" w:color="auto" w:fill="FFFFFF"/>
          <w:lang w:val="en-US" w:eastAsia="zh-CN"/>
        </w:rPr>
      </w:pPr>
      <w:r>
        <w:rPr>
          <w:rFonts w:hint="eastAsia" w:ascii="仿宋_GB2312" w:hAnsi="仿宋_GB2312" w:eastAsia="仿宋_GB2312" w:cs="仿宋_GB2312"/>
          <w:b w:val="0"/>
          <w:bCs w:val="0"/>
          <w:kern w:val="2"/>
          <w:sz w:val="32"/>
          <w:szCs w:val="32"/>
          <w:lang w:val="en-US" w:eastAsia="zh-CN" w:bidi="ar-SA"/>
        </w:rPr>
        <w:t>（六）本年度我单位无资金违规记录</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640" w:leftChars="0"/>
        <w:contextualSpacing/>
        <w:jc w:val="left"/>
        <w:textAlignment w:val="auto"/>
        <w:rPr>
          <w:rFonts w:hint="eastAsia" w:ascii="黑体" w:hAnsi="黑体" w:eastAsia="黑体" w:cs="黑体"/>
          <w:b w:val="0"/>
          <w:bCs w:val="0"/>
          <w:color w:val="000000"/>
          <w:kern w:val="0"/>
          <w:sz w:val="32"/>
          <w:szCs w:val="32"/>
          <w:shd w:val="clear" w:color="auto" w:fill="FFFFFF"/>
          <w:lang w:val="zh-CN" w:eastAsia="zh-CN"/>
        </w:rPr>
      </w:pPr>
      <w:r>
        <w:rPr>
          <w:rFonts w:hint="eastAsia" w:ascii="黑体" w:hAnsi="黑体" w:eastAsia="黑体" w:cs="黑体"/>
          <w:b w:val="0"/>
          <w:bCs w:val="0"/>
          <w:color w:val="000000"/>
          <w:kern w:val="0"/>
          <w:sz w:val="32"/>
          <w:szCs w:val="32"/>
          <w:shd w:val="clear" w:color="auto" w:fill="FFFFFF"/>
          <w:lang w:val="zh-CN" w:eastAsia="zh-CN"/>
        </w:rPr>
        <w:t>四、结果应用情况</w:t>
      </w:r>
    </w:p>
    <w:p>
      <w:pPr>
        <w:pStyle w:val="3"/>
        <w:keepNext w:val="0"/>
        <w:keepLines w:val="0"/>
        <w:pageBreakBefore w:val="0"/>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总体</w:t>
      </w:r>
      <w:r>
        <w:rPr>
          <w:rFonts w:hint="eastAsia" w:ascii="仿宋_GB2312" w:hAnsi="仿宋_GB2312" w:eastAsia="仿宋_GB2312" w:cs="仿宋_GB2312"/>
          <w:b w:val="0"/>
          <w:bCs w:val="0"/>
          <w:sz w:val="32"/>
          <w:szCs w:val="32"/>
          <w:highlight w:val="none"/>
          <w:lang w:eastAsia="zh-CN"/>
        </w:rPr>
        <w:t>项目</w:t>
      </w:r>
      <w:r>
        <w:rPr>
          <w:rFonts w:hint="eastAsia" w:ascii="仿宋_GB2312" w:hAnsi="仿宋_GB2312" w:eastAsia="仿宋_GB2312" w:cs="仿宋_GB2312"/>
          <w:b w:val="0"/>
          <w:bCs w:val="0"/>
          <w:sz w:val="32"/>
          <w:szCs w:val="32"/>
          <w:highlight w:val="none"/>
        </w:rPr>
        <w:t>目标</w:t>
      </w:r>
      <w:r>
        <w:rPr>
          <w:rFonts w:hint="eastAsia" w:ascii="仿宋_GB2312" w:hAnsi="仿宋_GB2312" w:eastAsia="仿宋_GB2312" w:cs="仿宋_GB2312"/>
          <w:b w:val="0"/>
          <w:bCs w:val="0"/>
          <w:sz w:val="32"/>
          <w:szCs w:val="32"/>
          <w:highlight w:val="none"/>
          <w:lang w:eastAsia="zh-CN"/>
        </w:rPr>
        <w:t>完成情况</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1</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、基本医疗服务：医院门诊人次在202</w:t>
      </w:r>
      <w:r>
        <w:rPr>
          <w:rFonts w:hint="eastAsia" w:ascii="仿宋_GB2312" w:hAnsi="仿宋_GB2312" w:eastAsia="仿宋_GB2312" w:cs="仿宋_GB2312"/>
          <w:b w:val="0"/>
          <w:bCs w:val="0"/>
          <w:sz w:val="32"/>
          <w:szCs w:val="32"/>
          <w:highlight w:val="none"/>
          <w:lang w:val="en-US" w:eastAsia="zh-CN"/>
        </w:rPr>
        <w:t>1</w:t>
      </w:r>
      <w:r>
        <w:rPr>
          <w:rFonts w:hint="eastAsia" w:ascii="仿宋_GB2312" w:hAnsi="仿宋_GB2312" w:eastAsia="仿宋_GB2312" w:cs="仿宋_GB2312"/>
          <w:b w:val="0"/>
          <w:bCs w:val="0"/>
          <w:sz w:val="32"/>
          <w:szCs w:val="32"/>
          <w:highlight w:val="none"/>
        </w:rPr>
        <w:t>年基础上增加3%，</w:t>
      </w:r>
      <w:r>
        <w:rPr>
          <w:rFonts w:hint="eastAsia" w:ascii="仿宋_GB2312" w:hAnsi="仿宋_GB2312" w:eastAsia="仿宋_GB2312" w:cs="仿宋_GB2312"/>
          <w:b w:val="0"/>
          <w:bCs w:val="0"/>
          <w:color w:val="auto"/>
          <w:sz w:val="32"/>
          <w:szCs w:val="32"/>
          <w:highlight w:val="none"/>
        </w:rPr>
        <w:t>住院人次与上年</w:t>
      </w:r>
      <w:r>
        <w:rPr>
          <w:rFonts w:hint="eastAsia" w:ascii="仿宋_GB2312" w:hAnsi="仿宋_GB2312" w:eastAsia="仿宋_GB2312" w:cs="仿宋_GB2312"/>
          <w:b w:val="0"/>
          <w:bCs w:val="0"/>
          <w:color w:val="auto"/>
          <w:sz w:val="32"/>
          <w:szCs w:val="32"/>
          <w:highlight w:val="none"/>
          <w:lang w:eastAsia="zh-CN"/>
        </w:rPr>
        <w:t>增加</w:t>
      </w:r>
      <w:r>
        <w:rPr>
          <w:rFonts w:hint="eastAsia" w:ascii="仿宋_GB2312" w:hAnsi="仿宋_GB2312" w:eastAsia="仿宋_GB2312" w:cs="仿宋_GB2312"/>
          <w:b w:val="0"/>
          <w:bCs w:val="0"/>
          <w:color w:val="auto"/>
          <w:sz w:val="32"/>
          <w:szCs w:val="32"/>
          <w:highlight w:val="none"/>
          <w:lang w:val="en-US" w:eastAsia="zh-CN"/>
        </w:rPr>
        <w:t>155%</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2</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、基本公共卫生：已完成全年基本公共卫生工作指标；高血压管理率达90%、糖尿病管理率达90%、老年人管理率达90%、孕产妇管理率达100%、儿童管理率达95%。</w:t>
      </w:r>
    </w:p>
    <w:p>
      <w:pPr>
        <w:pStyle w:val="3"/>
        <w:keepNext w:val="0"/>
        <w:keepLines w:val="0"/>
        <w:pageBreakBefore w:val="0"/>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（一）财政资金完成情况</w:t>
      </w:r>
    </w:p>
    <w:p>
      <w:pPr>
        <w:keepNext w:val="0"/>
        <w:keepLines w:val="0"/>
        <w:pageBreakBefore w:val="0"/>
        <w:numPr>
          <w:ilvl w:val="0"/>
          <w:numId w:val="0"/>
        </w:numPr>
        <w:kinsoku/>
        <w:wordWrap/>
        <w:overflowPunct/>
        <w:topLinePunct w:val="0"/>
        <w:autoSpaceDE/>
        <w:autoSpaceDN/>
        <w:bidi w:val="0"/>
        <w:spacing w:line="240" w:lineRule="auto"/>
        <w:ind w:left="400" w:leftChars="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 xml:space="preserve"> 1.</w:t>
      </w:r>
      <w:r>
        <w:rPr>
          <w:rFonts w:hint="eastAsia" w:ascii="仿宋_GB2312" w:hAnsi="仿宋_GB2312" w:eastAsia="仿宋_GB2312" w:cs="仿宋_GB2312"/>
          <w:b w:val="0"/>
          <w:bCs w:val="0"/>
          <w:sz w:val="32"/>
          <w:szCs w:val="32"/>
          <w:highlight w:val="none"/>
          <w:lang w:eastAsia="zh-CN"/>
        </w:rPr>
        <w:t>数量指标</w:t>
      </w:r>
    </w:p>
    <w:p>
      <w:pPr>
        <w:keepNext w:val="0"/>
        <w:keepLines w:val="0"/>
        <w:pageBreakBefore w:val="0"/>
        <w:kinsoku/>
        <w:wordWrap/>
        <w:overflowPunct/>
        <w:topLinePunct w:val="0"/>
        <w:autoSpaceDE/>
        <w:autoSpaceDN/>
        <w:bidi w:val="0"/>
        <w:spacing w:line="240" w:lineRule="auto"/>
        <w:ind w:firstLine="64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仁和区大田医院2022年财政供养人数19人，实际完成数19人，完成率100%。</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2.</w:t>
      </w:r>
      <w:r>
        <w:rPr>
          <w:rFonts w:hint="eastAsia" w:ascii="仿宋_GB2312" w:hAnsi="仿宋_GB2312" w:eastAsia="仿宋_GB2312" w:cs="仿宋_GB2312"/>
          <w:b w:val="0"/>
          <w:bCs w:val="0"/>
          <w:sz w:val="32"/>
          <w:szCs w:val="32"/>
          <w:highlight w:val="none"/>
          <w:lang w:eastAsia="zh-CN"/>
        </w:rPr>
        <w:t>质量指标</w:t>
      </w: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人员经费保障率100%。</w:t>
      </w:r>
    </w:p>
    <w:p>
      <w:pPr>
        <w:keepNext w:val="0"/>
        <w:keepLines w:val="0"/>
        <w:pageBreakBefore w:val="0"/>
        <w:numPr>
          <w:ilvl w:val="0"/>
          <w:numId w:val="0"/>
        </w:numPr>
        <w:kinsoku/>
        <w:wordWrap/>
        <w:overflowPunct/>
        <w:topLinePunct w:val="0"/>
        <w:autoSpaceDE/>
        <w:autoSpaceDN/>
        <w:bidi w:val="0"/>
        <w:spacing w:line="240" w:lineRule="auto"/>
        <w:ind w:lef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3.时效指标</w:t>
      </w:r>
    </w:p>
    <w:p>
      <w:pPr>
        <w:keepNext w:val="0"/>
        <w:keepLines w:val="0"/>
        <w:pageBreakBefore w:val="0"/>
        <w:numPr>
          <w:ilvl w:val="0"/>
          <w:numId w:val="0"/>
        </w:numPr>
        <w:kinsoku/>
        <w:wordWrap/>
        <w:overflowPunct/>
        <w:topLinePunct w:val="0"/>
        <w:autoSpaceDE/>
        <w:autoSpaceDN/>
        <w:bidi w:val="0"/>
        <w:spacing w:line="240" w:lineRule="auto"/>
        <w:ind w:leftChars="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人员支出保障时限为2022年1--12月，已经100%完成。</w:t>
      </w:r>
    </w:p>
    <w:p>
      <w:pPr>
        <w:keepNext w:val="0"/>
        <w:keepLines w:val="0"/>
        <w:pageBreakBefore w:val="0"/>
        <w:numPr>
          <w:ilvl w:val="0"/>
          <w:numId w:val="0"/>
        </w:numPr>
        <w:kinsoku/>
        <w:wordWrap/>
        <w:overflowPunct/>
        <w:topLinePunct w:val="0"/>
        <w:autoSpaceDE/>
        <w:autoSpaceDN/>
        <w:bidi w:val="0"/>
        <w:spacing w:line="240" w:lineRule="auto"/>
        <w:ind w:lef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4.成本指标</w:t>
      </w:r>
    </w:p>
    <w:p>
      <w:pPr>
        <w:keepNext w:val="0"/>
        <w:keepLines w:val="0"/>
        <w:pageBreakBefore w:val="0"/>
        <w:numPr>
          <w:ilvl w:val="0"/>
          <w:numId w:val="0"/>
        </w:numPr>
        <w:kinsoku/>
        <w:wordWrap/>
        <w:overflowPunct/>
        <w:topLinePunct w:val="0"/>
        <w:autoSpaceDE/>
        <w:autoSpaceDN/>
        <w:bidi w:val="0"/>
        <w:spacing w:line="240" w:lineRule="auto"/>
        <w:ind w:lef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2022年全年支出449.45万元。</w:t>
      </w:r>
    </w:p>
    <w:p>
      <w:pPr>
        <w:keepNext w:val="0"/>
        <w:keepLines w:val="0"/>
        <w:pageBreakBefore w:val="0"/>
        <w:numPr>
          <w:ilvl w:val="0"/>
          <w:numId w:val="0"/>
        </w:numPr>
        <w:kinsoku/>
        <w:wordWrap/>
        <w:overflowPunct/>
        <w:topLinePunct w:val="0"/>
        <w:autoSpaceDE/>
        <w:autoSpaceDN/>
        <w:bidi w:val="0"/>
        <w:spacing w:line="240" w:lineRule="auto"/>
        <w:ind w:lef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5.社会效益指标</w:t>
      </w:r>
    </w:p>
    <w:p>
      <w:pPr>
        <w:keepNext w:val="0"/>
        <w:keepLines w:val="0"/>
        <w:pageBreakBefore w:val="0"/>
        <w:numPr>
          <w:ilvl w:val="0"/>
          <w:numId w:val="0"/>
        </w:numPr>
        <w:kinsoku/>
        <w:wordWrap/>
        <w:overflowPunct/>
        <w:topLinePunct w:val="0"/>
        <w:autoSpaceDE/>
        <w:autoSpaceDN/>
        <w:bidi w:val="0"/>
        <w:spacing w:line="240" w:lineRule="auto"/>
        <w:ind w:leftChars="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提高卫生院在群众中的知晓率和满意度，推动卫生健康事业高质量发展，群众满意度达到98%。</w:t>
      </w:r>
    </w:p>
    <w:p>
      <w:pPr>
        <w:keepNext w:val="0"/>
        <w:keepLines w:val="0"/>
        <w:pageBreakBefore w:val="0"/>
        <w:numPr>
          <w:ilvl w:val="0"/>
          <w:numId w:val="0"/>
        </w:numPr>
        <w:kinsoku/>
        <w:wordWrap/>
        <w:overflowPunct/>
        <w:topLinePunct w:val="0"/>
        <w:autoSpaceDE/>
        <w:autoSpaceDN/>
        <w:bidi w:val="0"/>
        <w:spacing w:line="240" w:lineRule="auto"/>
        <w:ind w:lef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6.可持续影响指标</w:t>
      </w:r>
    </w:p>
    <w:p>
      <w:pPr>
        <w:keepNext w:val="0"/>
        <w:keepLines w:val="0"/>
        <w:pageBreakBefore w:val="0"/>
        <w:numPr>
          <w:ilvl w:val="0"/>
          <w:numId w:val="0"/>
        </w:numPr>
        <w:kinsoku/>
        <w:wordWrap/>
        <w:overflowPunct/>
        <w:topLinePunct w:val="0"/>
        <w:autoSpaceDE/>
        <w:autoSpaceDN/>
        <w:bidi w:val="0"/>
        <w:spacing w:line="240" w:lineRule="auto"/>
        <w:ind w:leftChars="0" w:firstLine="64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推动卫生健康事业高质量发展，完成率95%。</w:t>
      </w:r>
    </w:p>
    <w:p>
      <w:pPr>
        <w:keepNext w:val="0"/>
        <w:keepLines w:val="0"/>
        <w:pageBreakBefore w:val="0"/>
        <w:numPr>
          <w:ilvl w:val="0"/>
          <w:numId w:val="0"/>
        </w:numPr>
        <w:kinsoku/>
        <w:wordWrap/>
        <w:overflowPunct/>
        <w:topLinePunct w:val="0"/>
        <w:autoSpaceDE/>
        <w:autoSpaceDN/>
        <w:bidi w:val="0"/>
        <w:spacing w:line="240" w:lineRule="auto"/>
        <w:ind w:lef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7.满意度指标</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b w:val="0"/>
          <w:bCs w:val="0"/>
          <w:color w:val="000000"/>
          <w:kern w:val="0"/>
          <w:sz w:val="32"/>
          <w:szCs w:val="32"/>
          <w:highlight w:val="none"/>
          <w:shd w:val="clear" w:color="auto" w:fill="FFFFFF"/>
          <w:lang w:val="zh-CN"/>
        </w:rPr>
      </w:pPr>
      <w:r>
        <w:rPr>
          <w:rFonts w:hint="eastAsia" w:ascii="仿宋_GB2312" w:hAnsi="仿宋_GB2312" w:eastAsia="仿宋_GB2312" w:cs="仿宋_GB2312"/>
          <w:b w:val="0"/>
          <w:bCs w:val="0"/>
          <w:sz w:val="32"/>
          <w:szCs w:val="32"/>
          <w:highlight w:val="none"/>
          <w:lang w:val="en-US" w:eastAsia="zh-CN"/>
        </w:rPr>
        <w:t>群众满意度达到98%。</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b w:val="0"/>
          <w:bCs w:val="0"/>
          <w:color w:val="000000"/>
          <w:kern w:val="0"/>
          <w:sz w:val="32"/>
          <w:szCs w:val="32"/>
          <w:highlight w:val="none"/>
          <w:shd w:val="clear" w:color="auto" w:fill="FFFFFF"/>
          <w:lang w:val="zh-CN"/>
        </w:rPr>
      </w:pPr>
      <w:r>
        <w:rPr>
          <w:rFonts w:hint="eastAsia" w:ascii="仿宋_GB2312" w:hAnsi="仿宋_GB2312" w:eastAsia="仿宋_GB2312" w:cs="仿宋_GB2312"/>
          <w:b w:val="0"/>
          <w:bCs w:val="0"/>
          <w:color w:val="000000"/>
          <w:kern w:val="0"/>
          <w:sz w:val="32"/>
          <w:szCs w:val="32"/>
          <w:highlight w:val="none"/>
          <w:shd w:val="clear" w:color="auto" w:fill="FFFFFF"/>
          <w:lang w:val="zh-CN"/>
        </w:rPr>
        <w:t>（</w:t>
      </w:r>
      <w:r>
        <w:rPr>
          <w:rFonts w:hint="eastAsia" w:ascii="仿宋_GB2312" w:hAnsi="仿宋_GB2312" w:eastAsia="仿宋_GB2312" w:cs="仿宋_GB2312"/>
          <w:b w:val="0"/>
          <w:bCs w:val="0"/>
          <w:color w:val="000000"/>
          <w:kern w:val="0"/>
          <w:sz w:val="32"/>
          <w:szCs w:val="32"/>
          <w:highlight w:val="none"/>
          <w:shd w:val="clear" w:color="auto" w:fill="FFFFFF"/>
          <w:lang w:val="en-US" w:eastAsia="zh-CN"/>
        </w:rPr>
        <w:t>二</w:t>
      </w:r>
      <w:r>
        <w:rPr>
          <w:rFonts w:hint="eastAsia" w:ascii="仿宋_GB2312" w:hAnsi="仿宋_GB2312" w:eastAsia="仿宋_GB2312" w:cs="仿宋_GB2312"/>
          <w:b w:val="0"/>
          <w:bCs w:val="0"/>
          <w:color w:val="000000"/>
          <w:kern w:val="0"/>
          <w:sz w:val="32"/>
          <w:szCs w:val="32"/>
          <w:highlight w:val="none"/>
          <w:shd w:val="clear" w:color="auto" w:fill="FFFFFF"/>
          <w:lang w:val="zh-CN"/>
        </w:rPr>
        <w:t>）自评质量</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b w:val="0"/>
          <w:bCs w:val="0"/>
          <w:color w:val="0000FF"/>
          <w:kern w:val="0"/>
          <w:sz w:val="32"/>
          <w:szCs w:val="32"/>
          <w:highlight w:val="none"/>
          <w:shd w:val="clear" w:color="auto" w:fill="FFFFFF"/>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rPr>
        <w:t>经过对我院2022年项目支出情况进行总体评估，我院完善了院内财务内控制度，所有支出均按照财务相关规定支付，不存在违规支付、超标准支付等情况。</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640" w:leftChars="0"/>
        <w:contextualSpacing/>
        <w:jc w:val="left"/>
        <w:textAlignment w:val="auto"/>
        <w:rPr>
          <w:rFonts w:hint="eastAsia" w:ascii="黑体" w:hAnsi="黑体" w:eastAsia="黑体" w:cs="黑体"/>
          <w:b w:val="0"/>
          <w:bCs w:val="0"/>
          <w:color w:val="000000"/>
          <w:kern w:val="0"/>
          <w:sz w:val="32"/>
          <w:szCs w:val="32"/>
          <w:shd w:val="clear" w:color="auto" w:fill="FFFFFF"/>
          <w:lang w:val="en-US" w:eastAsia="zh-CN"/>
        </w:rPr>
      </w:pPr>
      <w:r>
        <w:rPr>
          <w:rFonts w:hint="eastAsia" w:ascii="黑体" w:hAnsi="黑体" w:eastAsia="黑体" w:cs="黑体"/>
          <w:b w:val="0"/>
          <w:bCs w:val="0"/>
          <w:color w:val="000000"/>
          <w:kern w:val="0"/>
          <w:sz w:val="32"/>
          <w:szCs w:val="32"/>
          <w:shd w:val="clear" w:color="auto" w:fill="FFFFFF"/>
          <w:lang w:val="en-US" w:eastAsia="zh-CN"/>
        </w:rPr>
        <w:t>五、评价结论及建议</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b w:val="0"/>
          <w:bCs w:val="0"/>
          <w:color w:val="000000"/>
          <w:kern w:val="0"/>
          <w:sz w:val="32"/>
          <w:szCs w:val="32"/>
          <w:highlight w:val="none"/>
          <w:shd w:val="clear" w:color="auto" w:fill="FFFFFF"/>
          <w:lang w:val="zh-CN"/>
        </w:rPr>
      </w:pPr>
      <w:r>
        <w:rPr>
          <w:rFonts w:hint="eastAsia" w:ascii="仿宋_GB2312" w:hAnsi="仿宋_GB2312" w:eastAsia="仿宋_GB2312" w:cs="仿宋_GB2312"/>
          <w:b w:val="0"/>
          <w:bCs w:val="0"/>
          <w:color w:val="000000"/>
          <w:kern w:val="0"/>
          <w:sz w:val="32"/>
          <w:szCs w:val="32"/>
          <w:highlight w:val="none"/>
          <w:shd w:val="clear" w:color="auto" w:fill="FFFFFF"/>
          <w:lang w:val="zh-CN"/>
        </w:rPr>
        <w:t>（一）评价结论</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b w:val="0"/>
          <w:bCs w:val="0"/>
          <w:color w:val="000000"/>
          <w:kern w:val="0"/>
          <w:sz w:val="32"/>
          <w:szCs w:val="32"/>
          <w:highlight w:val="none"/>
          <w:shd w:val="clear" w:color="auto" w:fill="FFFFFF"/>
          <w:lang w:val="en-US" w:eastAsia="zh-CN"/>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rPr>
        <w:t xml:space="preserve">项目支出符合财政管理规定。经过对我院2022年项目支出情况进行总体评估，我院完善了院内财务内控制度，所有支出均按照财务相关规定支付，不存在违规支付、超标准支付等情况。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200"/>
        <w:contextualSpacing/>
        <w:jc w:val="left"/>
        <w:textAlignment w:val="auto"/>
        <w:rPr>
          <w:rFonts w:hint="eastAsia" w:ascii="仿宋_GB2312" w:hAnsi="仿宋_GB2312" w:eastAsia="仿宋_GB2312" w:cs="仿宋_GB2312"/>
          <w:b w:val="0"/>
          <w:bCs w:val="0"/>
          <w:color w:val="000000"/>
          <w:kern w:val="0"/>
          <w:sz w:val="32"/>
          <w:szCs w:val="32"/>
          <w:highlight w:val="none"/>
          <w:shd w:val="clear" w:color="auto" w:fill="FFFFFF"/>
          <w:lang w:val="zh-CN"/>
        </w:rPr>
      </w:pPr>
      <w:r>
        <w:rPr>
          <w:rFonts w:hint="eastAsia" w:ascii="仿宋_GB2312" w:hAnsi="仿宋_GB2312" w:eastAsia="仿宋_GB2312" w:cs="仿宋_GB2312"/>
          <w:b w:val="0"/>
          <w:bCs w:val="0"/>
          <w:color w:val="000000"/>
          <w:kern w:val="0"/>
          <w:sz w:val="32"/>
          <w:szCs w:val="32"/>
          <w:highlight w:val="none"/>
          <w:shd w:val="clear" w:color="auto" w:fill="FFFFFF"/>
          <w:lang w:val="zh-CN"/>
        </w:rPr>
        <w:t>（</w:t>
      </w:r>
      <w:r>
        <w:rPr>
          <w:rFonts w:hint="eastAsia" w:ascii="仿宋_GB2312" w:hAnsi="仿宋_GB2312" w:eastAsia="仿宋_GB2312" w:cs="仿宋_GB2312"/>
          <w:b w:val="0"/>
          <w:bCs w:val="0"/>
          <w:color w:val="000000"/>
          <w:kern w:val="0"/>
          <w:sz w:val="32"/>
          <w:szCs w:val="32"/>
          <w:highlight w:val="none"/>
          <w:shd w:val="clear" w:color="auto" w:fill="FFFFFF"/>
          <w:lang w:val="en-US" w:eastAsia="zh-CN"/>
        </w:rPr>
        <w:t>二</w:t>
      </w:r>
      <w:r>
        <w:rPr>
          <w:rFonts w:hint="eastAsia" w:ascii="仿宋_GB2312" w:hAnsi="仿宋_GB2312" w:eastAsia="仿宋_GB2312" w:cs="仿宋_GB2312"/>
          <w:b w:val="0"/>
          <w:bCs w:val="0"/>
          <w:color w:val="000000"/>
          <w:kern w:val="0"/>
          <w:sz w:val="32"/>
          <w:szCs w:val="32"/>
          <w:highlight w:val="none"/>
          <w:shd w:val="clear" w:color="auto" w:fill="FFFFFF"/>
          <w:lang w:val="zh-CN"/>
        </w:rPr>
        <w:t>）存在问题</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b w:val="0"/>
          <w:bCs w:val="0"/>
          <w:color w:val="000000"/>
          <w:kern w:val="0"/>
          <w:sz w:val="32"/>
          <w:szCs w:val="32"/>
          <w:highlight w:val="none"/>
          <w:shd w:val="clear" w:color="auto" w:fill="FFFFFF"/>
          <w:lang w:val="en-US" w:eastAsia="zh-CN"/>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rPr>
        <w:t>预算数低于决算数，是因为预算不够精确，预算水平有待进一步提高。</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200"/>
        <w:contextualSpacing/>
        <w:jc w:val="left"/>
        <w:textAlignment w:val="auto"/>
        <w:rPr>
          <w:rFonts w:hint="eastAsia" w:ascii="仿宋_GB2312" w:hAnsi="仿宋_GB2312" w:eastAsia="仿宋_GB2312" w:cs="仿宋_GB2312"/>
          <w:b w:val="0"/>
          <w:bCs w:val="0"/>
          <w:color w:val="000000"/>
          <w:kern w:val="0"/>
          <w:sz w:val="32"/>
          <w:szCs w:val="32"/>
          <w:highlight w:val="none"/>
          <w:shd w:val="clear" w:color="auto" w:fill="FFFFFF"/>
          <w:lang w:val="zh-CN"/>
        </w:rPr>
      </w:pPr>
      <w:r>
        <w:rPr>
          <w:rFonts w:hint="eastAsia" w:ascii="仿宋_GB2312" w:hAnsi="仿宋_GB2312" w:eastAsia="仿宋_GB2312" w:cs="仿宋_GB2312"/>
          <w:b w:val="0"/>
          <w:bCs w:val="0"/>
          <w:color w:val="000000"/>
          <w:kern w:val="0"/>
          <w:sz w:val="32"/>
          <w:szCs w:val="32"/>
          <w:highlight w:val="none"/>
          <w:shd w:val="clear" w:color="auto" w:fill="FFFFFF"/>
          <w:lang w:val="zh-CN"/>
        </w:rPr>
        <w:t>（</w:t>
      </w:r>
      <w:r>
        <w:rPr>
          <w:rFonts w:hint="eastAsia" w:ascii="仿宋_GB2312" w:hAnsi="仿宋_GB2312" w:eastAsia="仿宋_GB2312" w:cs="仿宋_GB2312"/>
          <w:b w:val="0"/>
          <w:bCs w:val="0"/>
          <w:color w:val="000000"/>
          <w:kern w:val="0"/>
          <w:sz w:val="32"/>
          <w:szCs w:val="32"/>
          <w:highlight w:val="none"/>
          <w:shd w:val="clear" w:color="auto" w:fill="FFFFFF"/>
          <w:lang w:val="en-US" w:eastAsia="zh-CN"/>
        </w:rPr>
        <w:t>三</w:t>
      </w:r>
      <w:r>
        <w:rPr>
          <w:rFonts w:hint="eastAsia" w:ascii="仿宋_GB2312" w:hAnsi="仿宋_GB2312" w:eastAsia="仿宋_GB2312" w:cs="仿宋_GB2312"/>
          <w:b w:val="0"/>
          <w:bCs w:val="0"/>
          <w:color w:val="000000"/>
          <w:kern w:val="0"/>
          <w:sz w:val="32"/>
          <w:szCs w:val="32"/>
          <w:highlight w:val="none"/>
          <w:shd w:val="clear" w:color="auto" w:fill="FFFFFF"/>
          <w:lang w:val="zh-CN"/>
        </w:rPr>
        <w:t>）改进建议</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b w:val="0"/>
          <w:bCs w:val="0"/>
          <w:color w:val="000000"/>
          <w:kern w:val="0"/>
          <w:sz w:val="32"/>
          <w:szCs w:val="32"/>
          <w:highlight w:val="none"/>
          <w:shd w:val="clear" w:color="auto" w:fill="FFFFFF"/>
          <w:lang w:val="en-US" w:eastAsia="zh-CN"/>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rPr>
        <w:t>加强预算人员培训学习，提升预算人员专业技能水平，提升预算准确性。</w:t>
      </w:r>
    </w:p>
    <w:p>
      <w:pPr>
        <w:keepNext w:val="0"/>
        <w:keepLines w:val="0"/>
        <w:pageBreakBefore w:val="0"/>
        <w:widowControl/>
        <w:kinsoku/>
        <w:wordWrap/>
        <w:overflowPunct/>
        <w:topLinePunct w:val="0"/>
        <w:autoSpaceDE/>
        <w:autoSpaceDN/>
        <w:bidi w:val="0"/>
        <w:adjustRightInd w:val="0"/>
        <w:snapToGrid w:val="0"/>
        <w:spacing w:line="240" w:lineRule="auto"/>
        <w:ind w:firstLine="6080" w:firstLineChars="1900"/>
        <w:contextualSpacing/>
        <w:jc w:val="left"/>
        <w:textAlignment w:val="auto"/>
        <w:rPr>
          <w:rFonts w:hint="eastAsia" w:ascii="仿宋_GB2312" w:hAnsi="仿宋_GB2312" w:eastAsia="仿宋_GB2312" w:cs="仿宋_GB2312"/>
          <w:b w:val="0"/>
          <w:bCs w:val="0"/>
          <w:color w:val="000000"/>
          <w:kern w:val="0"/>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b w:val="0"/>
          <w:bCs w:val="0"/>
          <w:color w:val="000000"/>
          <w:kern w:val="0"/>
          <w:sz w:val="32"/>
          <w:szCs w:val="32"/>
          <w:shd w:val="clear" w:color="auto" w:fill="FFFFFF"/>
          <w:lang w:val="en-US" w:eastAsia="zh-CN"/>
        </w:rPr>
      </w:pPr>
      <w:r>
        <w:rPr>
          <w:rFonts w:hint="eastAsia" w:ascii="仿宋_GB2312" w:hAnsi="仿宋_GB2312" w:eastAsia="仿宋_GB2312" w:cs="仿宋_GB2312"/>
          <w:b w:val="0"/>
          <w:bCs w:val="0"/>
          <w:color w:val="000000"/>
          <w:kern w:val="0"/>
          <w:sz w:val="32"/>
          <w:szCs w:val="32"/>
          <w:shd w:val="clear" w:color="auto" w:fill="FFFFFF"/>
          <w:lang w:val="en-US" w:eastAsia="zh-CN"/>
        </w:rPr>
        <w:t xml:space="preserve">附件：1. 2022年部门整体支出绩效评价    </w:t>
      </w:r>
    </w:p>
    <w:p>
      <w:pPr>
        <w:keepNext w:val="0"/>
        <w:keepLines w:val="0"/>
        <w:pageBreakBefore w:val="0"/>
        <w:widowControl/>
        <w:numPr>
          <w:ilvl w:val="0"/>
          <w:numId w:val="3"/>
        </w:numPr>
        <w:kinsoku/>
        <w:wordWrap/>
        <w:overflowPunct/>
        <w:topLinePunct w:val="0"/>
        <w:autoSpaceDE/>
        <w:autoSpaceDN/>
        <w:bidi w:val="0"/>
        <w:adjustRightInd w:val="0"/>
        <w:snapToGrid w:val="0"/>
        <w:spacing w:line="240" w:lineRule="auto"/>
        <w:ind w:left="1600" w:leftChars="0" w:firstLine="0" w:firstLineChars="0"/>
        <w:contextualSpacing/>
        <w:jc w:val="left"/>
        <w:textAlignment w:val="auto"/>
        <w:rPr>
          <w:rFonts w:hint="eastAsia" w:ascii="仿宋_GB2312" w:hAnsi="仿宋_GB2312" w:eastAsia="仿宋_GB2312" w:cs="仿宋_GB2312"/>
          <w:b w:val="0"/>
          <w:bCs w:val="0"/>
          <w:color w:val="000000"/>
          <w:kern w:val="0"/>
          <w:sz w:val="32"/>
          <w:szCs w:val="32"/>
          <w:shd w:val="clear" w:color="auto" w:fill="FFFFFF"/>
          <w:lang w:val="en-US" w:eastAsia="zh-CN"/>
        </w:rPr>
      </w:pPr>
      <w:r>
        <w:rPr>
          <w:rFonts w:hint="eastAsia" w:ascii="仿宋_GB2312" w:hAnsi="仿宋_GB2312" w:eastAsia="仿宋_GB2312" w:cs="仿宋_GB2312"/>
          <w:b w:val="0"/>
          <w:bCs w:val="0"/>
          <w:color w:val="000000"/>
          <w:kern w:val="0"/>
          <w:sz w:val="32"/>
          <w:szCs w:val="32"/>
          <w:shd w:val="clear" w:color="auto" w:fill="FFFFFF"/>
          <w:lang w:val="en-US" w:eastAsia="zh-CN"/>
        </w:rPr>
        <w:t>2022年专项预算项目支出绩效评价</w:t>
      </w:r>
    </w:p>
    <w:p>
      <w:pPr>
        <w:keepNext w:val="0"/>
        <w:keepLines w:val="0"/>
        <w:pageBreakBefore w:val="0"/>
        <w:widowControl/>
        <w:numPr>
          <w:ilvl w:val="0"/>
          <w:numId w:val="3"/>
        </w:numPr>
        <w:kinsoku/>
        <w:wordWrap/>
        <w:overflowPunct/>
        <w:topLinePunct w:val="0"/>
        <w:autoSpaceDE/>
        <w:autoSpaceDN/>
        <w:bidi w:val="0"/>
        <w:adjustRightInd w:val="0"/>
        <w:snapToGrid w:val="0"/>
        <w:spacing w:line="240" w:lineRule="auto"/>
        <w:ind w:left="1600" w:leftChars="0" w:firstLine="0" w:firstLineChars="0"/>
        <w:contextualSpacing/>
        <w:jc w:val="left"/>
        <w:textAlignment w:val="auto"/>
        <w:rPr>
          <w:rFonts w:hint="eastAsia" w:ascii="仿宋_GB2312" w:hAnsi="仿宋_GB2312" w:eastAsia="仿宋_GB2312" w:cs="仿宋_GB2312"/>
          <w:b w:val="0"/>
          <w:bCs w:val="0"/>
          <w:color w:val="000000"/>
          <w:kern w:val="0"/>
          <w:sz w:val="32"/>
          <w:szCs w:val="32"/>
          <w:shd w:val="clear" w:color="auto" w:fill="FFFFFF"/>
          <w:lang w:val="en-US" w:eastAsia="zh-CN"/>
        </w:rPr>
      </w:pPr>
      <w:r>
        <w:rPr>
          <w:rFonts w:hint="eastAsia" w:ascii="仿宋_GB2312" w:hAnsi="仿宋_GB2312" w:eastAsia="仿宋_GB2312" w:cs="仿宋_GB2312"/>
          <w:b w:val="0"/>
          <w:bCs w:val="0"/>
          <w:color w:val="000000"/>
          <w:kern w:val="0"/>
          <w:sz w:val="32"/>
          <w:szCs w:val="32"/>
          <w:shd w:val="clear" w:color="auto" w:fill="FFFFFF"/>
          <w:lang w:val="en-US" w:eastAsia="zh-CN"/>
        </w:rPr>
        <w:t xml:space="preserve">2022年专项预算项目支出绩效自评报告    </w:t>
      </w:r>
    </w:p>
    <w:p>
      <w:pPr>
        <w:keepNext w:val="0"/>
        <w:keepLines w:val="0"/>
        <w:pageBreakBefore w:val="0"/>
        <w:widowControl/>
        <w:numPr>
          <w:ilvl w:val="0"/>
          <w:numId w:val="3"/>
        </w:numPr>
        <w:kinsoku/>
        <w:wordWrap/>
        <w:overflowPunct/>
        <w:topLinePunct w:val="0"/>
        <w:autoSpaceDE/>
        <w:autoSpaceDN/>
        <w:bidi w:val="0"/>
        <w:adjustRightInd w:val="0"/>
        <w:snapToGrid w:val="0"/>
        <w:spacing w:line="240" w:lineRule="auto"/>
        <w:ind w:left="1600" w:leftChars="0" w:firstLine="0" w:firstLineChars="0"/>
        <w:contextualSpacing/>
        <w:jc w:val="left"/>
        <w:textAlignment w:val="auto"/>
        <w:rPr>
          <w:rFonts w:hint="default" w:ascii="仿宋_GB2312" w:hAnsi="仿宋_GB2312" w:cs="仿宋_GB2312"/>
          <w:color w:val="000000"/>
          <w:kern w:val="0"/>
          <w:sz w:val="32"/>
          <w:szCs w:val="32"/>
          <w:shd w:val="clear" w:color="auto" w:fill="FFFFFF"/>
          <w:lang w:val="en-US" w:eastAsia="zh-CN"/>
        </w:rPr>
      </w:pPr>
      <w:r>
        <w:rPr>
          <w:rFonts w:hint="eastAsia" w:ascii="仿宋_GB2312" w:hAnsi="仿宋_GB2312" w:eastAsia="仿宋_GB2312" w:cs="仿宋_GB2312"/>
          <w:b w:val="0"/>
          <w:bCs w:val="0"/>
          <w:color w:val="000000"/>
          <w:kern w:val="0"/>
          <w:sz w:val="32"/>
          <w:szCs w:val="32"/>
          <w:shd w:val="clear" w:color="auto" w:fill="FFFFFF"/>
          <w:lang w:val="en-US" w:eastAsia="zh-CN"/>
        </w:rPr>
        <w:t>2022年度财政资金使用情况</w:t>
      </w:r>
      <w:r>
        <w:rPr>
          <w:rFonts w:hint="eastAsia" w:ascii="仿宋_GB2312" w:hAnsi="仿宋_GB2312" w:cs="仿宋_GB2312"/>
          <w:color w:val="000000"/>
          <w:kern w:val="0"/>
          <w:sz w:val="32"/>
          <w:szCs w:val="32"/>
          <w:shd w:val="clear" w:color="auto" w:fill="FFFFFF"/>
          <w:lang w:val="en-US" w:eastAsia="zh-CN"/>
        </w:rPr>
        <w:t xml:space="preserve">表             </w:t>
      </w:r>
    </w:p>
    <w:sectPr>
      <w:headerReference r:id="rId3" w:type="default"/>
      <w:footerReference r:id="rId4" w:type="even"/>
      <w:pgSz w:w="11906" w:h="16838"/>
      <w:pgMar w:top="907" w:right="1361" w:bottom="851" w:left="1361" w:header="851" w:footer="992" w:gutter="0"/>
      <w:pgNumType w:fmt="numberInDash" w:start="12"/>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831518"/>
    </w:sdtPr>
    <w:sdtContent>
      <w:p>
        <w:pPr>
          <w:pStyle w:val="5"/>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p>
    <w:pPr>
      <w:pStyle w:val="5"/>
      <w:tabs>
        <w:tab w:val="right" w:pos="9184"/>
        <w:tab w:val="clear" w:pos="4153"/>
        <w:tab w:val="clear" w:pos="8306"/>
      </w:tabs>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E39B1A"/>
    <w:multiLevelType w:val="singleLevel"/>
    <w:tmpl w:val="A7E39B1A"/>
    <w:lvl w:ilvl="0" w:tentative="0">
      <w:start w:val="2"/>
      <w:numFmt w:val="decimal"/>
      <w:suff w:val="space"/>
      <w:lvlText w:val="%1."/>
      <w:lvlJc w:val="left"/>
      <w:pPr>
        <w:ind w:left="1600" w:leftChars="0" w:firstLine="0" w:firstLineChars="0"/>
      </w:pPr>
    </w:lvl>
  </w:abstractNum>
  <w:abstractNum w:abstractNumId="1">
    <w:nsid w:val="D2FDD749"/>
    <w:multiLevelType w:val="singleLevel"/>
    <w:tmpl w:val="D2FDD749"/>
    <w:lvl w:ilvl="0" w:tentative="0">
      <w:start w:val="2"/>
      <w:numFmt w:val="chineseCounting"/>
      <w:suff w:val="nothing"/>
      <w:lvlText w:val="（%1）"/>
      <w:lvlJc w:val="left"/>
      <w:rPr>
        <w:rFonts w:hint="eastAsia"/>
      </w:rPr>
    </w:lvl>
  </w:abstractNum>
  <w:abstractNum w:abstractNumId="2">
    <w:nsid w:val="6441F12B"/>
    <w:multiLevelType w:val="singleLevel"/>
    <w:tmpl w:val="6441F12B"/>
    <w:lvl w:ilvl="0" w:tentative="0">
      <w:start w:val="2"/>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lYWYyNjZmNWNhMDIxNWFhMGVhMDViOGUyZDc1YWUifQ=="/>
  </w:docVars>
  <w:rsids>
    <w:rsidRoot w:val="00EC0174"/>
    <w:rsid w:val="00006E4D"/>
    <w:rsid w:val="00021652"/>
    <w:rsid w:val="00030311"/>
    <w:rsid w:val="00030782"/>
    <w:rsid w:val="00030B66"/>
    <w:rsid w:val="0006102A"/>
    <w:rsid w:val="00065B0F"/>
    <w:rsid w:val="00065E7E"/>
    <w:rsid w:val="000820BB"/>
    <w:rsid w:val="0008241B"/>
    <w:rsid w:val="00092280"/>
    <w:rsid w:val="00097FAE"/>
    <w:rsid w:val="000A3233"/>
    <w:rsid w:val="000A7CE3"/>
    <w:rsid w:val="000B04D6"/>
    <w:rsid w:val="000B15CE"/>
    <w:rsid w:val="000C40C6"/>
    <w:rsid w:val="000C79C1"/>
    <w:rsid w:val="000D18F4"/>
    <w:rsid w:val="000D208A"/>
    <w:rsid w:val="000E037E"/>
    <w:rsid w:val="000F659A"/>
    <w:rsid w:val="000F77B0"/>
    <w:rsid w:val="0010235D"/>
    <w:rsid w:val="00103A47"/>
    <w:rsid w:val="00106D4D"/>
    <w:rsid w:val="001119A2"/>
    <w:rsid w:val="001221D6"/>
    <w:rsid w:val="0012510A"/>
    <w:rsid w:val="00125F67"/>
    <w:rsid w:val="001261AE"/>
    <w:rsid w:val="001348A4"/>
    <w:rsid w:val="0014117C"/>
    <w:rsid w:val="00146FE8"/>
    <w:rsid w:val="0014767B"/>
    <w:rsid w:val="00147AED"/>
    <w:rsid w:val="00177AAF"/>
    <w:rsid w:val="00183850"/>
    <w:rsid w:val="00184D9F"/>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6EF7"/>
    <w:rsid w:val="0024058A"/>
    <w:rsid w:val="002410C0"/>
    <w:rsid w:val="00252894"/>
    <w:rsid w:val="00253FA6"/>
    <w:rsid w:val="00254728"/>
    <w:rsid w:val="002550E7"/>
    <w:rsid w:val="002558D4"/>
    <w:rsid w:val="002560E2"/>
    <w:rsid w:val="00264CFA"/>
    <w:rsid w:val="00270DD7"/>
    <w:rsid w:val="00276F4A"/>
    <w:rsid w:val="00280BFB"/>
    <w:rsid w:val="00280C88"/>
    <w:rsid w:val="002973A4"/>
    <w:rsid w:val="002A0195"/>
    <w:rsid w:val="002B5B34"/>
    <w:rsid w:val="002B6906"/>
    <w:rsid w:val="002B7215"/>
    <w:rsid w:val="002C0AFD"/>
    <w:rsid w:val="002C59D0"/>
    <w:rsid w:val="002D1A18"/>
    <w:rsid w:val="002D6C79"/>
    <w:rsid w:val="002E09F1"/>
    <w:rsid w:val="002E1104"/>
    <w:rsid w:val="002E3FDD"/>
    <w:rsid w:val="00300EF4"/>
    <w:rsid w:val="00301353"/>
    <w:rsid w:val="00305FF6"/>
    <w:rsid w:val="00307568"/>
    <w:rsid w:val="00311506"/>
    <w:rsid w:val="00316ADB"/>
    <w:rsid w:val="00317623"/>
    <w:rsid w:val="00335F67"/>
    <w:rsid w:val="003361E9"/>
    <w:rsid w:val="00350A65"/>
    <w:rsid w:val="00361C85"/>
    <w:rsid w:val="00371352"/>
    <w:rsid w:val="00376753"/>
    <w:rsid w:val="0038541D"/>
    <w:rsid w:val="00387818"/>
    <w:rsid w:val="00391A13"/>
    <w:rsid w:val="00391FD0"/>
    <w:rsid w:val="003A1D70"/>
    <w:rsid w:val="003A44FC"/>
    <w:rsid w:val="003B3299"/>
    <w:rsid w:val="003D10A2"/>
    <w:rsid w:val="003D33B8"/>
    <w:rsid w:val="003D624D"/>
    <w:rsid w:val="003D719A"/>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42AB7"/>
    <w:rsid w:val="0055358D"/>
    <w:rsid w:val="005540C8"/>
    <w:rsid w:val="00555809"/>
    <w:rsid w:val="00562165"/>
    <w:rsid w:val="005756AF"/>
    <w:rsid w:val="00575A4A"/>
    <w:rsid w:val="00591B6F"/>
    <w:rsid w:val="005A1DAF"/>
    <w:rsid w:val="005C17C8"/>
    <w:rsid w:val="005C2098"/>
    <w:rsid w:val="005C2E6C"/>
    <w:rsid w:val="005D0CCF"/>
    <w:rsid w:val="005D1C01"/>
    <w:rsid w:val="005E297D"/>
    <w:rsid w:val="005E3F12"/>
    <w:rsid w:val="005F627E"/>
    <w:rsid w:val="0061652E"/>
    <w:rsid w:val="006205E9"/>
    <w:rsid w:val="00622D0B"/>
    <w:rsid w:val="006270DA"/>
    <w:rsid w:val="00630B75"/>
    <w:rsid w:val="0063102F"/>
    <w:rsid w:val="00634DFF"/>
    <w:rsid w:val="00635337"/>
    <w:rsid w:val="0064265B"/>
    <w:rsid w:val="0064519C"/>
    <w:rsid w:val="0065082E"/>
    <w:rsid w:val="006512D0"/>
    <w:rsid w:val="006560A3"/>
    <w:rsid w:val="00656301"/>
    <w:rsid w:val="006600C9"/>
    <w:rsid w:val="006664F1"/>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732A1"/>
    <w:rsid w:val="00774C4A"/>
    <w:rsid w:val="00782BBB"/>
    <w:rsid w:val="007A0690"/>
    <w:rsid w:val="007A078F"/>
    <w:rsid w:val="007B34D4"/>
    <w:rsid w:val="007C0633"/>
    <w:rsid w:val="007D086C"/>
    <w:rsid w:val="007F1BE1"/>
    <w:rsid w:val="007F4463"/>
    <w:rsid w:val="007F707F"/>
    <w:rsid w:val="007F794C"/>
    <w:rsid w:val="007F7AC9"/>
    <w:rsid w:val="00803B42"/>
    <w:rsid w:val="008073EF"/>
    <w:rsid w:val="0081095C"/>
    <w:rsid w:val="00810C41"/>
    <w:rsid w:val="008212FF"/>
    <w:rsid w:val="0082593B"/>
    <w:rsid w:val="00827537"/>
    <w:rsid w:val="008468EA"/>
    <w:rsid w:val="00867140"/>
    <w:rsid w:val="00881134"/>
    <w:rsid w:val="008904F0"/>
    <w:rsid w:val="008961DA"/>
    <w:rsid w:val="008B2F27"/>
    <w:rsid w:val="008B4A72"/>
    <w:rsid w:val="008B585E"/>
    <w:rsid w:val="008E6C0C"/>
    <w:rsid w:val="008F1E63"/>
    <w:rsid w:val="008F3052"/>
    <w:rsid w:val="00901E19"/>
    <w:rsid w:val="009214F7"/>
    <w:rsid w:val="00921CD7"/>
    <w:rsid w:val="00940EB6"/>
    <w:rsid w:val="00944771"/>
    <w:rsid w:val="009601FC"/>
    <w:rsid w:val="00965426"/>
    <w:rsid w:val="0096654A"/>
    <w:rsid w:val="009711E4"/>
    <w:rsid w:val="00971572"/>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03AD"/>
    <w:rsid w:val="00A5432A"/>
    <w:rsid w:val="00A55F8A"/>
    <w:rsid w:val="00A9670E"/>
    <w:rsid w:val="00AA1423"/>
    <w:rsid w:val="00AB7996"/>
    <w:rsid w:val="00AC43C3"/>
    <w:rsid w:val="00AE2EAD"/>
    <w:rsid w:val="00AF77BE"/>
    <w:rsid w:val="00B11CEE"/>
    <w:rsid w:val="00B23428"/>
    <w:rsid w:val="00B264BF"/>
    <w:rsid w:val="00B3387B"/>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E0305"/>
    <w:rsid w:val="00BF15F0"/>
    <w:rsid w:val="00BF7DF9"/>
    <w:rsid w:val="00C03559"/>
    <w:rsid w:val="00C05395"/>
    <w:rsid w:val="00C22AD7"/>
    <w:rsid w:val="00C272C1"/>
    <w:rsid w:val="00C32A68"/>
    <w:rsid w:val="00C34282"/>
    <w:rsid w:val="00C35350"/>
    <w:rsid w:val="00C3564B"/>
    <w:rsid w:val="00C42B49"/>
    <w:rsid w:val="00C53721"/>
    <w:rsid w:val="00C64D2E"/>
    <w:rsid w:val="00C70F97"/>
    <w:rsid w:val="00C7497C"/>
    <w:rsid w:val="00C757A2"/>
    <w:rsid w:val="00C75966"/>
    <w:rsid w:val="00C76577"/>
    <w:rsid w:val="00C80225"/>
    <w:rsid w:val="00C80B66"/>
    <w:rsid w:val="00C81349"/>
    <w:rsid w:val="00C93139"/>
    <w:rsid w:val="00CA08A0"/>
    <w:rsid w:val="00CA32D2"/>
    <w:rsid w:val="00CA4E07"/>
    <w:rsid w:val="00CA737D"/>
    <w:rsid w:val="00CB1EF5"/>
    <w:rsid w:val="00CC05D4"/>
    <w:rsid w:val="00CC7166"/>
    <w:rsid w:val="00CF5275"/>
    <w:rsid w:val="00CF6136"/>
    <w:rsid w:val="00D0023D"/>
    <w:rsid w:val="00D006C6"/>
    <w:rsid w:val="00D14A65"/>
    <w:rsid w:val="00D162B9"/>
    <w:rsid w:val="00D251E2"/>
    <w:rsid w:val="00D254F4"/>
    <w:rsid w:val="00D263A7"/>
    <w:rsid w:val="00D26B5D"/>
    <w:rsid w:val="00D33159"/>
    <w:rsid w:val="00D33A19"/>
    <w:rsid w:val="00D355B5"/>
    <w:rsid w:val="00D43DC3"/>
    <w:rsid w:val="00D51791"/>
    <w:rsid w:val="00D5281E"/>
    <w:rsid w:val="00D6531B"/>
    <w:rsid w:val="00D6612D"/>
    <w:rsid w:val="00D71AD9"/>
    <w:rsid w:val="00D73C02"/>
    <w:rsid w:val="00D872ED"/>
    <w:rsid w:val="00D913C6"/>
    <w:rsid w:val="00DA0236"/>
    <w:rsid w:val="00DA5D51"/>
    <w:rsid w:val="00DA5E29"/>
    <w:rsid w:val="00DA61CA"/>
    <w:rsid w:val="00DB66BB"/>
    <w:rsid w:val="00DB73AF"/>
    <w:rsid w:val="00DC2865"/>
    <w:rsid w:val="00DD0894"/>
    <w:rsid w:val="00DE1888"/>
    <w:rsid w:val="00DF1250"/>
    <w:rsid w:val="00DF6EF7"/>
    <w:rsid w:val="00E05454"/>
    <w:rsid w:val="00E074C3"/>
    <w:rsid w:val="00E23329"/>
    <w:rsid w:val="00E24D6D"/>
    <w:rsid w:val="00E341B2"/>
    <w:rsid w:val="00E42633"/>
    <w:rsid w:val="00E5699E"/>
    <w:rsid w:val="00E570E1"/>
    <w:rsid w:val="00E72773"/>
    <w:rsid w:val="00E76739"/>
    <w:rsid w:val="00E81946"/>
    <w:rsid w:val="00E82BB7"/>
    <w:rsid w:val="00E86D13"/>
    <w:rsid w:val="00E936C2"/>
    <w:rsid w:val="00E95346"/>
    <w:rsid w:val="00EA0CEF"/>
    <w:rsid w:val="00EA2E2A"/>
    <w:rsid w:val="00EB79D2"/>
    <w:rsid w:val="00EC0174"/>
    <w:rsid w:val="00ED3EEB"/>
    <w:rsid w:val="00ED5749"/>
    <w:rsid w:val="00ED5FA3"/>
    <w:rsid w:val="00ED68C4"/>
    <w:rsid w:val="00ED6A4E"/>
    <w:rsid w:val="00ED72EA"/>
    <w:rsid w:val="00EE3A4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55B3585"/>
    <w:rsid w:val="09581A6F"/>
    <w:rsid w:val="0A29711D"/>
    <w:rsid w:val="0C2648BA"/>
    <w:rsid w:val="0C6B0EE1"/>
    <w:rsid w:val="0CA154B4"/>
    <w:rsid w:val="0D591029"/>
    <w:rsid w:val="0DC31556"/>
    <w:rsid w:val="0DFC7883"/>
    <w:rsid w:val="10BE1D2E"/>
    <w:rsid w:val="15000F17"/>
    <w:rsid w:val="1A3D6143"/>
    <w:rsid w:val="1B936EF8"/>
    <w:rsid w:val="1BD96B02"/>
    <w:rsid w:val="1C013801"/>
    <w:rsid w:val="1C701E46"/>
    <w:rsid w:val="1D794956"/>
    <w:rsid w:val="1DDB32DF"/>
    <w:rsid w:val="21284607"/>
    <w:rsid w:val="21647A64"/>
    <w:rsid w:val="23897A75"/>
    <w:rsid w:val="249D7540"/>
    <w:rsid w:val="25C5042C"/>
    <w:rsid w:val="260E5F3D"/>
    <w:rsid w:val="2A903EAD"/>
    <w:rsid w:val="2B124DD6"/>
    <w:rsid w:val="2B1653EB"/>
    <w:rsid w:val="2C0A01B3"/>
    <w:rsid w:val="2D527252"/>
    <w:rsid w:val="2DD85AA2"/>
    <w:rsid w:val="2EAE55F2"/>
    <w:rsid w:val="2EB60F31"/>
    <w:rsid w:val="2EDF4302"/>
    <w:rsid w:val="335833CC"/>
    <w:rsid w:val="36864C66"/>
    <w:rsid w:val="379738DA"/>
    <w:rsid w:val="3CEC0CA1"/>
    <w:rsid w:val="3D675EB7"/>
    <w:rsid w:val="43E63E97"/>
    <w:rsid w:val="46DB5B5E"/>
    <w:rsid w:val="47550EBA"/>
    <w:rsid w:val="47F12A63"/>
    <w:rsid w:val="48737158"/>
    <w:rsid w:val="49E6291A"/>
    <w:rsid w:val="4A424663"/>
    <w:rsid w:val="4A477539"/>
    <w:rsid w:val="4ACF16AD"/>
    <w:rsid w:val="4F1B019A"/>
    <w:rsid w:val="525A1DDF"/>
    <w:rsid w:val="5A7A4C80"/>
    <w:rsid w:val="5BA631F6"/>
    <w:rsid w:val="5BCF2793"/>
    <w:rsid w:val="5C670DF1"/>
    <w:rsid w:val="5F0A19FF"/>
    <w:rsid w:val="624B0784"/>
    <w:rsid w:val="62B4751F"/>
    <w:rsid w:val="659B528A"/>
    <w:rsid w:val="66040357"/>
    <w:rsid w:val="6636451A"/>
    <w:rsid w:val="67FA6681"/>
    <w:rsid w:val="690754B2"/>
    <w:rsid w:val="6A415D0D"/>
    <w:rsid w:val="6AC3722A"/>
    <w:rsid w:val="6B8F25E0"/>
    <w:rsid w:val="6CDA6CF7"/>
    <w:rsid w:val="6D0112EE"/>
    <w:rsid w:val="6EF65E9C"/>
    <w:rsid w:val="71397E03"/>
    <w:rsid w:val="71601583"/>
    <w:rsid w:val="775F68B8"/>
    <w:rsid w:val="77C3049B"/>
    <w:rsid w:val="77FFA8F9"/>
    <w:rsid w:val="7A9314AC"/>
    <w:rsid w:val="7B521B5A"/>
    <w:rsid w:val="7C631402"/>
    <w:rsid w:val="7E140770"/>
    <w:rsid w:val="7FEFB5DD"/>
    <w:rsid w:val="B5F66F24"/>
    <w:rsid w:val="C5B3F496"/>
    <w:rsid w:val="DDD7453A"/>
    <w:rsid w:val="DFE75A3D"/>
    <w:rsid w:val="DFEF594B"/>
    <w:rsid w:val="F1F9A9B5"/>
    <w:rsid w:val="FABF7411"/>
    <w:rsid w:val="FEFD95B3"/>
    <w:rsid w:val="FF2E6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Document Map"/>
    <w:basedOn w:val="1"/>
    <w:link w:val="13"/>
    <w:qFormat/>
    <w:uiPriority w:val="0"/>
    <w:rPr>
      <w:rFonts w:ascii="宋体" w:eastAsia="宋体"/>
      <w:sz w:val="18"/>
      <w:szCs w:val="18"/>
    </w:rPr>
  </w:style>
  <w:style w:type="paragraph" w:styleId="3">
    <w:name w:val="Plain Text"/>
    <w:basedOn w:val="1"/>
    <w:qFormat/>
    <w:uiPriority w:val="0"/>
    <w:rPr>
      <w:rFonts w:ascii="宋体" w:hAnsi="Courier New"/>
    </w:rPr>
  </w:style>
  <w:style w:type="paragraph" w:styleId="4">
    <w:name w:val="Balloon Text"/>
    <w:basedOn w:val="1"/>
    <w:semiHidden/>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rFonts w:eastAsia="宋体"/>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四号正文"/>
    <w:basedOn w:val="1"/>
    <w:link w:val="12"/>
    <w:qFormat/>
    <w:uiPriority w:val="0"/>
    <w:pPr>
      <w:spacing w:line="360" w:lineRule="auto"/>
    </w:pPr>
    <w:rPr>
      <w:rFonts w:ascii="??" w:hAnsi="??" w:eastAsia="宋体" w:cs="宋体"/>
      <w:color w:val="000000"/>
      <w:kern w:val="0"/>
      <w:sz w:val="28"/>
      <w:szCs w:val="21"/>
    </w:rPr>
  </w:style>
  <w:style w:type="character" w:customStyle="1" w:styleId="12">
    <w:name w:val="四号正文 Char"/>
    <w:basedOn w:val="9"/>
    <w:link w:val="11"/>
    <w:qFormat/>
    <w:uiPriority w:val="0"/>
    <w:rPr>
      <w:rFonts w:ascii="??" w:hAnsi="??" w:eastAsia="宋体" w:cs="宋体"/>
      <w:color w:val="000000"/>
      <w:sz w:val="28"/>
      <w:szCs w:val="21"/>
      <w:lang w:val="en-US" w:eastAsia="zh-CN" w:bidi="ar-SA"/>
    </w:rPr>
  </w:style>
  <w:style w:type="character" w:customStyle="1" w:styleId="13">
    <w:name w:val="文档结构图 Char"/>
    <w:basedOn w:val="9"/>
    <w:link w:val="2"/>
    <w:qFormat/>
    <w:uiPriority w:val="0"/>
    <w:rPr>
      <w:rFonts w:ascii="宋体"/>
      <w:kern w:val="2"/>
      <w:sz w:val="18"/>
      <w:szCs w:val="18"/>
    </w:rPr>
  </w:style>
  <w:style w:type="paragraph" w:customStyle="1" w:styleId="14">
    <w:name w:val="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5">
    <w:name w:val="页脚 Char"/>
    <w:basedOn w:val="9"/>
    <w:link w:val="5"/>
    <w:qFormat/>
    <w:uiPriority w:val="99"/>
    <w:rPr>
      <w:kern w:val="2"/>
      <w:sz w:val="18"/>
      <w:szCs w:val="18"/>
    </w:rPr>
  </w:style>
  <w:style w:type="character" w:customStyle="1" w:styleId="16">
    <w:name w:val="font3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PSZX</Company>
  <Pages>2</Pages>
  <Words>114</Words>
  <Characters>650</Characters>
  <Lines>5</Lines>
  <Paragraphs>1</Paragraphs>
  <TotalTime>59</TotalTime>
  <ScaleCrop>false</ScaleCrop>
  <LinksUpToDate>false</LinksUpToDate>
  <CharactersWithSpaces>763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2019-05-16T11:06:00Z</dcterms:created>
  <dc:creator>陈萍</dc:creator>
  <cp:lastModifiedBy>陶筱萱</cp:lastModifiedBy>
  <cp:lastPrinted>2022-03-26T08:26:00Z</cp:lastPrinted>
  <dcterms:modified xsi:type="dcterms:W3CDTF">2023-05-11T08:34:35Z</dcterms:modified>
  <dc:title>区域性就业培训基地建设项目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4E644334F9C948C4A01BA0D307B8544A</vt:lpwstr>
  </property>
</Properties>
</file>