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eastAsia="宋体"/>
          <w:b/>
          <w:sz w:val="44"/>
          <w:szCs w:val="44"/>
          <w:shd w:val="clear" w:color="auto" w:fill="FFFFFF"/>
        </w:rPr>
      </w:pPr>
      <w:r>
        <w:rPr>
          <w:rFonts w:hint="eastAsia" w:eastAsia="宋体"/>
          <w:b/>
          <w:sz w:val="44"/>
          <w:szCs w:val="44"/>
          <w:shd w:val="clear" w:color="auto" w:fill="FFFFFF"/>
          <w:lang w:val="en-US" w:eastAsia="zh-CN"/>
        </w:rPr>
        <w:t>攀枝花市仁和区布德镇卫生院</w:t>
      </w:r>
      <w:r>
        <w:rPr>
          <w:rFonts w:eastAsia="宋体"/>
          <w:b/>
          <w:sz w:val="44"/>
          <w:szCs w:val="44"/>
          <w:shd w:val="clear" w:color="auto" w:fill="FFFFFF"/>
        </w:rPr>
        <w:t>202</w:t>
      </w:r>
      <w:r>
        <w:rPr>
          <w:rFonts w:hint="eastAsia" w:eastAsia="宋体"/>
          <w:b/>
          <w:sz w:val="44"/>
          <w:szCs w:val="44"/>
          <w:shd w:val="clear" w:color="auto" w:fill="FFFFFF"/>
          <w:lang w:val="en-US" w:eastAsia="zh-CN"/>
        </w:rPr>
        <w:t>2</w:t>
      </w:r>
      <w:r>
        <w:rPr>
          <w:rFonts w:eastAsia="宋体"/>
          <w:b/>
          <w:sz w:val="44"/>
          <w:szCs w:val="44"/>
          <w:shd w:val="clear" w:color="auto" w:fill="FFFFFF"/>
        </w:rPr>
        <w:t>年</w:t>
      </w:r>
      <w:r>
        <w:rPr>
          <w:rFonts w:hint="eastAsia" w:eastAsia="宋体"/>
          <w:b/>
          <w:sz w:val="44"/>
          <w:szCs w:val="44"/>
          <w:shd w:val="clear" w:color="auto" w:fill="FFFFFF"/>
          <w:lang w:val="en-US" w:eastAsia="zh-CN"/>
        </w:rPr>
        <w:t>部门</w:t>
      </w:r>
      <w:r>
        <w:rPr>
          <w:rFonts w:eastAsia="宋体"/>
          <w:b/>
          <w:sz w:val="44"/>
          <w:szCs w:val="44"/>
          <w:shd w:val="clear" w:color="auto" w:fill="FFFFFF"/>
        </w:rPr>
        <w:t>整体支出绩效评价报告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pStyle w:val="4"/>
        <w:spacing w:line="600" w:lineRule="exact"/>
        <w:jc w:val="left"/>
        <w:rPr>
          <w:rFonts w:ascii="黑体" w:hAnsi="黑体" w:eastAsia="黑体" w:cs="仿宋_GB2312"/>
          <w:szCs w:val="32"/>
        </w:rPr>
      </w:pPr>
      <w:r>
        <w:rPr>
          <w:rFonts w:hint="eastAsia" w:ascii="黑体" w:hAnsi="黑体" w:eastAsia="黑体" w:cs="仿宋_GB2312"/>
          <w:szCs w:val="32"/>
        </w:rPr>
        <w:t>一、单位概况</w:t>
      </w:r>
    </w:p>
    <w:p>
      <w:pPr>
        <w:pStyle w:val="8"/>
        <w:widowControl/>
        <w:spacing w:before="150" w:beforeAutospacing="0" w:after="150" w:afterAutospacing="0"/>
        <w:ind w:firstLine="321" w:firstLineChars="100"/>
        <w:rPr>
          <w:rFonts w:ascii="仿宋" w:hAnsi="仿宋" w:eastAsia="仿宋" w:cs="仿宋"/>
          <w:b/>
          <w:bCs/>
          <w:sz w:val="32"/>
          <w:szCs w:val="32"/>
        </w:rPr>
      </w:pPr>
      <w:r>
        <w:rPr>
          <w:rFonts w:hint="eastAsia" w:ascii="仿宋" w:hAnsi="仿宋" w:eastAsia="仿宋" w:cs="仿宋"/>
          <w:b/>
          <w:bCs/>
          <w:sz w:val="32"/>
          <w:szCs w:val="32"/>
        </w:rPr>
        <w:t>（一）机构组成</w:t>
      </w:r>
    </w:p>
    <w:p>
      <w:pPr>
        <w:spacing w:before="0" w:line="578" w:lineRule="exact"/>
        <w:ind w:right="0" w:firstLine="640" w:firstLineChars="200"/>
        <w:jc w:val="left"/>
        <w:rPr>
          <w:rFonts w:hint="default" w:ascii="仿宋_GB2312" w:hAnsi="仿宋_GB2312" w:eastAsia="仿宋_GB2312" w:cs="仿宋_GB2312"/>
          <w:b w:val="0"/>
          <w:bCs/>
          <w:color w:val="000000"/>
          <w:kern w:val="0"/>
          <w:sz w:val="32"/>
          <w:szCs w:val="32"/>
          <w:shd w:val="clear" w:color="auto" w:fill="FFFFFF"/>
          <w:lang w:val="en-US"/>
        </w:rPr>
      </w:pPr>
      <w:r>
        <w:rPr>
          <w:rFonts w:hint="eastAsia" w:ascii="仿宋_GB2312"/>
          <w:sz w:val="32"/>
          <w:szCs w:val="32"/>
        </w:rPr>
        <w:t>攀枝花市仁和区布德镇卫生院属于基层医疗卫生机构，</w:t>
      </w:r>
      <w:r>
        <w:rPr>
          <w:rFonts w:hint="eastAsia" w:ascii="仿宋_GB2312" w:hAnsi="仿宋_GB2312" w:cs="仿宋_GB2312"/>
          <w:sz w:val="32"/>
          <w:szCs w:val="32"/>
        </w:rPr>
        <w:t>主管部门攀枝花市仁和区卫生健康局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2022年卫生院设立</w:t>
      </w:r>
      <w:r>
        <w:rPr>
          <w:rFonts w:hint="eastAsia" w:ascii="仿宋_GB2312" w:hAnsi="仿宋_GB2312" w:eastAsia="仿宋_GB2312" w:cs="仿宋_GB2312"/>
          <w:b w:val="0"/>
          <w:bCs/>
          <w:sz w:val="32"/>
          <w:szCs w:val="32"/>
        </w:rPr>
        <w:t>办公室</w:t>
      </w:r>
      <w:r>
        <w:rPr>
          <w:rFonts w:hint="eastAsia" w:ascii="仿宋_GB2312" w:hAnsi="仿宋_GB2312" w:cs="仿宋_GB2312"/>
          <w:b w:val="0"/>
          <w:bCs/>
          <w:sz w:val="32"/>
          <w:szCs w:val="32"/>
          <w:lang w:eastAsia="zh-CN"/>
        </w:rPr>
        <w:t>、</w:t>
      </w:r>
      <w:r>
        <w:rPr>
          <w:rFonts w:hint="eastAsia" w:ascii="仿宋_GB2312" w:hAnsi="仿宋_GB2312" w:cs="仿宋_GB2312"/>
          <w:b w:val="0"/>
          <w:bCs/>
          <w:sz w:val="32"/>
          <w:szCs w:val="32"/>
          <w:lang w:val="en-US" w:eastAsia="zh-CN"/>
        </w:rPr>
        <w:t>临床组、</w:t>
      </w:r>
      <w:r>
        <w:rPr>
          <w:rFonts w:hint="eastAsia" w:ascii="仿宋_GB2312" w:hAnsi="仿宋_GB2312" w:eastAsia="仿宋_GB2312" w:cs="仿宋_GB2312"/>
          <w:b w:val="0"/>
          <w:bCs/>
          <w:sz w:val="32"/>
          <w:szCs w:val="32"/>
        </w:rPr>
        <w:t>公共卫生科</w:t>
      </w:r>
      <w:r>
        <w:rPr>
          <w:rFonts w:hint="eastAsia" w:ascii="仿宋_GB2312" w:hAnsi="仿宋_GB2312" w:cs="仿宋_GB2312"/>
          <w:b w:val="0"/>
          <w:bCs/>
          <w:sz w:val="32"/>
          <w:szCs w:val="32"/>
          <w:lang w:eastAsia="zh-CN"/>
        </w:rPr>
        <w:t>、综合</w:t>
      </w:r>
      <w:r>
        <w:rPr>
          <w:rFonts w:hint="eastAsia" w:ascii="仿宋_GB2312" w:hAnsi="仿宋_GB2312" w:cs="仿宋_GB2312"/>
          <w:b w:val="0"/>
          <w:bCs/>
          <w:sz w:val="32"/>
          <w:szCs w:val="32"/>
          <w:lang w:val="en-US" w:eastAsia="zh-CN"/>
        </w:rPr>
        <w:t>科、</w:t>
      </w:r>
      <w:r>
        <w:rPr>
          <w:rFonts w:hint="eastAsia" w:ascii="仿宋_GB2312" w:hAnsi="仿宋_GB2312" w:eastAsia="仿宋_GB2312" w:cs="仿宋_GB2312"/>
          <w:b w:val="0"/>
          <w:bCs/>
          <w:sz w:val="32"/>
          <w:szCs w:val="32"/>
        </w:rPr>
        <w:t>护理</w:t>
      </w:r>
      <w:r>
        <w:rPr>
          <w:rFonts w:hint="eastAsia" w:ascii="仿宋_GB2312" w:hAnsi="仿宋_GB2312" w:cs="仿宋_GB2312"/>
          <w:b w:val="0"/>
          <w:bCs/>
          <w:sz w:val="32"/>
          <w:szCs w:val="32"/>
          <w:lang w:eastAsia="zh-CN"/>
        </w:rPr>
        <w:t>组共计</w:t>
      </w:r>
      <w:r>
        <w:rPr>
          <w:rFonts w:hint="eastAsia" w:ascii="仿宋_GB2312" w:hAnsi="仿宋_GB2312" w:cs="仿宋_GB2312"/>
          <w:b w:val="0"/>
          <w:bCs/>
          <w:sz w:val="32"/>
          <w:szCs w:val="32"/>
          <w:lang w:val="en-US" w:eastAsia="zh-CN"/>
        </w:rPr>
        <w:t>六个科室。</w:t>
      </w:r>
    </w:p>
    <w:p>
      <w:pPr>
        <w:pStyle w:val="8"/>
        <w:widowControl/>
        <w:spacing w:before="150" w:beforeAutospacing="0" w:after="150" w:afterAutospacing="0"/>
        <w:ind w:firstLine="321" w:firstLineChars="100"/>
        <w:rPr>
          <w:rFonts w:ascii="仿宋" w:hAnsi="仿宋" w:eastAsia="仿宋" w:cs="仿宋"/>
          <w:b/>
          <w:bCs/>
          <w:sz w:val="32"/>
          <w:szCs w:val="32"/>
        </w:rPr>
      </w:pPr>
      <w:r>
        <w:rPr>
          <w:rFonts w:hint="eastAsia" w:ascii="仿宋" w:hAnsi="仿宋" w:eastAsia="仿宋" w:cs="仿宋"/>
          <w:b/>
          <w:bCs/>
          <w:sz w:val="32"/>
          <w:szCs w:val="32"/>
        </w:rPr>
        <w:t>（二）基本职能</w:t>
      </w:r>
    </w:p>
    <w:p>
      <w:pPr>
        <w:pStyle w:val="8"/>
        <w:shd w:val="clear" w:color="auto" w:fill="FFFFFF"/>
        <w:spacing w:before="0" w:beforeAutospacing="0" w:after="0" w:afterAutospacing="0" w:line="52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 xml:space="preserve">基本医疗服务：负责辖区一般常见病、多发病、地方病的基本医疗服务；现场救护和转诊服务；慢性病管理服务；母婴保健技术服务等。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老年人健康管理、慢性病患者健康管理、严重精神障碍患者管理、结核病患者管理、中医药健康管理、传染病和突发公共卫生事件报告和处理、卫生计生监督协管等基本公共卫生服务。综合管理服务：协助政府制定和组织实施辖区内卫生健康事业发展规划；管理、指导村卫生室业务工作，并对乡村医生开展相关技能培训；开展医保政策法规宣传咨询，配合做好即时补偿结算等工作。完成攀枝花市仁和区卫生健康局交办的其他工作任务。    </w:t>
      </w:r>
    </w:p>
    <w:p>
      <w:pPr>
        <w:pStyle w:val="8"/>
        <w:widowControl/>
        <w:shd w:val="clear" w:color="auto" w:fill="FFFFFF"/>
        <w:spacing w:before="255" w:beforeAutospacing="0" w:after="255" w:afterAutospacing="0" w:line="560" w:lineRule="atLeast"/>
        <w:ind w:firstLine="64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lang w:val="en-US" w:eastAsia="zh-CN"/>
        </w:rPr>
        <w:t>（三）、</w:t>
      </w:r>
      <w:r>
        <w:rPr>
          <w:rFonts w:hint="eastAsia" w:ascii="仿宋" w:hAnsi="仿宋" w:eastAsia="仿宋" w:cs="仿宋"/>
          <w:b/>
          <w:bCs/>
          <w:color w:val="333333"/>
          <w:sz w:val="32"/>
          <w:szCs w:val="32"/>
          <w:shd w:val="clear" w:color="auto" w:fill="FFFFFF"/>
        </w:rPr>
        <w:t>人员构成</w:t>
      </w:r>
    </w:p>
    <w:p>
      <w:pPr>
        <w:pStyle w:val="8"/>
        <w:widowControl/>
        <w:shd w:val="clear" w:color="auto" w:fill="FFFFFF"/>
        <w:spacing w:before="255" w:beforeAutospacing="0" w:after="255" w:afterAutospacing="0" w:line="560" w:lineRule="atLeast"/>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2022年度年末</w:t>
      </w:r>
      <w:r>
        <w:rPr>
          <w:rFonts w:hint="eastAsia" w:ascii="仿宋" w:hAnsi="仿宋" w:eastAsia="仿宋" w:cs="仿宋"/>
          <w:color w:val="333333"/>
          <w:sz w:val="32"/>
          <w:szCs w:val="32"/>
          <w:shd w:val="clear" w:color="auto" w:fill="FFFFFF"/>
          <w:lang w:eastAsia="zh-CN"/>
        </w:rPr>
        <w:t>编制人数</w:t>
      </w:r>
      <w:r>
        <w:rPr>
          <w:rFonts w:hint="eastAsia" w:ascii="仿宋" w:hAnsi="仿宋" w:eastAsia="仿宋" w:cs="仿宋"/>
          <w:color w:val="333333"/>
          <w:sz w:val="32"/>
          <w:szCs w:val="32"/>
          <w:shd w:val="clear" w:color="auto" w:fill="FFFFFF"/>
          <w:lang w:val="en-US" w:eastAsia="zh-CN"/>
        </w:rPr>
        <w:t>21人，</w:t>
      </w:r>
      <w:r>
        <w:rPr>
          <w:rFonts w:hint="eastAsia" w:ascii="仿宋" w:hAnsi="仿宋" w:eastAsia="仿宋" w:cs="仿宋"/>
          <w:color w:val="333333"/>
          <w:sz w:val="32"/>
          <w:szCs w:val="32"/>
          <w:shd w:val="clear" w:color="auto" w:fill="FFFFFF"/>
        </w:rPr>
        <w:t>在职人数30人（其中：在编在岗15人，临聘专业技术人员15人）；退休人员</w:t>
      </w: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人。</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仿宋" w:hAnsi="仿宋" w:eastAsia="仿宋" w:cs="仿宋"/>
          <w:color w:val="333333"/>
          <w:szCs w:val="32"/>
          <w:shd w:val="clear" w:color="auto" w:fill="FFFFFF"/>
        </w:rPr>
        <w:t>2022年布德镇卫生院财政资金收入</w:t>
      </w:r>
      <w:r>
        <w:rPr>
          <w:rFonts w:hint="eastAsia" w:ascii="仿宋" w:hAnsi="仿宋" w:eastAsia="仿宋" w:cs="仿宋"/>
          <w:color w:val="333333"/>
          <w:szCs w:val="32"/>
          <w:shd w:val="clear" w:color="auto" w:fill="FFFFFF"/>
          <w:lang w:val="en-US" w:eastAsia="zh-CN"/>
        </w:rPr>
        <w:t>715.54</w:t>
      </w:r>
      <w:r>
        <w:rPr>
          <w:rFonts w:hint="eastAsia" w:ascii="仿宋" w:hAnsi="仿宋" w:eastAsia="仿宋" w:cs="仿宋"/>
          <w:color w:val="333333"/>
          <w:szCs w:val="32"/>
          <w:shd w:val="clear" w:color="auto" w:fill="FFFFFF"/>
        </w:rPr>
        <w:t>万元，其中</w:t>
      </w:r>
      <w:r>
        <w:rPr>
          <w:kern w:val="0"/>
          <w:szCs w:val="32"/>
        </w:rPr>
        <w:t>一般公共预算拨款收入</w:t>
      </w:r>
      <w:r>
        <w:rPr>
          <w:rFonts w:hint="eastAsia"/>
          <w:szCs w:val="32"/>
          <w:lang w:val="en-US" w:eastAsia="zh-CN"/>
        </w:rPr>
        <w:t>713.04</w:t>
      </w:r>
      <w:r>
        <w:rPr>
          <w:szCs w:val="32"/>
        </w:rPr>
        <w:t>万元</w:t>
      </w:r>
      <w:r>
        <w:rPr>
          <w:kern w:val="0"/>
          <w:szCs w:val="32"/>
        </w:rPr>
        <w:t>、政府性基金预算拨款收入</w:t>
      </w:r>
      <w:r>
        <w:rPr>
          <w:rFonts w:hint="eastAsia"/>
          <w:kern w:val="0"/>
          <w:szCs w:val="32"/>
          <w:lang w:val="en-US" w:eastAsia="zh-CN"/>
        </w:rPr>
        <w:t>2.5</w:t>
      </w:r>
      <w:r>
        <w:rPr>
          <w:szCs w:val="32"/>
        </w:rPr>
        <w:t>万元</w:t>
      </w:r>
      <w:r>
        <w:rPr>
          <w:kern w:val="0"/>
          <w:szCs w:val="32"/>
        </w:rPr>
        <w:t>、国有资本经营预算拨款收入</w:t>
      </w:r>
      <w:r>
        <w:rPr>
          <w:rFonts w:hint="eastAsia"/>
          <w:szCs w:val="32"/>
        </w:rPr>
        <w:t>0</w:t>
      </w:r>
      <w:r>
        <w:rPr>
          <w:szCs w:val="32"/>
        </w:rPr>
        <w:t>万元</w:t>
      </w:r>
      <w:r>
        <w:rPr>
          <w:rFonts w:hint="eastAsia"/>
          <w:szCs w:val="32"/>
        </w:rPr>
        <w:t>。</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部门财政资金支出情况。</w:t>
      </w:r>
    </w:p>
    <w:p>
      <w:pPr>
        <w:widowControl/>
        <w:adjustRightInd w:val="0"/>
        <w:snapToGrid w:val="0"/>
        <w:spacing w:line="580" w:lineRule="exact"/>
        <w:ind w:firstLine="640" w:firstLineChars="200"/>
        <w:contextualSpacing/>
        <w:jc w:val="left"/>
        <w:rPr>
          <w:rFonts w:eastAsia="仿宋"/>
          <w:color w:val="000000"/>
          <w:kern w:val="0"/>
          <w:szCs w:val="32"/>
          <w:shd w:val="clear" w:color="auto" w:fill="FFFFFF"/>
        </w:rPr>
      </w:pPr>
      <w:r>
        <w:rPr>
          <w:rFonts w:hint="eastAsia" w:ascii="仿宋" w:hAnsi="仿宋" w:eastAsia="仿宋" w:cs="仿宋"/>
          <w:color w:val="333333"/>
          <w:szCs w:val="32"/>
          <w:shd w:val="clear" w:color="auto" w:fill="FFFFFF"/>
        </w:rPr>
        <w:t>2022年部门财政资金支出525.01万元。其中基本资金支出226.6万元，是用于保障攀枝花市仁和区布德镇卫生</w:t>
      </w:r>
      <w:r>
        <w:rPr>
          <w:rFonts w:hint="eastAsia" w:ascii="仿宋" w:hAnsi="仿宋" w:eastAsia="仿宋" w:cs="仿宋"/>
          <w:color w:val="333333"/>
          <w:szCs w:val="32"/>
          <w:shd w:val="clear" w:color="auto" w:fill="FFFFFF"/>
          <w:lang w:eastAsia="zh-CN"/>
        </w:rPr>
        <w:t>院人员</w:t>
      </w:r>
      <w:r>
        <w:rPr>
          <w:rFonts w:hint="eastAsia" w:ascii="仿宋" w:hAnsi="仿宋" w:eastAsia="仿宋" w:cs="仿宋"/>
          <w:color w:val="333333"/>
          <w:szCs w:val="32"/>
          <w:shd w:val="clear" w:color="auto" w:fill="FFFFFF"/>
        </w:rPr>
        <w:t>支出，包括基本工资、津贴补贴、离退休费、住房公积金、社会保障等经费</w:t>
      </w:r>
      <w:r>
        <w:rPr>
          <w:rFonts w:hint="eastAsia" w:ascii="仿宋" w:hAnsi="仿宋" w:eastAsia="仿宋" w:cs="仿宋"/>
          <w:color w:val="333333"/>
          <w:szCs w:val="32"/>
          <w:shd w:val="clear" w:color="auto" w:fill="FFFFFF"/>
          <w:lang w:eastAsia="zh-CN"/>
        </w:rPr>
        <w:t>；</w:t>
      </w:r>
      <w:r>
        <w:rPr>
          <w:rFonts w:hint="eastAsia" w:ascii="仿宋" w:hAnsi="仿宋" w:eastAsia="仿宋" w:cs="仿宋"/>
          <w:color w:val="333333"/>
          <w:szCs w:val="32"/>
          <w:shd w:val="clear" w:color="auto" w:fill="FFFFFF"/>
        </w:rPr>
        <w:t>项目资金支出298.</w:t>
      </w:r>
      <w:r>
        <w:rPr>
          <w:rFonts w:hint="eastAsia" w:ascii="仿宋" w:hAnsi="仿宋" w:eastAsia="仿宋" w:cs="仿宋"/>
          <w:color w:val="333333"/>
          <w:szCs w:val="32"/>
          <w:shd w:val="clear" w:color="auto" w:fill="FFFFFF"/>
          <w:lang w:val="en-US" w:eastAsia="zh-CN"/>
        </w:rPr>
        <w:t>01</w:t>
      </w:r>
      <w:r>
        <w:rPr>
          <w:rFonts w:hint="eastAsia" w:ascii="仿宋" w:hAnsi="仿宋" w:eastAsia="仿宋" w:cs="仿宋"/>
          <w:color w:val="333333"/>
          <w:szCs w:val="32"/>
          <w:shd w:val="clear" w:color="auto" w:fill="FFFFFF"/>
        </w:rPr>
        <w:t>万元，用于保障攀枝花市仁和区布德镇卫生</w:t>
      </w:r>
      <w:r>
        <w:rPr>
          <w:rFonts w:hint="eastAsia" w:ascii="仿宋" w:hAnsi="仿宋" w:eastAsia="仿宋" w:cs="仿宋"/>
          <w:color w:val="333333"/>
          <w:szCs w:val="32"/>
          <w:shd w:val="clear" w:color="auto" w:fill="FFFFFF"/>
          <w:lang w:eastAsia="zh-CN"/>
        </w:rPr>
        <w:t>院</w:t>
      </w:r>
      <w:r>
        <w:rPr>
          <w:rFonts w:hint="eastAsia" w:ascii="仿宋" w:hAnsi="仿宋" w:eastAsia="仿宋" w:cs="仿宋"/>
          <w:color w:val="333333"/>
          <w:szCs w:val="32"/>
          <w:shd w:val="clear" w:color="auto" w:fill="FFFFFF"/>
        </w:rPr>
        <w:t>正常运转</w:t>
      </w:r>
      <w:r>
        <w:rPr>
          <w:rFonts w:hint="eastAsia" w:ascii="仿宋" w:hAnsi="仿宋" w:eastAsia="仿宋" w:cs="仿宋"/>
          <w:color w:val="333333"/>
          <w:szCs w:val="32"/>
          <w:shd w:val="clear" w:color="auto" w:fill="FFFFFF"/>
          <w:lang w:val="en-US" w:eastAsia="zh-CN"/>
        </w:rPr>
        <w:t>的</w:t>
      </w:r>
      <w:r>
        <w:rPr>
          <w:rStyle w:val="19"/>
          <w:rFonts w:ascii="仿宋_GB2312"/>
          <w:szCs w:val="32"/>
        </w:rPr>
        <w:t>人员</w:t>
      </w:r>
      <w:r>
        <w:rPr>
          <w:rStyle w:val="19"/>
          <w:rFonts w:hint="eastAsia" w:ascii="仿宋_GB2312"/>
          <w:szCs w:val="32"/>
          <w:lang w:val="en-US" w:eastAsia="zh-CN"/>
        </w:rPr>
        <w:t>经费</w:t>
      </w:r>
      <w:r>
        <w:rPr>
          <w:rStyle w:val="19"/>
          <w:rFonts w:ascii="仿宋_GB2312"/>
          <w:szCs w:val="32"/>
        </w:rPr>
        <w:t>、办公经费、医药成本</w:t>
      </w:r>
      <w:r>
        <w:rPr>
          <w:rStyle w:val="19"/>
          <w:rFonts w:hint="eastAsia" w:ascii="仿宋_GB2312"/>
          <w:szCs w:val="32"/>
        </w:rPr>
        <w:t>及</w:t>
      </w:r>
      <w:r>
        <w:rPr>
          <w:rFonts w:hint="eastAsia" w:ascii="仿宋" w:hAnsi="仿宋" w:eastAsia="仿宋" w:cs="仿宋"/>
          <w:color w:val="333333"/>
          <w:szCs w:val="32"/>
          <w:shd w:val="clear" w:color="auto" w:fill="FFFFFF"/>
        </w:rPr>
        <w:t>日常公用经费等</w:t>
      </w:r>
      <w:r>
        <w:rPr>
          <w:rFonts w:hint="eastAsia" w:ascii="仿宋" w:hAnsi="仿宋" w:eastAsia="仿宋" w:cs="仿宋"/>
          <w:color w:val="333333"/>
          <w:szCs w:val="32"/>
          <w:shd w:val="clear" w:color="auto" w:fill="FFFFFF"/>
          <w:lang w:eastAsia="zh-CN"/>
        </w:rPr>
        <w:t>；专项资金支出</w:t>
      </w:r>
      <w:r>
        <w:rPr>
          <w:rFonts w:hint="eastAsia" w:ascii="仿宋" w:hAnsi="仿宋" w:eastAsia="仿宋" w:cs="仿宋"/>
          <w:color w:val="333333"/>
          <w:szCs w:val="32"/>
          <w:shd w:val="clear" w:color="auto" w:fill="FFFFFF"/>
          <w:lang w:val="en-US" w:eastAsia="zh-CN"/>
        </w:rPr>
        <w:t>0.4万元，用于村医养老保障。</w:t>
      </w:r>
    </w:p>
    <w:p>
      <w:pPr>
        <w:widowControl/>
        <w:numPr>
          <w:ilvl w:val="0"/>
          <w:numId w:val="2"/>
        </w:numPr>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部门整体预算绩效管理情况</w:t>
      </w:r>
    </w:p>
    <w:p>
      <w:pPr>
        <w:widowControl/>
        <w:numPr>
          <w:ilvl w:val="0"/>
          <w:numId w:val="0"/>
        </w:numPr>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color w:val="000000"/>
          <w:kern w:val="0"/>
          <w:szCs w:val="32"/>
          <w:shd w:val="clear" w:color="auto" w:fill="FFFFFF"/>
          <w:lang w:val="en-US" w:eastAsia="zh-CN"/>
        </w:rPr>
        <w:t>仁和区布德镇卫生院2022年部门预算按照财政部门要求编制基本支出和项目支出预算，基本支出为人员经费。编制部门预算项目卫生管理经费项目1个，用于卫生院正常运转支出，无50万元以上特定目标类项目。</w:t>
      </w:r>
    </w:p>
    <w:p>
      <w:pPr>
        <w:pStyle w:val="8"/>
        <w:widowControl/>
        <w:shd w:val="clear" w:color="auto" w:fill="FFFFFF"/>
        <w:spacing w:before="255" w:beforeAutospacing="0" w:after="255" w:afterAutospacing="0" w:line="60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2、目标实现：</w:t>
      </w:r>
    </w:p>
    <w:p>
      <w:pPr>
        <w:pStyle w:val="8"/>
        <w:widowControl/>
        <w:shd w:val="clear" w:color="auto" w:fill="FFFFFF"/>
        <w:spacing w:before="255" w:beforeAutospacing="0" w:after="255" w:afterAutospacing="0" w:line="600" w:lineRule="atLeast"/>
        <w:ind w:firstLine="320" w:firstLineChars="1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（1）人员类年初预算</w:t>
      </w:r>
      <w:r>
        <w:rPr>
          <w:rFonts w:hint="eastAsia" w:ascii="仿宋_GB2312" w:hAnsi="仿宋_GB2312" w:cs="仿宋_GB2312"/>
          <w:color w:val="000000"/>
          <w:sz w:val="32"/>
          <w:szCs w:val="32"/>
          <w:shd w:val="clear" w:color="auto" w:fill="FFFFFF"/>
          <w:lang w:val="en-US" w:eastAsia="zh-CN"/>
        </w:rPr>
        <w:t>235.46</w:t>
      </w:r>
      <w:r>
        <w:rPr>
          <w:rFonts w:hint="eastAsia" w:ascii="仿宋_GB2312" w:hAnsi="仿宋_GB2312" w:eastAsia="仿宋_GB2312" w:cs="仿宋_GB2312"/>
          <w:color w:val="000000"/>
          <w:sz w:val="32"/>
          <w:szCs w:val="32"/>
          <w:shd w:val="clear" w:color="auto" w:fill="FFFFFF"/>
        </w:rPr>
        <w:t>万元，追加</w:t>
      </w:r>
      <w:r>
        <w:rPr>
          <w:rFonts w:hint="eastAsia" w:ascii="仿宋_GB2312" w:hAnsi="仿宋_GB2312" w:cs="仿宋_GB2312"/>
          <w:color w:val="000000"/>
          <w:sz w:val="32"/>
          <w:szCs w:val="32"/>
          <w:shd w:val="clear" w:color="auto" w:fill="FFFFFF"/>
          <w:lang w:val="en-US" w:eastAsia="zh-CN"/>
        </w:rPr>
        <w:t>21.04</w:t>
      </w:r>
      <w:r>
        <w:rPr>
          <w:rFonts w:hint="eastAsia" w:ascii="仿宋_GB2312" w:hAnsi="仿宋_GB2312" w:eastAsia="仿宋_GB2312" w:cs="仿宋_GB2312"/>
          <w:color w:val="000000"/>
          <w:sz w:val="32"/>
          <w:szCs w:val="32"/>
          <w:shd w:val="clear" w:color="auto" w:fill="FFFFFF"/>
        </w:rPr>
        <w:t>万元，合计</w:t>
      </w:r>
      <w:r>
        <w:rPr>
          <w:rFonts w:hint="eastAsia" w:ascii="仿宋_GB2312" w:hAnsi="仿宋_GB2312" w:cs="仿宋_GB2312"/>
          <w:color w:val="000000"/>
          <w:sz w:val="32"/>
          <w:szCs w:val="32"/>
          <w:shd w:val="clear" w:color="auto" w:fill="FFFFFF"/>
          <w:lang w:val="en-US" w:eastAsia="zh-CN"/>
        </w:rPr>
        <w:t>256.5</w:t>
      </w:r>
      <w:r>
        <w:rPr>
          <w:rFonts w:hint="eastAsia" w:ascii="仿宋_GB2312" w:hAnsi="仿宋_GB2312" w:eastAsia="仿宋_GB2312" w:cs="仿宋_GB2312"/>
          <w:color w:val="000000"/>
          <w:sz w:val="32"/>
          <w:szCs w:val="32"/>
          <w:shd w:val="clear" w:color="auto" w:fill="FFFFFF"/>
        </w:rPr>
        <w:t>万元，全年实际完成226、</w:t>
      </w:r>
      <w:r>
        <w:rPr>
          <w:rFonts w:hint="eastAsia" w:ascii="仿宋_GB2312" w:hAnsi="仿宋_GB2312" w:eastAsia="仿宋_GB2312" w:cs="仿宋_GB2312"/>
          <w:color w:val="000000"/>
          <w:sz w:val="32"/>
          <w:szCs w:val="32"/>
          <w:shd w:val="clear" w:color="auto" w:fill="FFFFFF"/>
          <w:lang w:val="en-US" w:eastAsia="zh-CN"/>
        </w:rPr>
        <w:t>61</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完成率</w:t>
      </w:r>
      <w:r>
        <w:rPr>
          <w:rFonts w:hint="eastAsia" w:ascii="仿宋_GB2312" w:hAnsi="仿宋_GB2312" w:cs="仿宋_GB2312"/>
          <w:color w:val="000000"/>
          <w:sz w:val="32"/>
          <w:szCs w:val="32"/>
          <w:shd w:val="clear" w:color="auto" w:fill="FFFFFF"/>
          <w:lang w:val="en-US" w:eastAsia="zh-CN"/>
        </w:rPr>
        <w:t>88.34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eastAsia="zh-CN"/>
        </w:rPr>
        <w:t>未完成原因为</w:t>
      </w:r>
      <w:r>
        <w:rPr>
          <w:rFonts w:hint="eastAsia" w:ascii="仿宋_GB2312" w:hAnsi="仿宋_GB2312" w:eastAsia="仿宋_GB2312" w:cs="仿宋_GB2312"/>
          <w:kern w:val="2"/>
          <w:sz w:val="32"/>
          <w:szCs w:val="32"/>
          <w:lang w:val="en-US" w:eastAsia="zh-CN" w:bidi="ar-SA"/>
        </w:rPr>
        <w:t>财政资金调度困难，支付进度缓慢</w:t>
      </w:r>
      <w:r>
        <w:rPr>
          <w:rFonts w:hint="eastAsia" w:ascii="仿宋_GB2312" w:hAnsi="仿宋_GB2312" w:cs="仿宋_GB2312"/>
          <w:kern w:val="2"/>
          <w:sz w:val="32"/>
          <w:szCs w:val="32"/>
          <w:lang w:val="en-US" w:eastAsia="zh-CN" w:bidi="ar-SA"/>
        </w:rPr>
        <w:t>。</w:t>
      </w:r>
    </w:p>
    <w:p>
      <w:pPr>
        <w:pStyle w:val="8"/>
        <w:widowControl/>
        <w:shd w:val="clear" w:color="auto" w:fill="FFFFFF"/>
        <w:spacing w:before="255" w:beforeAutospacing="0" w:after="255" w:afterAutospacing="0" w:line="60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lang w:val="en-US" w:eastAsia="zh-CN"/>
        </w:rPr>
        <w:t>运转</w:t>
      </w:r>
      <w:r>
        <w:rPr>
          <w:rFonts w:hint="eastAsia" w:ascii="仿宋_GB2312" w:hAnsi="仿宋_GB2312" w:eastAsia="仿宋_GB2312" w:cs="仿宋_GB2312"/>
          <w:color w:val="000000"/>
          <w:sz w:val="32"/>
          <w:szCs w:val="32"/>
          <w:shd w:val="clear" w:color="auto" w:fill="FFFFFF"/>
        </w:rPr>
        <w:t>目标类：</w:t>
      </w:r>
      <w:r>
        <w:rPr>
          <w:rFonts w:hint="eastAsia" w:ascii="仿宋_GB2312" w:hAnsi="仿宋_GB2312" w:cs="仿宋_GB2312"/>
          <w:color w:val="000000"/>
          <w:sz w:val="32"/>
          <w:szCs w:val="32"/>
          <w:shd w:val="clear" w:color="auto" w:fill="FFFFFF"/>
          <w:lang w:eastAsia="zh-CN"/>
        </w:rPr>
        <w:t>部门预算项目</w:t>
      </w:r>
      <w:r>
        <w:rPr>
          <w:rFonts w:hint="eastAsia" w:ascii="仿宋_GB2312" w:hAnsi="仿宋_GB2312" w:eastAsia="仿宋_GB2312" w:cs="仿宋_GB2312"/>
          <w:color w:val="000000"/>
          <w:sz w:val="32"/>
          <w:szCs w:val="32"/>
          <w:shd w:val="clear" w:color="auto" w:fill="FFFFFF"/>
        </w:rPr>
        <w:t>年初预算</w:t>
      </w:r>
      <w:r>
        <w:rPr>
          <w:rFonts w:hint="eastAsia" w:ascii="仿宋_GB2312" w:hAnsi="仿宋_GB2312" w:cs="仿宋_GB2312"/>
          <w:color w:val="000000"/>
          <w:sz w:val="32"/>
          <w:szCs w:val="32"/>
          <w:shd w:val="clear" w:color="auto" w:fill="FFFFFF"/>
          <w:lang w:val="en-US" w:eastAsia="zh-CN"/>
        </w:rPr>
        <w:t>159.41万元</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eastAsia="zh-CN"/>
        </w:rPr>
        <w:t>追加</w:t>
      </w:r>
      <w:r>
        <w:rPr>
          <w:rFonts w:hint="eastAsia" w:ascii="仿宋_GB2312" w:hAnsi="仿宋_GB2312" w:cs="仿宋_GB2312"/>
          <w:color w:val="000000"/>
          <w:sz w:val="32"/>
          <w:szCs w:val="32"/>
          <w:shd w:val="clear" w:color="auto" w:fill="FFFFFF"/>
          <w:lang w:val="en-US" w:eastAsia="zh-CN"/>
        </w:rPr>
        <w:t>297.13万元，</w:t>
      </w:r>
      <w:r>
        <w:rPr>
          <w:rFonts w:hint="eastAsia" w:ascii="仿宋_GB2312" w:hAnsi="仿宋_GB2312" w:eastAsia="仿宋_GB2312" w:cs="仿宋_GB2312"/>
          <w:color w:val="000000"/>
          <w:sz w:val="32"/>
          <w:szCs w:val="32"/>
          <w:shd w:val="clear" w:color="auto" w:fill="FFFFFF"/>
        </w:rPr>
        <w:t>上年结转资金</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合计</w:t>
      </w:r>
      <w:r>
        <w:rPr>
          <w:rFonts w:hint="eastAsia" w:ascii="仿宋_GB2312" w:hAnsi="仿宋_GB2312" w:cs="仿宋_GB2312"/>
          <w:color w:val="000000"/>
          <w:sz w:val="32"/>
          <w:szCs w:val="32"/>
          <w:shd w:val="clear" w:color="auto" w:fill="FFFFFF"/>
          <w:lang w:val="en-US" w:eastAsia="zh-CN"/>
        </w:rPr>
        <w:t>456.54万元</w:t>
      </w:r>
      <w:r>
        <w:rPr>
          <w:rFonts w:hint="eastAsia" w:ascii="仿宋_GB2312" w:hAnsi="仿宋_GB2312" w:eastAsia="仿宋_GB2312" w:cs="仿宋_GB2312"/>
          <w:color w:val="000000"/>
          <w:sz w:val="32"/>
          <w:szCs w:val="32"/>
          <w:shd w:val="clear" w:color="auto" w:fill="FFFFFF"/>
        </w:rPr>
        <w:t>，全年实际完</w:t>
      </w:r>
      <w:r>
        <w:rPr>
          <w:rFonts w:hint="eastAsia" w:ascii="仿宋_GB2312" w:hAnsi="仿宋_GB2312" w:cs="仿宋_GB2312"/>
          <w:color w:val="000000"/>
          <w:sz w:val="32"/>
          <w:szCs w:val="32"/>
          <w:shd w:val="clear" w:color="auto" w:fill="FFFFFF"/>
          <w:lang w:val="en-US" w:eastAsia="zh-CN"/>
        </w:rPr>
        <w:t>298.01万元，完成</w:t>
      </w:r>
      <w:r>
        <w:rPr>
          <w:rFonts w:hint="eastAsia" w:ascii="仿宋_GB2312" w:hAnsi="仿宋_GB2312" w:eastAsia="仿宋_GB2312" w:cs="仿宋_GB2312"/>
          <w:color w:val="000000"/>
          <w:sz w:val="32"/>
          <w:szCs w:val="32"/>
          <w:shd w:val="clear" w:color="auto" w:fill="FFFFFF"/>
        </w:rPr>
        <w:t>率</w:t>
      </w:r>
      <w:r>
        <w:rPr>
          <w:rFonts w:hint="eastAsia" w:ascii="仿宋_GB2312" w:hAnsi="仿宋_GB2312" w:cs="仿宋_GB2312"/>
          <w:color w:val="000000"/>
          <w:sz w:val="32"/>
          <w:szCs w:val="32"/>
          <w:shd w:val="clear" w:color="auto" w:fill="FFFFFF"/>
          <w:lang w:val="en-US" w:eastAsia="zh-CN"/>
        </w:rPr>
        <w:t>65.28</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政府性基金</w:t>
      </w:r>
      <w:r>
        <w:rPr>
          <w:rFonts w:hint="eastAsia" w:ascii="仿宋_GB2312" w:hAnsi="仿宋_GB2312" w:cs="仿宋_GB2312"/>
          <w:color w:val="000000"/>
          <w:sz w:val="32"/>
          <w:szCs w:val="32"/>
          <w:shd w:val="clear" w:color="auto" w:fill="FFFFFF"/>
          <w:lang w:eastAsia="zh-CN"/>
        </w:rPr>
        <w:t>安排</w:t>
      </w:r>
      <w:r>
        <w:rPr>
          <w:rFonts w:hint="eastAsia" w:ascii="仿宋_GB2312" w:hAnsi="仿宋_GB2312" w:cs="仿宋_GB2312"/>
          <w:color w:val="000000"/>
          <w:sz w:val="32"/>
          <w:szCs w:val="32"/>
          <w:shd w:val="clear" w:color="auto" w:fill="FFFFFF"/>
          <w:lang w:val="en-US" w:eastAsia="zh-CN"/>
        </w:rPr>
        <w:t>2.5万元，完成0.4万元，完成率16%，以上项目</w:t>
      </w:r>
      <w:r>
        <w:rPr>
          <w:rFonts w:hint="eastAsia" w:ascii="仿宋_GB2312" w:hAnsi="仿宋_GB2312" w:cs="仿宋_GB2312"/>
          <w:color w:val="000000"/>
          <w:sz w:val="32"/>
          <w:szCs w:val="32"/>
          <w:shd w:val="clear" w:color="auto" w:fill="FFFFFF"/>
          <w:lang w:eastAsia="zh-CN"/>
        </w:rPr>
        <w:t>未完成原因</w:t>
      </w:r>
      <w:r>
        <w:rPr>
          <w:rFonts w:hint="eastAsia" w:ascii="仿宋_GB2312" w:hAnsi="仿宋_GB2312" w:eastAsia="仿宋_GB2312" w:cs="仿宋_GB2312"/>
          <w:kern w:val="2"/>
          <w:sz w:val="32"/>
          <w:szCs w:val="32"/>
          <w:lang w:val="en-US" w:eastAsia="zh-CN" w:bidi="ar-SA"/>
        </w:rPr>
        <w:t>财政资金调度困难，支付进度缓慢</w:t>
      </w:r>
      <w:r>
        <w:rPr>
          <w:rFonts w:hint="eastAsia" w:ascii="仿宋_GB2312" w:hAnsi="仿宋_GB2312" w:cs="仿宋_GB2312"/>
          <w:kern w:val="2"/>
          <w:sz w:val="32"/>
          <w:szCs w:val="32"/>
          <w:lang w:val="en-US" w:eastAsia="zh-CN" w:bidi="ar-SA"/>
        </w:rPr>
        <w:t>。</w:t>
      </w:r>
    </w:p>
    <w:p>
      <w:pPr>
        <w:pStyle w:val="8"/>
        <w:widowControl/>
        <w:shd w:val="clear" w:color="auto" w:fill="FFFFFF"/>
        <w:spacing w:before="255" w:beforeAutospacing="0" w:after="255" w:afterAutospacing="0" w:line="600" w:lineRule="atLeast"/>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rPr>
        <w:t>）特定目标类</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年初预算</w:t>
      </w:r>
      <w:r>
        <w:rPr>
          <w:rFonts w:hint="eastAsia" w:ascii="仿宋" w:hAnsi="仿宋" w:eastAsia="仿宋" w:cs="仿宋"/>
          <w:color w:val="000000"/>
          <w:kern w:val="0"/>
          <w:sz w:val="32"/>
          <w:szCs w:val="32"/>
          <w:shd w:val="clear" w:color="auto" w:fill="FFFFFF"/>
          <w:lang w:val="en-US" w:eastAsia="zh-CN"/>
        </w:rPr>
        <w:t>0</w:t>
      </w:r>
      <w:r>
        <w:rPr>
          <w:rFonts w:hint="eastAsia" w:ascii="仿宋" w:hAnsi="仿宋" w:eastAsia="仿宋" w:cs="仿宋"/>
          <w:color w:val="000000"/>
          <w:kern w:val="0"/>
          <w:sz w:val="32"/>
          <w:szCs w:val="32"/>
          <w:shd w:val="clear" w:color="auto" w:fill="FFFFFF"/>
        </w:rPr>
        <w:t>万元</w:t>
      </w:r>
    </w:p>
    <w:p>
      <w:pPr>
        <w:pStyle w:val="8"/>
        <w:widowControl/>
        <w:shd w:val="clear" w:color="auto" w:fill="FFFFFF"/>
        <w:spacing w:before="255" w:beforeAutospacing="0" w:after="255" w:afterAutospacing="0" w:line="600" w:lineRule="atLeast"/>
        <w:ind w:firstLine="64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）支出控制：我单位2022年日常公用经费支出</w:t>
      </w:r>
      <w:r>
        <w:rPr>
          <w:rFonts w:hint="eastAsia" w:ascii="仿宋_GB2312" w:hAnsi="仿宋_GB2312" w:eastAsia="仿宋_GB2312" w:cs="仿宋_GB2312"/>
          <w:color w:val="000000"/>
          <w:sz w:val="32"/>
          <w:szCs w:val="32"/>
          <w:shd w:val="clear" w:color="auto" w:fill="FFFFFF"/>
          <w:lang w:val="en-US" w:eastAsia="zh-CN"/>
        </w:rPr>
        <w:t>142.51万元年初预算176.28万元，偏差度程度19%。</w:t>
      </w:r>
    </w:p>
    <w:p>
      <w:pPr>
        <w:pStyle w:val="8"/>
        <w:widowControl/>
        <w:shd w:val="clear" w:color="auto" w:fill="FFFFFF"/>
        <w:spacing w:before="255" w:beforeAutospacing="0" w:after="255" w:afterAutospacing="0" w:line="600" w:lineRule="atLeas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5</w:t>
      </w:r>
      <w:r>
        <w:rPr>
          <w:rFonts w:hint="eastAsia" w:ascii="仿宋_GB2312" w:hAnsi="仿宋_GB2312" w:cs="仿宋_GB2312"/>
          <w:color w:val="000000"/>
          <w:sz w:val="32"/>
          <w:szCs w:val="32"/>
          <w:shd w:val="clear" w:color="auto" w:fill="FFFFFF"/>
          <w:lang w:eastAsia="zh-CN"/>
        </w:rPr>
        <w:t>）及时处置：</w:t>
      </w:r>
      <w:r>
        <w:rPr>
          <w:rFonts w:hint="eastAsia" w:ascii="仿宋_GB2312" w:hAnsi="仿宋_GB2312" w:eastAsia="仿宋_GB2312" w:cs="仿宋_GB2312"/>
          <w:color w:val="000000"/>
          <w:sz w:val="32"/>
          <w:szCs w:val="32"/>
          <w:shd w:val="clear" w:color="auto" w:fill="FFFFFF"/>
        </w:rPr>
        <w:t>布德镇卫生院2022年未开展绩效监控结果运用，经财政局核实不具备开展绩效结果应用</w:t>
      </w:r>
    </w:p>
    <w:p>
      <w:pPr>
        <w:pStyle w:val="8"/>
        <w:widowControl/>
        <w:shd w:val="clear" w:color="auto" w:fill="FFFFFF"/>
        <w:spacing w:before="255" w:beforeAutospacing="0" w:after="255" w:afterAutospacing="0" w:line="600" w:lineRule="atLeast"/>
        <w:ind w:firstLine="640"/>
        <w:rPr>
          <w:rFonts w:hint="eastAsia" w:ascii="仿宋_GB2312" w:hAnsi="仿宋_GB2312" w:cs="仿宋_GB2312"/>
          <w:color w:val="000000"/>
          <w:sz w:val="32"/>
          <w:szCs w:val="32"/>
          <w:shd w:val="clear" w:color="auto" w:fill="FFFFFF"/>
          <w:lang w:val="en-US" w:eastAsia="zh-CN"/>
        </w:rPr>
      </w:pP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6</w:t>
      </w:r>
      <w:r>
        <w:rPr>
          <w:rFonts w:hint="eastAsia" w:ascii="仿宋_GB2312" w:hAnsi="仿宋_GB2312" w:cs="仿宋_GB2312"/>
          <w:color w:val="000000"/>
          <w:sz w:val="32"/>
          <w:szCs w:val="32"/>
          <w:shd w:val="clear" w:color="auto" w:fill="FFFFFF"/>
          <w:lang w:eastAsia="zh-CN"/>
        </w:rPr>
        <w:t>）执行进度：</w:t>
      </w:r>
      <w:r>
        <w:rPr>
          <w:rFonts w:hint="eastAsia" w:ascii="仿宋_GB2312" w:hAnsi="仿宋_GB2312" w:eastAsia="仿宋_GB2312" w:cs="仿宋_GB2312"/>
          <w:color w:val="000000"/>
          <w:sz w:val="32"/>
          <w:szCs w:val="32"/>
          <w:shd w:val="clear" w:color="auto" w:fill="FFFFFF"/>
        </w:rPr>
        <w:t>2022年布德镇卫生院执行进度6月实际支付完成295.27万元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完成全年支出</w:t>
      </w:r>
      <w:r>
        <w:rPr>
          <w:rFonts w:hint="eastAsia" w:ascii="仿宋_GB2312" w:hAnsi="仿宋_GB2312" w:cs="仿宋_GB2312"/>
          <w:color w:val="000000"/>
          <w:sz w:val="32"/>
          <w:szCs w:val="32"/>
          <w:shd w:val="clear" w:color="auto" w:fill="FFFFFF"/>
          <w:lang w:val="en-US" w:eastAsia="zh-CN"/>
        </w:rPr>
        <w:t>41.27</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、9月完成实际支付391.51万元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完成实际支付的</w:t>
      </w:r>
      <w:r>
        <w:rPr>
          <w:rFonts w:hint="eastAsia" w:ascii="仿宋_GB2312" w:hAnsi="仿宋_GB2312" w:cs="仿宋_GB2312"/>
          <w:color w:val="000000"/>
          <w:sz w:val="32"/>
          <w:szCs w:val="32"/>
          <w:shd w:val="clear" w:color="auto" w:fill="FFFFFF"/>
          <w:lang w:val="en-US" w:eastAsia="zh-CN"/>
        </w:rPr>
        <w:t>54.72</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、11月完成实际支付487.81万元</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完成全年支付的</w:t>
      </w:r>
      <w:r>
        <w:rPr>
          <w:rFonts w:hint="eastAsia" w:ascii="仿宋_GB2312" w:hAnsi="仿宋_GB2312" w:cs="仿宋_GB2312"/>
          <w:color w:val="000000"/>
          <w:sz w:val="32"/>
          <w:szCs w:val="32"/>
          <w:shd w:val="clear" w:color="auto" w:fill="FFFFFF"/>
          <w:lang w:val="en-US" w:eastAsia="zh-CN"/>
        </w:rPr>
        <w:t>68.12</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cs="仿宋_GB2312"/>
          <w:color w:val="000000"/>
          <w:sz w:val="32"/>
          <w:szCs w:val="32"/>
          <w:shd w:val="clear" w:color="auto" w:fill="FFFFFF"/>
          <w:lang w:val="en-US" w:eastAsia="zh-CN"/>
        </w:rPr>
        <w:t>。</w:t>
      </w:r>
    </w:p>
    <w:p>
      <w:pPr>
        <w:pStyle w:val="8"/>
        <w:widowControl/>
        <w:shd w:val="clear" w:color="auto" w:fill="FFFFFF"/>
        <w:spacing w:before="255" w:beforeAutospacing="0" w:after="255" w:afterAutospacing="0" w:line="600" w:lineRule="atLeast"/>
        <w:ind w:firstLine="640"/>
        <w:rPr>
          <w:rFonts w:hint="eastAsia" w:ascii="仿宋_GB2312" w:hAnsi="仿宋_GB2312" w:eastAsia="仿宋_GB2312" w:cs="仿宋_GB2312"/>
          <w:color w:val="333333"/>
          <w:sz w:val="32"/>
          <w:szCs w:val="32"/>
          <w:lang w:eastAsia="zh-CN"/>
        </w:rPr>
      </w:pP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7</w:t>
      </w:r>
      <w:r>
        <w:rPr>
          <w:rFonts w:hint="eastAsia" w:ascii="仿宋_GB2312" w:hAnsi="仿宋_GB2312" w:cs="仿宋_GB2312"/>
          <w:color w:val="000000"/>
          <w:sz w:val="32"/>
          <w:szCs w:val="32"/>
          <w:shd w:val="clear" w:color="auto" w:fill="FFFFFF"/>
          <w:lang w:eastAsia="zh-CN"/>
        </w:rPr>
        <w:t>）完成效率：</w:t>
      </w:r>
      <w:r>
        <w:rPr>
          <w:rFonts w:hint="eastAsia" w:ascii="仿宋_GB2312" w:hAnsi="仿宋_GB2312" w:eastAsia="仿宋_GB2312" w:cs="仿宋_GB2312"/>
          <w:color w:val="000000"/>
          <w:sz w:val="32"/>
          <w:szCs w:val="32"/>
          <w:shd w:val="clear" w:color="auto" w:fill="FFFFFF"/>
        </w:rPr>
        <w:t>部门预算项目</w:t>
      </w:r>
      <w:r>
        <w:rPr>
          <w:rFonts w:hint="eastAsia" w:ascii="仿宋_GB2312" w:hAnsi="仿宋_GB2312" w:cs="仿宋_GB2312"/>
          <w:color w:val="000000"/>
          <w:sz w:val="32"/>
          <w:szCs w:val="32"/>
          <w:shd w:val="clear" w:color="auto" w:fill="FFFFFF"/>
          <w:lang w:eastAsia="zh-CN"/>
        </w:rPr>
        <w:t>预算</w:t>
      </w:r>
      <w:r>
        <w:rPr>
          <w:rFonts w:hint="eastAsia" w:ascii="仿宋_GB2312" w:hAnsi="仿宋_GB2312" w:cs="仿宋_GB2312"/>
          <w:color w:val="000000"/>
          <w:sz w:val="32"/>
          <w:szCs w:val="32"/>
          <w:shd w:val="clear" w:color="auto" w:fill="FFFFFF"/>
          <w:lang w:val="en-US" w:eastAsia="zh-CN"/>
        </w:rPr>
        <w:t>456.54万元，</w:t>
      </w:r>
      <w:r>
        <w:rPr>
          <w:rFonts w:hint="eastAsia" w:ascii="仿宋_GB2312" w:hAnsi="仿宋_GB2312" w:eastAsia="仿宋_GB2312" w:cs="仿宋_GB2312"/>
          <w:color w:val="000000"/>
          <w:sz w:val="32"/>
          <w:szCs w:val="32"/>
          <w:shd w:val="clear" w:color="auto" w:fill="FFFFFF"/>
        </w:rPr>
        <w:t>12月完成</w:t>
      </w:r>
      <w:r>
        <w:rPr>
          <w:rFonts w:hint="eastAsia" w:ascii="仿宋_GB2312" w:hAnsi="仿宋_GB2312" w:eastAsia="仿宋_GB2312" w:cs="仿宋_GB2312"/>
          <w:color w:val="000000"/>
          <w:sz w:val="32"/>
          <w:szCs w:val="32"/>
          <w:shd w:val="clear" w:color="auto" w:fill="FFFFFF"/>
          <w:lang w:val="en-US" w:eastAsia="zh-CN"/>
        </w:rPr>
        <w:t>298.</w:t>
      </w:r>
      <w:r>
        <w:rPr>
          <w:rFonts w:hint="eastAsia" w:ascii="仿宋_GB2312" w:hAnsi="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万元，实际完成率</w:t>
      </w:r>
      <w:r>
        <w:rPr>
          <w:rFonts w:hint="eastAsia" w:ascii="仿宋_GB2312" w:hAnsi="仿宋_GB2312" w:cs="仿宋_GB2312"/>
          <w:color w:val="000000"/>
          <w:sz w:val="32"/>
          <w:szCs w:val="32"/>
          <w:shd w:val="clear" w:color="auto" w:fill="FFFFFF"/>
          <w:lang w:val="en-US" w:eastAsia="zh-CN"/>
        </w:rPr>
        <w:t>65.28</w:t>
      </w:r>
      <w:r>
        <w:rPr>
          <w:rFonts w:hint="eastAsia" w:ascii="仿宋_GB2312" w:hAnsi="仿宋_GB2312" w:eastAsia="仿宋_GB2312" w:cs="仿宋_GB2312"/>
          <w:color w:val="000000"/>
          <w:sz w:val="32"/>
          <w:szCs w:val="32"/>
          <w:shd w:val="clear" w:color="auto" w:fill="FFFFFF"/>
        </w:rPr>
        <w:t>%；部门预算项目资金节约率小于0.1的项目</w:t>
      </w:r>
      <w:r>
        <w:rPr>
          <w:rFonts w:hint="eastAsia" w:ascii="仿宋_GB2312" w:hAnsi="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个；2022年未出现违规记录</w:t>
      </w:r>
      <w:r>
        <w:rPr>
          <w:rFonts w:hint="eastAsia" w:ascii="仿宋_GB2312" w:hAnsi="仿宋_GB2312" w:eastAsia="仿宋_GB2312" w:cs="仿宋_GB2312"/>
          <w:color w:val="000000"/>
          <w:sz w:val="32"/>
          <w:szCs w:val="32"/>
          <w:shd w:val="clear" w:color="auto" w:fill="FFFFFF"/>
          <w:lang w:eastAsia="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Cs w:val="32"/>
          <w:shd w:val="clear" w:color="auto" w:fill="FFFFFF"/>
          <w:lang w:val="zh-CN"/>
        </w:rPr>
      </w:pPr>
      <w:r>
        <w:rPr>
          <w:rFonts w:hint="eastAsia" w:ascii="仿宋_GB2312" w:hAnsi="仿宋_GB2312" w:eastAsia="仿宋_GB2312" w:cs="仿宋_GB2312"/>
          <w:color w:val="333333"/>
          <w:szCs w:val="32"/>
          <w:shd w:val="clear" w:color="auto" w:fill="FFFFFF"/>
        </w:rPr>
        <w:t>结合最终评价结果，严格按照工作计划，合理安排预算资金使用，加强预算管理制度建设</w:t>
      </w:r>
      <w:r>
        <w:rPr>
          <w:rFonts w:hint="eastAsia" w:ascii="仿宋_GB2312" w:hAnsi="仿宋_GB2312" w:cs="仿宋_GB2312"/>
          <w:color w:val="333333"/>
          <w:szCs w:val="32"/>
          <w:shd w:val="clear" w:color="auto" w:fill="FFFFFF"/>
          <w:lang w:eastAsia="zh-CN"/>
        </w:rPr>
        <w:t>；</w:t>
      </w:r>
      <w:r>
        <w:rPr>
          <w:rFonts w:hint="eastAsia" w:ascii="仿宋_GB2312" w:hAnsi="仿宋_GB2312" w:eastAsia="仿宋_GB2312" w:cs="仿宋_GB2312"/>
          <w:color w:val="333333"/>
          <w:szCs w:val="32"/>
          <w:shd w:val="clear" w:color="auto" w:fill="FFFFFF"/>
        </w:rPr>
        <w:t>按要求将预算项目和整体预算绩效评价相关绩效信息随同决算在仁和区公共信息网进行了公开</w:t>
      </w:r>
      <w:r>
        <w:rPr>
          <w:rFonts w:hint="eastAsia" w:ascii="仿宋_GB2312" w:hAnsi="仿宋_GB2312" w:cs="仿宋_GB2312"/>
          <w:color w:val="333333"/>
          <w:szCs w:val="32"/>
          <w:shd w:val="clear" w:color="auto" w:fill="FFFFFF"/>
          <w:lang w:eastAsia="zh-CN"/>
        </w:rPr>
        <w:t>；</w:t>
      </w:r>
      <w:r>
        <w:rPr>
          <w:rFonts w:hint="eastAsia" w:ascii="仿宋_GB2312" w:hAnsi="仿宋_GB2312" w:eastAsia="仿宋_GB2312" w:cs="仿宋_GB2312"/>
          <w:color w:val="333333"/>
          <w:szCs w:val="32"/>
          <w:shd w:val="clear" w:color="auto" w:fill="FFFFFF"/>
        </w:rPr>
        <w:t>对事中绩效监控查出基本药物年度资金支出率低、未对绩效偏差进行分析问题进行了整改</w:t>
      </w:r>
      <w:r>
        <w:rPr>
          <w:rFonts w:hint="eastAsia" w:ascii="仿宋_GB2312" w:hAnsi="仿宋_GB2312" w:eastAsia="仿宋_GB2312" w:cs="仿宋_GB2312"/>
          <w:color w:val="000000"/>
          <w:kern w:val="0"/>
          <w:szCs w:val="32"/>
          <w:shd w:val="clear" w:color="auto" w:fill="FFFFFF"/>
        </w:rPr>
        <w:t>并将整改报告及时反馈回</w:t>
      </w:r>
      <w:r>
        <w:rPr>
          <w:rFonts w:hint="eastAsia" w:ascii="仿宋_GB2312" w:hAnsi="仿宋_GB2312" w:cs="仿宋_GB2312"/>
          <w:color w:val="000000"/>
          <w:kern w:val="0"/>
          <w:szCs w:val="32"/>
          <w:shd w:val="clear" w:color="auto" w:fill="FFFFFF"/>
          <w:lang w:eastAsia="zh-CN"/>
        </w:rPr>
        <w:t>区</w:t>
      </w:r>
      <w:r>
        <w:rPr>
          <w:rFonts w:hint="eastAsia" w:ascii="仿宋_GB2312" w:hAnsi="仿宋_GB2312" w:eastAsia="仿宋_GB2312" w:cs="仿宋_GB2312"/>
          <w:color w:val="000000"/>
          <w:kern w:val="0"/>
          <w:szCs w:val="32"/>
          <w:shd w:val="clear" w:color="auto" w:fill="FFFFFF"/>
        </w:rPr>
        <w:t>财政局</w:t>
      </w:r>
      <w:r>
        <w:rPr>
          <w:rFonts w:hint="eastAsia" w:ascii="仿宋_GB2312" w:hAnsi="仿宋_GB2312" w:eastAsia="仿宋_GB2312" w:cs="仿宋_GB2312"/>
          <w:color w:val="000000"/>
          <w:kern w:val="0"/>
          <w:szCs w:val="32"/>
          <w:shd w:val="clear" w:color="auto" w:fill="FFFFFF"/>
          <w:lang w:val="zh-CN"/>
        </w:rPr>
        <w:t>。</w:t>
      </w:r>
    </w:p>
    <w:p>
      <w:pPr>
        <w:widowControl/>
        <w:numPr>
          <w:ilvl w:val="0"/>
          <w:numId w:val="3"/>
        </w:numPr>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Cs w:val="32"/>
          <w:shd w:val="clear" w:color="auto" w:fill="FFFFFF"/>
          <w:lang w:val="zh-CN"/>
        </w:rPr>
      </w:pPr>
      <w:r>
        <w:rPr>
          <w:rFonts w:hint="eastAsia" w:ascii="仿宋_GB2312" w:hAnsi="仿宋_GB2312" w:eastAsia="仿宋_GB2312" w:cs="仿宋_GB2312"/>
          <w:color w:val="000000"/>
          <w:kern w:val="0"/>
          <w:szCs w:val="32"/>
          <w:shd w:val="clear" w:color="auto" w:fill="FFFFFF"/>
          <w:lang w:val="zh-CN"/>
        </w:rPr>
        <w:t>自评质量。</w:t>
      </w:r>
    </w:p>
    <w:p>
      <w:pPr>
        <w:widowControl/>
        <w:adjustRightInd w:val="0"/>
        <w:snapToGrid w:val="0"/>
        <w:spacing w:line="580" w:lineRule="exact"/>
        <w:contextualSpacing/>
        <w:jc w:val="left"/>
        <w:rPr>
          <w:rFonts w:hint="eastAsia" w:ascii="仿宋_GB2312" w:hAnsi="仿宋_GB2312" w:eastAsia="仿宋_GB2312" w:cs="仿宋_GB2312"/>
          <w:color w:val="000000"/>
          <w:kern w:val="0"/>
          <w:szCs w:val="32"/>
          <w:shd w:val="clear" w:color="auto" w:fill="FFFFFF"/>
        </w:rPr>
      </w:pPr>
      <w:r>
        <w:rPr>
          <w:rFonts w:hint="eastAsia" w:ascii="仿宋_GB2312" w:hAnsi="仿宋_GB2312" w:eastAsia="仿宋_GB2312" w:cs="仿宋_GB2312"/>
          <w:color w:val="000000"/>
          <w:kern w:val="0"/>
          <w:szCs w:val="32"/>
          <w:shd w:val="clear" w:color="auto" w:fill="FFFFFF"/>
        </w:rPr>
        <w:t xml:space="preserve">   </w:t>
      </w:r>
      <w:r>
        <w:rPr>
          <w:rFonts w:hint="eastAsia" w:ascii="仿宋_GB2312" w:hAnsi="仿宋_GB2312" w:cs="仿宋_GB2312"/>
          <w:color w:val="000000"/>
          <w:kern w:val="0"/>
          <w:szCs w:val="32"/>
          <w:shd w:val="clear" w:color="auto" w:fill="FFFFFF"/>
          <w:lang w:val="en-US" w:eastAsia="zh-CN"/>
        </w:rPr>
        <w:t>攀枝花市仁和区布德镇卫生院在2022年整体支出绩效评价工作中认真落实预算绩效评价的主体责任，持续扩大绩效自评覆盖面并实现应评尽评，认真开展自评工作，确保真实、客观反映单位财政资金绩效情况</w:t>
      </w:r>
      <w:r>
        <w:rPr>
          <w:rFonts w:hint="eastAsia" w:ascii="仿宋_GB2312" w:hAnsi="仿宋_GB2312" w:eastAsia="仿宋_GB2312" w:cs="仿宋_GB2312"/>
          <w:color w:val="000000"/>
          <w:kern w:val="0"/>
          <w:szCs w:val="32"/>
          <w:shd w:val="clear" w:color="auto" w:fill="FFFFFF"/>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pStyle w:val="8"/>
        <w:widowControl/>
        <w:shd w:val="clear" w:color="auto" w:fill="FFFFFF"/>
        <w:spacing w:before="255" w:beforeAutospacing="0" w:after="255" w:afterAutospacing="0" w:line="560" w:lineRule="atLeast"/>
        <w:ind w:firstLine="640"/>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000000"/>
          <w:sz w:val="32"/>
          <w:szCs w:val="32"/>
          <w:shd w:val="clear" w:color="auto" w:fill="FFFFFF"/>
          <w:lang w:val="zh-CN"/>
        </w:rPr>
        <w:t>（一）评价结论</w:t>
      </w:r>
      <w:r>
        <w:rPr>
          <w:rFonts w:hint="eastAsia" w:ascii="仿宋_GB2312" w:hAnsi="仿宋_GB2312" w:eastAsia="仿宋_GB2312" w:cs="仿宋_GB2312"/>
          <w:color w:val="333333"/>
          <w:sz w:val="32"/>
          <w:szCs w:val="32"/>
          <w:shd w:val="clear" w:color="auto" w:fill="FFFFFF"/>
        </w:rPr>
        <w:t>：本单位支出符合国家财经法规和财务管理制度规定以及有关专项资金管理办法的规定；资金拨付有完整的审批程序和手续；支出符合部门预算批复的用途；资金使用无截留、挤占、挪用、虚列支出等情况，严格执行预决算编制、预算执行、预算管理、绩效目标申报和管理</w:t>
      </w:r>
      <w:r>
        <w:rPr>
          <w:rFonts w:hint="eastAsia" w:ascii="仿宋_GB2312" w:hAnsi="仿宋_GB2312" w:cs="仿宋_GB2312"/>
          <w:color w:val="333333"/>
          <w:sz w:val="32"/>
          <w:szCs w:val="32"/>
          <w:shd w:val="clear" w:color="auto" w:fill="FFFFFF"/>
          <w:lang w:eastAsia="zh-CN"/>
        </w:rPr>
        <w:t>。</w:t>
      </w:r>
      <w:r>
        <w:rPr>
          <w:rFonts w:hint="eastAsia" w:ascii="仿宋_GB2312" w:hAnsi="仿宋_GB2312" w:cs="仿宋_GB2312"/>
          <w:color w:val="333333"/>
          <w:sz w:val="32"/>
          <w:szCs w:val="32"/>
          <w:shd w:val="clear" w:color="auto" w:fill="FFFFFF"/>
          <w:lang w:val="en-US" w:eastAsia="zh-CN"/>
        </w:rPr>
        <w:t>2022年整体绩效自评74分，专项项目74分。</w:t>
      </w:r>
    </w:p>
    <w:p>
      <w:pPr>
        <w:pStyle w:val="8"/>
        <w:widowControl/>
        <w:shd w:val="clear" w:color="auto" w:fill="FFFFFF"/>
        <w:spacing w:before="255" w:beforeAutospacing="0" w:after="255" w:afterAutospacing="0" w:line="520" w:lineRule="atLeast"/>
        <w:ind w:firstLine="640"/>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_GB2312" w:hAnsi="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由于财政资金紧张，已发生的部门预算项目资金及政府性基金支出在2022年未能全部支付，部门预算项目资金结余及政府性基金节约结余按照指标只有2个达到要求，项目资金执行进度严重滞后。</w:t>
      </w:r>
    </w:p>
    <w:p>
      <w:pPr>
        <w:widowControl/>
        <w:numPr>
          <w:ilvl w:val="0"/>
          <w:numId w:val="0"/>
        </w:numPr>
        <w:adjustRightInd w:val="0"/>
        <w:snapToGrid w:val="0"/>
        <w:spacing w:line="580" w:lineRule="exact"/>
        <w:ind w:left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cs="仿宋_GB2312"/>
          <w:color w:val="000000"/>
          <w:kern w:val="0"/>
          <w:sz w:val="32"/>
          <w:szCs w:val="32"/>
          <w:shd w:val="clear" w:color="auto" w:fill="FFFFFF"/>
          <w:lang w:val="zh-CN"/>
        </w:rPr>
        <w:t>（三）</w:t>
      </w:r>
      <w:r>
        <w:rPr>
          <w:rFonts w:hint="eastAsia" w:ascii="仿宋_GB2312" w:hAnsi="仿宋_GB2312" w:eastAsia="仿宋_GB2312" w:cs="仿宋_GB2312"/>
          <w:color w:val="000000"/>
          <w:kern w:val="0"/>
          <w:sz w:val="32"/>
          <w:szCs w:val="32"/>
          <w:shd w:val="clear" w:color="auto" w:fill="FFFFFF"/>
          <w:lang w:val="zh-CN"/>
        </w:rPr>
        <w:t>改进建议。</w:t>
      </w:r>
    </w:p>
    <w:p>
      <w:pPr>
        <w:widowControl/>
        <w:numPr>
          <w:ilvl w:val="0"/>
          <w:numId w:val="0"/>
        </w:numPr>
        <w:adjustRightInd w:val="0"/>
        <w:snapToGrid w:val="0"/>
        <w:spacing w:line="580" w:lineRule="exact"/>
        <w:ind w:leftChars="200"/>
        <w:contextualSpacing/>
        <w:jc w:val="both"/>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cs="仿宋_GB2312"/>
          <w:color w:val="000000"/>
          <w:kern w:val="0"/>
          <w:sz w:val="32"/>
          <w:szCs w:val="32"/>
          <w:shd w:val="clear" w:color="auto" w:fill="FFFFFF"/>
          <w:lang w:val="en-US" w:eastAsia="zh-CN"/>
        </w:rPr>
        <w:t>积极争取财政资金支持确保已完成项目的资金尽快完成拨付。</w:t>
      </w:r>
    </w:p>
    <w:p>
      <w:pPr>
        <w:widowControl/>
        <w:adjustRightInd w:val="0"/>
        <w:snapToGrid w:val="0"/>
        <w:spacing w:line="580" w:lineRule="exact"/>
        <w:contextualSpacing/>
        <w:jc w:val="left"/>
        <w:rPr>
          <w:color w:val="000000"/>
          <w:kern w:val="0"/>
          <w:szCs w:val="32"/>
          <w:shd w:val="clear" w:color="auto" w:fill="FFFFFF"/>
        </w:rPr>
      </w:pPr>
      <w:bookmarkStart w:id="0" w:name="_GoBack"/>
      <w:bookmarkEnd w:id="0"/>
    </w:p>
    <w:sectPr>
      <w:headerReference r:id="rId3" w:type="default"/>
      <w:footerReference r:id="rId4" w:type="even"/>
      <w:pgSz w:w="11906" w:h="16838"/>
      <w:pgMar w:top="624" w:right="1361" w:bottom="454"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6"/>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6"/>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301B4"/>
    <w:multiLevelType w:val="singleLevel"/>
    <w:tmpl w:val="AA6301B4"/>
    <w:lvl w:ilvl="0" w:tentative="0">
      <w:start w:val="2"/>
      <w:numFmt w:val="chineseCounting"/>
      <w:suff w:val="nothing"/>
      <w:lvlText w:val="（%1）"/>
      <w:lvlJc w:val="left"/>
      <w:rPr>
        <w:rFonts w:hint="eastAsia"/>
      </w:rPr>
    </w:lvl>
  </w:abstractNum>
  <w:abstractNum w:abstractNumId="1">
    <w:nsid w:val="3E794925"/>
    <w:multiLevelType w:val="singleLevel"/>
    <w:tmpl w:val="3E794925"/>
    <w:lvl w:ilvl="0" w:tentative="0">
      <w:start w:val="3"/>
      <w:numFmt w:val="chineseCounting"/>
      <w:suff w:val="nothing"/>
      <w:lvlText w:val="（%1）"/>
      <w:lvlJc w:val="left"/>
      <w:rPr>
        <w:rFonts w:hint="eastAsia"/>
      </w:rPr>
    </w:lvl>
  </w:abstractNum>
  <w:abstractNum w:abstractNumId="2">
    <w:nsid w:val="68C06349"/>
    <w:multiLevelType w:val="singleLevel"/>
    <w:tmpl w:val="68C06349"/>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NGZhNmZmZmFhZWFkMzk3YTMwNjFlN2NmZGE2N2IifQ=="/>
  </w:docVars>
  <w:rsids>
    <w:rsidRoot w:val="00EC0174"/>
    <w:rsid w:val="00006E4D"/>
    <w:rsid w:val="00021652"/>
    <w:rsid w:val="00025742"/>
    <w:rsid w:val="00030311"/>
    <w:rsid w:val="00030782"/>
    <w:rsid w:val="00030B66"/>
    <w:rsid w:val="0006102A"/>
    <w:rsid w:val="00065B0F"/>
    <w:rsid w:val="00065E7E"/>
    <w:rsid w:val="000820BB"/>
    <w:rsid w:val="0008241B"/>
    <w:rsid w:val="00092280"/>
    <w:rsid w:val="00097EDD"/>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5434669"/>
    <w:rsid w:val="0AC51ABA"/>
    <w:rsid w:val="0DC31556"/>
    <w:rsid w:val="15117B6A"/>
    <w:rsid w:val="191073BB"/>
    <w:rsid w:val="1A3D6143"/>
    <w:rsid w:val="1C013801"/>
    <w:rsid w:val="2B9C3BF6"/>
    <w:rsid w:val="2BC53DA3"/>
    <w:rsid w:val="2D527252"/>
    <w:rsid w:val="2EAE55F2"/>
    <w:rsid w:val="2EDF4302"/>
    <w:rsid w:val="342C7E72"/>
    <w:rsid w:val="41ED71EF"/>
    <w:rsid w:val="46AD6075"/>
    <w:rsid w:val="47550EBA"/>
    <w:rsid w:val="488E5F16"/>
    <w:rsid w:val="4A424663"/>
    <w:rsid w:val="4A8D7399"/>
    <w:rsid w:val="4FAE7B30"/>
    <w:rsid w:val="549A7E89"/>
    <w:rsid w:val="5CD14546"/>
    <w:rsid w:val="627130A1"/>
    <w:rsid w:val="62C857C0"/>
    <w:rsid w:val="6636451A"/>
    <w:rsid w:val="68251795"/>
    <w:rsid w:val="6E944A10"/>
    <w:rsid w:val="6EF65E9C"/>
    <w:rsid w:val="6FCF3715"/>
    <w:rsid w:val="71037837"/>
    <w:rsid w:val="71397E03"/>
    <w:rsid w:val="71572C4C"/>
    <w:rsid w:val="760975F3"/>
    <w:rsid w:val="77FFA8F9"/>
    <w:rsid w:val="7A9314AC"/>
    <w:rsid w:val="7C631402"/>
    <w:rsid w:val="7E140770"/>
    <w:rsid w:val="7F301C13"/>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eastAsia="宋体"/>
      <w:sz w:val="18"/>
      <w:szCs w:val="18"/>
    </w:rPr>
  </w:style>
  <w:style w:type="paragraph" w:styleId="3">
    <w:name w:val="Body Text"/>
    <w:basedOn w:val="1"/>
    <w:qFormat/>
    <w:uiPriority w:val="1"/>
    <w:pPr>
      <w:ind w:left="128"/>
    </w:pPr>
    <w:rPr>
      <w:rFonts w:ascii="Arial Unicode MS" w:hAnsi="Arial Unicode MS" w:eastAsia="Arial Unicode MS" w:cs="Arial Unicode MS"/>
      <w:sz w:val="33"/>
      <w:szCs w:val="33"/>
      <w:lang w:val="zh-CN" w:eastAsia="zh-CN" w:bidi="zh-CN"/>
    </w:r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rFonts w:eastAsia="宋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四号正文"/>
    <w:basedOn w:val="1"/>
    <w:link w:val="14"/>
    <w:qFormat/>
    <w:uiPriority w:val="0"/>
    <w:pPr>
      <w:spacing w:line="360" w:lineRule="auto"/>
    </w:pPr>
    <w:rPr>
      <w:rFonts w:ascii="??" w:hAnsi="??" w:eastAsia="宋体" w:cs="宋体"/>
      <w:color w:val="000000"/>
      <w:kern w:val="0"/>
      <w:sz w:val="28"/>
      <w:szCs w:val="21"/>
    </w:rPr>
  </w:style>
  <w:style w:type="character" w:customStyle="1" w:styleId="14">
    <w:name w:val="四号正文 Char"/>
    <w:basedOn w:val="11"/>
    <w:link w:val="13"/>
    <w:qFormat/>
    <w:uiPriority w:val="0"/>
    <w:rPr>
      <w:rFonts w:ascii="??" w:hAnsi="??" w:eastAsia="宋体" w:cs="宋体"/>
      <w:color w:val="000000"/>
      <w:sz w:val="28"/>
      <w:szCs w:val="21"/>
      <w:lang w:val="en-US" w:eastAsia="zh-CN" w:bidi="ar-SA"/>
    </w:rPr>
  </w:style>
  <w:style w:type="character" w:customStyle="1" w:styleId="15">
    <w:name w:val="文档结构图 Char"/>
    <w:basedOn w:val="11"/>
    <w:link w:val="2"/>
    <w:qFormat/>
    <w:uiPriority w:val="0"/>
    <w:rPr>
      <w:rFonts w:ascii="宋体"/>
      <w:kern w:val="2"/>
      <w:sz w:val="18"/>
      <w:szCs w:val="18"/>
    </w:rPr>
  </w:style>
  <w:style w:type="paragraph" w:customStyle="1" w:styleId="16">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7">
    <w:name w:val="页脚 Char"/>
    <w:basedOn w:val="11"/>
    <w:link w:val="6"/>
    <w:qFormat/>
    <w:uiPriority w:val="99"/>
    <w:rPr>
      <w:kern w:val="2"/>
      <w:sz w:val="18"/>
      <w:szCs w:val="18"/>
    </w:rPr>
  </w:style>
  <w:style w:type="character" w:customStyle="1" w:styleId="18">
    <w:name w:val="font31"/>
    <w:basedOn w:val="11"/>
    <w:qFormat/>
    <w:uiPriority w:val="0"/>
    <w:rPr>
      <w:rFonts w:hint="eastAsia" w:ascii="宋体" w:hAnsi="宋体" w:eastAsia="宋体" w:cs="宋体"/>
      <w:color w:val="000000"/>
      <w:sz w:val="24"/>
      <w:szCs w:val="24"/>
      <w:u w:val="none"/>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4</Pages>
  <Words>1893</Words>
  <Characters>2086</Characters>
  <Lines>2</Lines>
  <Paragraphs>5</Paragraphs>
  <TotalTime>4</TotalTime>
  <ScaleCrop>false</ScaleCrop>
  <LinksUpToDate>false</LinksUpToDate>
  <CharactersWithSpaces>2093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陶筱萱</cp:lastModifiedBy>
  <cp:lastPrinted>2022-03-26T08:26:00Z</cp:lastPrinted>
  <dcterms:modified xsi:type="dcterms:W3CDTF">2023-05-11T08:43:13Z</dcterms:modified>
  <dc:title>区域性就业培训基地建设项目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E6F3C2D9CD52452F82A230D7B40F29AA</vt:lpwstr>
  </property>
</Properties>
</file>