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193"/>
      <w:bookmarkStart w:id="2" w:name="_Toc15396475"/>
      <w:bookmarkStart w:id="3" w:name="_Toc15378441"/>
      <w:bookmarkStart w:id="4" w:name="_Toc15377425"/>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96598"/>
      <w:bookmarkStart w:id="7" w:name="_Toc15377194"/>
      <w:bookmarkStart w:id="8" w:name="_Toc15378442"/>
      <w:bookmarkStart w:id="9" w:name="_Toc15396476"/>
      <w:bookmarkStart w:id="10" w:name="_Toc15377426"/>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攀枝花市仁和区</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r>
        <w:rPr>
          <w:rFonts w:hint="eastAsia" w:ascii="方正小标宋简体" w:hAnsi="方正小标宋简体" w:eastAsia="方正小标宋简体" w:cs="方正小标宋简体"/>
          <w:color w:val="auto"/>
          <w:sz w:val="72"/>
          <w:szCs w:val="72"/>
          <w:highlight w:val="none"/>
          <w:lang w:eastAsia="zh-CN"/>
        </w:rPr>
        <w:t>啊喇彝族乡中心卫生院</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r>
        <w:rPr>
          <w:rFonts w:hint="eastAsia" w:ascii="方正小标宋简体" w:hAnsi="方正小标宋简体" w:eastAsia="方正小标宋简体" w:cs="方正小标宋简体"/>
          <w:color w:val="auto"/>
          <w:sz w:val="72"/>
          <w:szCs w:val="72"/>
          <w:highlight w:val="none"/>
          <w:lang w:eastAsia="zh-CN"/>
        </w:rPr>
        <w:t>编制说明</w:t>
      </w:r>
    </w:p>
    <w:p>
      <w:pPr>
        <w:adjustRightInd w:val="0"/>
        <w:snapToGrid w:val="0"/>
        <w:spacing w:line="360" w:lineRule="auto"/>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单位公开</w:t>
      </w:r>
      <w:r>
        <w:rPr>
          <w:rFonts w:hint="eastAsia" w:ascii="方正小标宋简体" w:hAnsi="宋体" w:eastAsia="方正小标宋简体"/>
          <w:color w:val="auto"/>
          <w:sz w:val="52"/>
          <w:szCs w:val="52"/>
          <w:highlight w:val="none"/>
        </w:rPr>
        <w:t>范本)</w:t>
      </w:r>
    </w:p>
    <w:p>
      <w:pPr>
        <w:widowControl/>
        <w:jc w:val="center"/>
        <w:rPr>
          <w:rFonts w:hint="eastAsia" w:ascii="黑体" w:hAnsi="黑体" w:eastAsia="黑体"/>
          <w:color w:val="auto"/>
          <w:sz w:val="48"/>
          <w:szCs w:val="48"/>
          <w:highlight w:val="none"/>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bidi w:val="0"/>
        <w:rPr>
          <w:rFonts w:hint="default"/>
          <w:lang w:val="en-US" w:eastAsia="zh-CN"/>
        </w:rPr>
      </w:pPr>
      <w:r>
        <w:rPr>
          <w:rFonts w:hint="eastAsia"/>
        </w:rPr>
        <w:t>一、</w:t>
      </w:r>
      <w:r>
        <w:rPr>
          <w:rFonts w:hint="eastAsia"/>
          <w:lang w:eastAsia="zh-CN"/>
        </w:rPr>
        <w:t>主要职责</w:t>
      </w:r>
      <w:r>
        <w:rPr>
          <w:rFonts w:hint="eastAsia"/>
          <w:lang w:val="en-US" w:eastAsia="zh-CN"/>
        </w:rPr>
        <w:t>..............................................................................................................................1</w:t>
      </w:r>
    </w:p>
    <w:p>
      <w:pPr>
        <w:pStyle w:val="11"/>
        <w:adjustRightInd w:val="0"/>
        <w:snapToGrid w:val="0"/>
        <w:spacing w:line="440" w:lineRule="exact"/>
        <w:jc w:val="left"/>
        <w:rPr>
          <w:rFonts w:hint="default"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r>
        <w:rPr>
          <w:rFonts w:hint="eastAsia"/>
          <w:color w:val="auto"/>
          <w:sz w:val="24"/>
          <w:highlight w:val="none"/>
          <w:lang w:val="en-US" w:eastAsia="zh-CN"/>
        </w:rPr>
        <w:t>...........................................................................................................2</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一、收入支出决算总体情况说明</w:t>
      </w:r>
      <w:r>
        <w:rPr>
          <w:rFonts w:hint="eastAsia"/>
          <w:color w:val="auto"/>
          <w:sz w:val="24"/>
          <w:highlight w:val="none"/>
          <w:lang w:val="en-US" w:eastAsia="zh-CN"/>
        </w:rPr>
        <w:t>.........................................................................4</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r>
        <w:rPr>
          <w:rFonts w:hint="eastAsia"/>
          <w:color w:val="auto"/>
          <w:sz w:val="24"/>
          <w:highlight w:val="none"/>
          <w:lang w:val="en-US" w:eastAsia="zh-CN"/>
        </w:rPr>
        <w:t>.........................................................................................4</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三、支出决算情况说明</w:t>
      </w:r>
      <w:r>
        <w:rPr>
          <w:rFonts w:hint="eastAsia"/>
          <w:color w:val="auto"/>
          <w:sz w:val="24"/>
          <w:highlight w:val="none"/>
          <w:lang w:val="en-US" w:eastAsia="zh-CN"/>
        </w:rPr>
        <w:t>.........................................................................................5</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.........................................................6</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.................................................6</w:t>
      </w:r>
    </w:p>
    <w:p>
      <w:pPr>
        <w:pStyle w:val="11"/>
        <w:adjustRightInd w:val="0"/>
        <w:snapToGrid w:val="0"/>
        <w:spacing w:line="440" w:lineRule="exact"/>
        <w:jc w:val="left"/>
        <w:rPr>
          <w:rFonts w:hint="eastAsia"/>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.........................................9</w:t>
      </w: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eastAsia"/>
          <w:color w:val="auto"/>
          <w:sz w:val="24"/>
          <w:highlight w:val="none"/>
          <w:lang w:val="en-US" w:eastAsia="zh-CN"/>
        </w:rPr>
        <w:t>.................................................10</w:t>
      </w:r>
      <w:r>
        <w:rPr>
          <w:rFonts w:hint="eastAsia"/>
          <w:color w:val="auto"/>
          <w:sz w:val="24"/>
          <w:highlight w:val="none"/>
        </w:rPr>
        <w:t>八、政府性基金预算支出决算情况说明</w:t>
      </w:r>
      <w:r>
        <w:rPr>
          <w:rFonts w:hint="eastAsia"/>
          <w:color w:val="auto"/>
          <w:sz w:val="24"/>
          <w:highlight w:val="none"/>
          <w:lang w:val="en-US" w:eastAsia="zh-CN"/>
        </w:rPr>
        <w:t>...........................................................11</w:t>
      </w:r>
    </w:p>
    <w:p>
      <w:pPr>
        <w:pStyle w:val="11"/>
        <w:adjustRightInd w:val="0"/>
        <w:snapToGrid w:val="0"/>
        <w:spacing w:line="440" w:lineRule="exact"/>
        <w:jc w:val="left"/>
        <w:rPr>
          <w:rFonts w:hint="eastAsia"/>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val="en-US" w:eastAsia="zh-CN"/>
        </w:rPr>
        <w:t>.......................................................11</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rPr>
        <w:t>十、其他重要事项的情况说明</w:t>
      </w:r>
      <w:r>
        <w:rPr>
          <w:rFonts w:hint="eastAsia"/>
          <w:color w:val="auto"/>
          <w:sz w:val="24"/>
          <w:highlight w:val="none"/>
          <w:lang w:val="en-US" w:eastAsia="zh-CN"/>
        </w:rPr>
        <w:t>...........................................................................11</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color w:val="auto"/>
          <w:sz w:val="24"/>
          <w:highlight w:val="none"/>
          <w:lang w:val="en-US" w:eastAsia="zh-CN"/>
        </w:rPr>
        <w:t>..................................................14</w:t>
      </w: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eastAsia"/>
          <w:color w:val="auto"/>
          <w:sz w:val="24"/>
          <w:highlight w:val="none"/>
          <w:lang w:val="en-US" w:eastAsia="zh-CN"/>
        </w:rPr>
        <w:t>......................................................18</w:t>
      </w: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eastAsia"/>
          <w:color w:val="auto"/>
          <w:sz w:val="24"/>
          <w:highlight w:val="none"/>
          <w:lang w:val="en-US" w:eastAsia="zh-CN"/>
        </w:rPr>
        <w:t>......................................................19</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一、收入支出决算总表</w:t>
      </w:r>
      <w:r>
        <w:rPr>
          <w:rFonts w:hint="eastAsia"/>
          <w:color w:val="auto"/>
          <w:sz w:val="24"/>
          <w:highlight w:val="none"/>
          <w:lang w:val="en-US" w:eastAsia="zh-CN"/>
        </w:rPr>
        <w:t>........................................................................................19</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r>
        <w:rPr>
          <w:rFonts w:hint="eastAsia"/>
          <w:color w:val="auto"/>
          <w:sz w:val="24"/>
          <w:highlight w:val="none"/>
          <w:lang w:val="en-US" w:eastAsia="zh-CN"/>
        </w:rPr>
        <w:t>....................................................................................................19</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r>
        <w:rPr>
          <w:rFonts w:hint="eastAsia"/>
          <w:color w:val="auto"/>
          <w:sz w:val="24"/>
          <w:highlight w:val="none"/>
          <w:lang w:val="en-US" w:eastAsia="zh-CN"/>
        </w:rPr>
        <w:t>.....................................................................................................19</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r>
        <w:rPr>
          <w:rFonts w:hint="eastAsia"/>
          <w:color w:val="auto"/>
          <w:sz w:val="24"/>
          <w:highlight w:val="none"/>
          <w:lang w:val="en-US" w:eastAsia="zh-CN"/>
        </w:rPr>
        <w:t>.........................................................................19</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r>
        <w:rPr>
          <w:rFonts w:hint="eastAsia"/>
          <w:color w:val="auto"/>
          <w:sz w:val="24"/>
          <w:highlight w:val="none"/>
          <w:lang w:val="en-US" w:eastAsia="zh-CN"/>
        </w:rPr>
        <w:t>...........................................................................19</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r>
        <w:rPr>
          <w:rFonts w:hint="eastAsia"/>
          <w:color w:val="auto"/>
          <w:sz w:val="24"/>
          <w:highlight w:val="none"/>
          <w:lang w:val="en-US" w:eastAsia="zh-CN"/>
        </w:rPr>
        <w:t>...........................................................19</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r>
        <w:rPr>
          <w:rFonts w:hint="eastAsia"/>
          <w:color w:val="auto"/>
          <w:sz w:val="24"/>
          <w:highlight w:val="none"/>
          <w:lang w:val="en-US" w:eastAsia="zh-CN"/>
        </w:rPr>
        <w:t>...................................................19</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r>
        <w:rPr>
          <w:rFonts w:hint="eastAsia"/>
          <w:color w:val="auto"/>
          <w:sz w:val="24"/>
          <w:highlight w:val="none"/>
          <w:lang w:val="en-US" w:eastAsia="zh-CN"/>
        </w:rPr>
        <w:t>...........................................19</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r>
        <w:rPr>
          <w:rFonts w:hint="eastAsia"/>
          <w:color w:val="auto"/>
          <w:sz w:val="24"/>
          <w:highlight w:val="none"/>
          <w:lang w:val="en-US" w:eastAsia="zh-CN"/>
        </w:rPr>
        <w:t>...................................................19</w:t>
      </w:r>
    </w:p>
    <w:p>
      <w:pPr>
        <w:pStyle w:val="11"/>
        <w:adjustRightInd w:val="0"/>
        <w:snapToGrid w:val="0"/>
        <w:spacing w:line="440" w:lineRule="exact"/>
        <w:jc w:val="left"/>
        <w:rPr>
          <w:rFonts w:hint="eastAsia"/>
          <w:color w:val="auto"/>
          <w:sz w:val="24"/>
          <w:highlight w:val="none"/>
        </w:rPr>
        <w:sectPr>
          <w:footerReference r:id="rId8" w:type="first"/>
          <w:footerReference r:id="rId7" w:type="default"/>
          <w:pgSz w:w="11906" w:h="16838"/>
          <w:pgMar w:top="1440" w:right="1800" w:bottom="1440" w:left="1800" w:header="851" w:footer="992" w:gutter="0"/>
          <w:pgNumType w:start="1"/>
          <w:cols w:space="425" w:num="1"/>
          <w:docGrid w:type="lines" w:linePitch="312" w:charSpace="0"/>
        </w:sectPr>
      </w:pP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r>
        <w:rPr>
          <w:rFonts w:hint="eastAsia"/>
          <w:color w:val="auto"/>
          <w:sz w:val="24"/>
          <w:highlight w:val="none"/>
          <w:lang w:val="en-US" w:eastAsia="zh-CN"/>
        </w:rPr>
        <w:t>..........................................19</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r>
        <w:rPr>
          <w:rFonts w:hint="eastAsia"/>
          <w:color w:val="auto"/>
          <w:sz w:val="24"/>
          <w:highlight w:val="none"/>
          <w:lang w:val="en-US" w:eastAsia="zh-CN"/>
        </w:rPr>
        <w:t>..................................19</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国有资本经营预算财政拨款支出决算表..........................................19</w:t>
      </w:r>
    </w:p>
    <w:p>
      <w:pPr>
        <w:pStyle w:val="11"/>
        <w:adjustRightInd w:val="0"/>
        <w:snapToGrid w:val="0"/>
        <w:spacing w:line="440" w:lineRule="exact"/>
        <w:jc w:val="left"/>
        <w:rPr>
          <w:rFonts w:hint="default" w:ascii="黑体" w:hAnsi="黑体" w:eastAsia="宋体"/>
          <w:b w:val="0"/>
          <w:color w:val="auto"/>
          <w:highlight w:val="none"/>
          <w:lang w:val="en-US" w:eastAsia="zh-CN"/>
        </w:rPr>
        <w:sectPr>
          <w:footerReference r:id="rId9" w:type="default"/>
          <w:pgSz w:w="11906" w:h="16838"/>
          <w:pgMar w:top="1440" w:right="1800" w:bottom="1440" w:left="1800" w:header="851" w:footer="992" w:gutter="0"/>
          <w:pgNumType w:start="1"/>
          <w:cols w:space="425" w:num="1"/>
          <w:docGrid w:type="lines" w:linePitch="312" w:charSpace="0"/>
        </w:sectPr>
      </w:pPr>
      <w:r>
        <w:rPr>
          <w:rFonts w:hint="eastAsia"/>
          <w:color w:val="auto"/>
          <w:sz w:val="24"/>
          <w:highlight w:val="none"/>
        </w:rPr>
        <w:t>十三、财政拨款“三公”经费支出决算表</w:t>
      </w:r>
      <w:bookmarkStart w:id="12" w:name="_Toc15396599"/>
      <w:bookmarkStart w:id="13" w:name="_Toc15377196"/>
      <w:r>
        <w:rPr>
          <w:rFonts w:hint="eastAsia"/>
          <w:color w:val="auto"/>
          <w:sz w:val="24"/>
          <w:highlight w:val="none"/>
          <w:lang w:val="en-US" w:eastAsia="zh-CN"/>
        </w:rPr>
        <w:t>............................................</w:t>
      </w:r>
      <w:bookmarkStart w:id="67" w:name="_GoBack"/>
      <w:bookmarkEnd w:id="67"/>
      <w:r>
        <w:rPr>
          <w:rFonts w:hint="eastAsia"/>
          <w:color w:val="auto"/>
          <w:sz w:val="24"/>
          <w:highlight w:val="none"/>
          <w:lang w:val="en-US" w:eastAsia="zh-CN"/>
        </w:rPr>
        <w:t>......19</w:t>
      </w:r>
    </w:p>
    <w:p>
      <w:pPr>
        <w:pStyle w:val="2"/>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3"/>
        <w:numPr>
          <w:ilvl w:val="0"/>
          <w:numId w:val="1"/>
        </w:numPr>
        <w:rPr>
          <w:rStyle w:val="25"/>
          <w:rFonts w:hint="eastAsia" w:ascii="黑体" w:hAnsi="黑体" w:eastAsia="黑体"/>
          <w:b w:val="0"/>
          <w:bCs w:val="0"/>
          <w:color w:val="auto"/>
          <w:highlight w:val="none"/>
          <w:lang w:eastAsia="zh-CN"/>
        </w:rPr>
      </w:pPr>
      <w:bookmarkStart w:id="14" w:name="_Toc15396600"/>
      <w:bookmarkStart w:id="15" w:name="_Toc15377197"/>
      <w:r>
        <w:rPr>
          <w:rStyle w:val="25"/>
          <w:rFonts w:hint="eastAsia" w:ascii="黑体" w:hAnsi="黑体" w:eastAsia="黑体"/>
          <w:b w:val="0"/>
          <w:bCs w:val="0"/>
          <w:color w:val="auto"/>
          <w:highlight w:val="none"/>
          <w:lang w:eastAsia="zh-CN"/>
        </w:rPr>
        <w:t>主要职责</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一 ）基本医疗服务：负责辖区一般常见病、多发病、地方病的基本医疗服务；现场救护和转诊服务；慢性病管理服务；母婴保健技术服务等。</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二 ）公共卫生服务：坚持预防为主，及时处理辖区重大疫情和公共卫生突发事件；重点预防控制地方病、传染病、职业病等重大疾病；开展医学康复、精神卫生、基本职业卫生、保健咨询服务；建立城乡居民健康档案，提供健康教育、预防接种、儿童健康管理、孕产妇健康管理、 老年人健康管理、慢性病患者健康管理、严重精神障碍患者管理、结核病患者管理、中医药健康管理、传染病和突发公共卫生事件报告和处理、卫生计生监督协管等基本公共卫生服务。</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（三） 综合管理服务：协助政府制定和组织实施辖区内卫生健康事业发展规划；管理、指导村卫生室业务工作，并对乡村医生开展相关技能培训 ；开展医保政策法规宣传咨询 ，配合做好即时补偿结算等工作。</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（四） 完成攀枝花市仁和区卫生健康局交办的其他工作任务。</w:t>
      </w:r>
    </w:p>
    <w:p>
      <w:pPr>
        <w:pStyle w:val="3"/>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widowControl/>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仁和区</w:t>
      </w:r>
      <w:r>
        <w:rPr>
          <w:rFonts w:hint="eastAsia" w:ascii="仿宋" w:hAnsi="仿宋" w:eastAsia="仿宋"/>
          <w:color w:val="auto"/>
          <w:sz w:val="32"/>
          <w:szCs w:val="32"/>
          <w:highlight w:val="none"/>
          <w:lang w:eastAsia="zh-CN"/>
        </w:rPr>
        <w:t>啊喇彝族乡</w:t>
      </w:r>
      <w:r>
        <w:rPr>
          <w:rFonts w:hint="eastAsia" w:ascii="仿宋" w:hAnsi="仿宋" w:eastAsia="仿宋"/>
          <w:color w:val="auto"/>
          <w:sz w:val="32"/>
          <w:szCs w:val="32"/>
          <w:highlight w:val="none"/>
        </w:rPr>
        <w:t>中心卫生院坐落于仁和区</w:t>
      </w:r>
      <w:r>
        <w:rPr>
          <w:rFonts w:hint="eastAsia" w:ascii="仿宋" w:hAnsi="仿宋" w:eastAsia="仿宋"/>
          <w:color w:val="auto"/>
          <w:sz w:val="32"/>
          <w:szCs w:val="32"/>
          <w:highlight w:val="none"/>
          <w:lang w:eastAsia="zh-CN"/>
        </w:rPr>
        <w:t>啊喇彝族乡永富街</w:t>
      </w:r>
      <w:r>
        <w:rPr>
          <w:rFonts w:hint="eastAsia" w:ascii="仿宋" w:hAnsi="仿宋" w:eastAsia="仿宋"/>
          <w:color w:val="auto"/>
          <w:sz w:val="32"/>
          <w:szCs w:val="32"/>
          <w:highlight w:val="none"/>
          <w:lang w:val="en-US" w:eastAsia="zh-CN"/>
        </w:rPr>
        <w:t>80号</w:t>
      </w:r>
      <w:r>
        <w:rPr>
          <w:rFonts w:hint="eastAsia" w:ascii="仿宋" w:hAnsi="仿宋" w:eastAsia="仿宋"/>
          <w:color w:val="auto"/>
          <w:sz w:val="32"/>
          <w:szCs w:val="32"/>
          <w:highlight w:val="none"/>
        </w:rPr>
        <w:t>，我单位核定编制1</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人，现有职工</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人，其中在编1</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人</w:t>
      </w:r>
      <w:r>
        <w:rPr>
          <w:rFonts w:hint="eastAsia" w:ascii="仿宋" w:hAnsi="仿宋" w:eastAsia="仿宋"/>
          <w:color w:val="auto"/>
          <w:sz w:val="32"/>
          <w:szCs w:val="32"/>
          <w:highlight w:val="none"/>
          <w:lang w:eastAsia="zh-CN"/>
        </w:rPr>
        <w:t>（借调仁和区人民医院</w:t>
      </w:r>
      <w:r>
        <w:rPr>
          <w:rFonts w:hint="eastAsia" w:ascii="仿宋" w:hAnsi="仿宋" w:eastAsia="仿宋"/>
          <w:color w:val="auto"/>
          <w:sz w:val="32"/>
          <w:szCs w:val="32"/>
          <w:highlight w:val="none"/>
          <w:lang w:val="en-US" w:eastAsia="zh-CN"/>
        </w:rPr>
        <w:t>2人、借调仁和区妇幼保健院1人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,临聘</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人；</w:t>
      </w:r>
      <w:r>
        <w:rPr>
          <w:rFonts w:hint="eastAsia" w:ascii="仿宋" w:hAnsi="仿宋" w:eastAsia="仿宋"/>
          <w:color w:val="auto"/>
          <w:sz w:val="32"/>
          <w:szCs w:val="32"/>
          <w:highlight w:val="none"/>
          <w:lang w:eastAsia="zh-CN"/>
        </w:rPr>
        <w:t>公共卫生特别服务岗</w:t>
      </w:r>
      <w:r>
        <w:rPr>
          <w:rFonts w:hint="eastAsia" w:ascii="仿宋" w:hAnsi="仿宋" w:eastAsia="仿宋"/>
          <w:color w:val="auto"/>
          <w:sz w:val="32"/>
          <w:szCs w:val="32"/>
          <w:highlight w:val="none"/>
          <w:lang w:val="en-US" w:eastAsia="zh-CN"/>
        </w:rPr>
        <w:t>1人，</w:t>
      </w:r>
      <w:r>
        <w:rPr>
          <w:rFonts w:hint="eastAsia" w:ascii="仿宋" w:hAnsi="仿宋" w:eastAsia="仿宋"/>
          <w:color w:val="auto"/>
          <w:sz w:val="32"/>
          <w:szCs w:val="32"/>
          <w:highlight w:val="none"/>
        </w:rPr>
        <w:t>退休职工</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人。实行党组织领导下的院长负责制，院党支部发挥把方向、管大局、作决策、促改革、保落实的领导作用，决定本单位重大问题 ，支持院长依法依规独立负责地行使职权。院长一般作为法定代表人，在院党支部领导下，全面负责医院医疗、教学、科研、行政管理工作。下设7个内设机构。</w:t>
      </w:r>
    </w:p>
    <w:p>
      <w:pPr>
        <w:widowControl/>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一 ）办公室。负责党务、监督检查、财务、行政、 人事、宣传、信息、精神文明、档案、信访维稳、安全生产、后勤保障等工作。</w:t>
      </w:r>
    </w:p>
    <w:p>
      <w:pPr>
        <w:widowControl/>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二 ）全科医疗科。负责卫生院范围内的基础医疗工作 ，开展门诊、住院、会诊、出诊和急诊急救等工作。</w:t>
      </w:r>
    </w:p>
    <w:p>
      <w:pPr>
        <w:widowControl/>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三 ）公共卫生科。负责预防接种、母婴保健、计划生育、重大传染病防治等国家基本公共卫生服务相关工作。</w:t>
      </w:r>
    </w:p>
    <w:p>
      <w:pPr>
        <w:widowControl/>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四 ）中医科。负责中医诊断、治疗，开展针灸拔</w:t>
      </w:r>
    </w:p>
    <w:p>
      <w:pPr>
        <w:widowControl/>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罐、刮痧、推拿等中医适宜技术。</w:t>
      </w:r>
    </w:p>
    <w:p>
      <w:pPr>
        <w:widowControl/>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（五） 药剂科。负责药品调剂 ，药械采购、储存验收维护和医保结算等工作。</w:t>
      </w:r>
    </w:p>
    <w:p>
      <w:pPr>
        <w:widowControl/>
        <w:ind w:firstLine="640" w:firstLineChars="20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六 ）医技科。负责院内超声、心电、临床影像、医疗检验等工作。</w:t>
      </w:r>
    </w:p>
    <w:p>
      <w:pPr>
        <w:widowControl/>
        <w:ind w:firstLine="640" w:firstLineChars="200"/>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（七） 护理部。负责临床护理工作及院内感染控制等</w:t>
      </w:r>
      <w:r>
        <w:rPr>
          <w:rFonts w:hint="eastAsia" w:ascii="仿宋" w:hAnsi="仿宋" w:eastAsia="仿宋"/>
          <w:color w:val="auto"/>
          <w:sz w:val="32"/>
          <w:szCs w:val="32"/>
          <w:highlight w:val="none"/>
          <w:lang w:eastAsia="zh-CN"/>
        </w:rPr>
        <w:t>。</w:t>
      </w:r>
    </w:p>
    <w:p>
      <w:pPr>
        <w:widowControl/>
        <w:ind w:firstLine="640" w:firstLineChars="200"/>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ind w:right="440"/>
        <w:jc w:val="center"/>
        <w:rPr>
          <w:rStyle w:val="24"/>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682.64</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163.33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31.45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2022年度增加了事业收入</w:t>
      </w:r>
      <w:r>
        <w:rPr>
          <w:rFonts w:hint="eastAsia" w:ascii="仿宋" w:hAnsi="仿宋" w:eastAsia="仿宋"/>
          <w:color w:val="auto"/>
          <w:sz w:val="32"/>
          <w:szCs w:val="32"/>
          <w:highlight w:val="none"/>
          <w:lang w:eastAsia="zh-CN"/>
        </w:rPr>
        <w:t>。</w:t>
      </w:r>
    </w:p>
    <w:p>
      <w:pPr>
        <w:pStyle w:val="5"/>
        <w:rPr>
          <w:rFonts w:hint="eastAsia"/>
          <w:lang w:eastAsia="zh-CN"/>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420" w:firstLineChars="200"/>
        <w:jc w:val="left"/>
        <w:rPr>
          <w:rFonts w:ascii="仿宋_GB2312" w:eastAsia="仿宋_GB2312"/>
          <w:color w:val="auto"/>
          <w:sz w:val="32"/>
          <w:szCs w:val="32"/>
          <w:highlight w:val="none"/>
        </w:rPr>
      </w:pPr>
      <w:r>
        <w:drawing>
          <wp:anchor distT="0" distB="0" distL="114300" distR="114300" simplePos="0" relativeHeight="251660288" behindDoc="1" locked="0" layoutInCell="1" allowOverlap="1">
            <wp:simplePos x="0" y="0"/>
            <wp:positionH relativeFrom="column">
              <wp:posOffset>118745</wp:posOffset>
            </wp:positionH>
            <wp:positionV relativeFrom="paragraph">
              <wp:posOffset>118745</wp:posOffset>
            </wp:positionV>
            <wp:extent cx="5269865" cy="2529840"/>
            <wp:effectExtent l="4445" t="4445" r="21590" b="18415"/>
            <wp:wrapNone/>
            <wp:docPr id="2059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682.64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379.89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55.65</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2.00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0.29</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300.75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44.06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5"/>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59264" behindDoc="1" locked="0" layoutInCell="1" allowOverlap="1">
            <wp:simplePos x="0" y="0"/>
            <wp:positionH relativeFrom="column">
              <wp:posOffset>-14605</wp:posOffset>
            </wp:positionH>
            <wp:positionV relativeFrom="paragraph">
              <wp:posOffset>185420</wp:posOffset>
            </wp:positionV>
            <wp:extent cx="4826000" cy="2743200"/>
            <wp:effectExtent l="4445" t="4445" r="8255" b="52705"/>
            <wp:wrapNone/>
            <wp:docPr id="2" name="图表 1" descr="7b0a202020202263686172745265734964223a2022323034373631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474.40</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281.24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59.28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193.16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40.72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61312" behindDoc="1" locked="0" layoutInCell="1" allowOverlap="1">
            <wp:simplePos x="0" y="0"/>
            <wp:positionH relativeFrom="column">
              <wp:posOffset>-14605</wp:posOffset>
            </wp:positionH>
            <wp:positionV relativeFrom="paragraph">
              <wp:posOffset>156845</wp:posOffset>
            </wp:positionV>
            <wp:extent cx="4848225" cy="2743200"/>
            <wp:effectExtent l="4445" t="4445" r="5080" b="14605"/>
            <wp:wrapNone/>
            <wp:docPr id="20604"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pStyle w:val="5"/>
        <w:rPr>
          <w:rFonts w:ascii="仿宋_GB2312" w:eastAsia="仿宋_GB2312"/>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1292" w:firstLineChars="404"/>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381.89</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年相比，财政拨款收、支总计各减少</w:t>
      </w:r>
      <w:r>
        <w:rPr>
          <w:rFonts w:hint="eastAsia" w:ascii="仿宋" w:hAnsi="仿宋" w:eastAsia="仿宋"/>
          <w:color w:val="auto"/>
          <w:sz w:val="32"/>
          <w:szCs w:val="32"/>
          <w:highlight w:val="none"/>
          <w:lang w:val="en-US" w:eastAsia="zh-CN"/>
        </w:rPr>
        <w:t>109.16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22.2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一般公共预算项目经费减少</w:t>
      </w:r>
      <w:r>
        <w:rPr>
          <w:rFonts w:hint="eastAsia" w:ascii="仿宋" w:hAnsi="仿宋" w:eastAsia="仿宋"/>
          <w:color w:val="000000"/>
          <w:sz w:val="32"/>
          <w:szCs w:val="32"/>
        </w:rPr>
        <w:t>。</w:t>
      </w:r>
    </w:p>
    <w:p>
      <w:pPr>
        <w:spacing w:line="600" w:lineRule="exact"/>
        <w:ind w:firstLine="640" w:firstLineChars="200"/>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r>
        <w:drawing>
          <wp:anchor distT="0" distB="0" distL="114300" distR="114300" simplePos="0" relativeHeight="251662336" behindDoc="1" locked="0" layoutInCell="1" allowOverlap="1">
            <wp:simplePos x="0" y="0"/>
            <wp:positionH relativeFrom="column">
              <wp:posOffset>366395</wp:posOffset>
            </wp:positionH>
            <wp:positionV relativeFrom="paragraph">
              <wp:posOffset>127635</wp:posOffset>
            </wp:positionV>
            <wp:extent cx="4657725" cy="2743200"/>
            <wp:effectExtent l="4445" t="5080" r="5080" b="13970"/>
            <wp:wrapNone/>
            <wp:docPr id="2060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5"/>
        <w:rPr>
          <w:rFonts w:ascii="仿宋" w:hAnsi="仿宋" w:eastAsia="仿宋"/>
          <w:b/>
          <w:color w:val="auto"/>
          <w:sz w:val="32"/>
          <w:szCs w:val="32"/>
          <w:highlight w:val="none"/>
        </w:rPr>
      </w:pPr>
    </w:p>
    <w:p>
      <w:pPr>
        <w:pStyle w:val="5"/>
        <w:rPr>
          <w:rFonts w:ascii="仿宋" w:hAnsi="仿宋" w:eastAsia="仿宋"/>
          <w:b/>
          <w:color w:val="auto"/>
          <w:sz w:val="32"/>
          <w:szCs w:val="32"/>
          <w:highlight w:val="none"/>
        </w:rPr>
      </w:pPr>
    </w:p>
    <w:p>
      <w:pPr>
        <w:pStyle w:val="5"/>
        <w:rPr>
          <w:rFonts w:ascii="仿宋" w:hAnsi="仿宋" w:eastAsia="仿宋"/>
          <w:b/>
          <w:color w:val="auto"/>
          <w:sz w:val="32"/>
          <w:szCs w:val="32"/>
          <w:highlight w:val="none"/>
        </w:rPr>
      </w:pPr>
    </w:p>
    <w:p>
      <w:pPr>
        <w:pStyle w:val="5"/>
        <w:rPr>
          <w:rFonts w:ascii="仿宋" w:hAnsi="仿宋" w:eastAsia="仿宋"/>
          <w:b/>
          <w:color w:val="auto"/>
          <w:sz w:val="32"/>
          <w:szCs w:val="32"/>
          <w:highlight w:val="none"/>
        </w:rPr>
      </w:pPr>
    </w:p>
    <w:p>
      <w:pPr>
        <w:pStyle w:val="5"/>
        <w:rPr>
          <w:rFonts w:ascii="仿宋" w:hAnsi="仿宋" w:eastAsia="仿宋"/>
          <w:b/>
          <w:color w:val="auto"/>
          <w:sz w:val="32"/>
          <w:szCs w:val="32"/>
          <w:highlight w:val="none"/>
        </w:rPr>
      </w:pPr>
    </w:p>
    <w:p>
      <w:pPr>
        <w:pStyle w:val="5"/>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379.89</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55.65</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109.76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22.4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卫生健康支出和其他公共卫生使用增加。</w:t>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pStyle w:val="5"/>
        <w:rPr>
          <w:rFonts w:ascii="仿宋" w:hAnsi="仿宋" w:eastAsia="仿宋"/>
          <w:color w:val="auto"/>
          <w:sz w:val="32"/>
          <w:szCs w:val="32"/>
          <w:highlight w:val="none"/>
        </w:rPr>
      </w:pPr>
      <w:r>
        <w:drawing>
          <wp:anchor distT="0" distB="0" distL="114300" distR="114300" simplePos="0" relativeHeight="251663360" behindDoc="1" locked="0" layoutInCell="1" allowOverlap="1">
            <wp:simplePos x="0" y="0"/>
            <wp:positionH relativeFrom="column">
              <wp:posOffset>205105</wp:posOffset>
            </wp:positionH>
            <wp:positionV relativeFrom="paragraph">
              <wp:posOffset>-807085</wp:posOffset>
            </wp:positionV>
            <wp:extent cx="4572000" cy="3006725"/>
            <wp:effectExtent l="5080" t="4445" r="13970" b="17780"/>
            <wp:wrapNone/>
            <wp:docPr id="2060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5"/>
        <w:rPr>
          <w:rFonts w:ascii="仿宋" w:hAnsi="仿宋" w:eastAsia="仿宋"/>
          <w:color w:val="auto"/>
          <w:sz w:val="32"/>
          <w:szCs w:val="32"/>
          <w:highlight w:val="none"/>
        </w:rPr>
      </w:pPr>
    </w:p>
    <w:p>
      <w:pPr>
        <w:pStyle w:val="5"/>
        <w:rPr>
          <w:rFonts w:ascii="仿宋" w:hAnsi="仿宋" w:eastAsia="仿宋"/>
          <w:color w:val="auto"/>
          <w:sz w:val="32"/>
          <w:szCs w:val="32"/>
          <w:highlight w:val="none"/>
        </w:rPr>
      </w:pPr>
    </w:p>
    <w:p>
      <w:pPr>
        <w:pStyle w:val="5"/>
        <w:rPr>
          <w:rFonts w:ascii="仿宋" w:hAnsi="仿宋" w:eastAsia="仿宋"/>
          <w:color w:val="auto"/>
          <w:sz w:val="32"/>
          <w:szCs w:val="32"/>
          <w:highlight w:val="none"/>
        </w:rPr>
      </w:pPr>
    </w:p>
    <w:p>
      <w:pPr>
        <w:pStyle w:val="5"/>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379.89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19.52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5.14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341.02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89.77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19.35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5.09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Style w:val="5"/>
        <w:rPr>
          <w:rFonts w:ascii="仿宋" w:hAnsi="仿宋" w:eastAsia="仿宋"/>
          <w:color w:val="auto"/>
          <w:sz w:val="32"/>
          <w:szCs w:val="32"/>
          <w:highlight w:val="none"/>
        </w:rPr>
      </w:pPr>
      <w:r>
        <w:drawing>
          <wp:inline distT="0" distB="0" distL="114300" distR="114300">
            <wp:extent cx="4571365" cy="2444750"/>
            <wp:effectExtent l="4445" t="4445" r="15240" b="8255"/>
            <wp:docPr id="206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5"/>
        <w:rPr>
          <w:rFonts w:ascii="仿宋" w:hAnsi="仿宋" w:eastAsia="仿宋"/>
          <w:color w:val="auto"/>
          <w:sz w:val="32"/>
          <w:szCs w:val="32"/>
          <w:highlight w:val="none"/>
        </w:rPr>
      </w:pPr>
    </w:p>
    <w:p>
      <w:pPr>
        <w:pStyle w:val="5"/>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444"/>
      <w:bookmarkStart w:id="33"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379.89万元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eastAsia="zh-CN"/>
        </w:rPr>
        <w:t>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208</w:t>
      </w:r>
      <w:r>
        <w:rPr>
          <w:rStyle w:val="14"/>
          <w:rFonts w:hint="eastAsia" w:ascii="仿宋" w:hAnsi="仿宋" w:eastAsia="仿宋"/>
          <w:bCs/>
          <w:color w:val="auto"/>
          <w:sz w:val="32"/>
          <w:szCs w:val="32"/>
          <w:highlight w:val="none"/>
        </w:rPr>
        <w:t>）行政事业单位养老支出（</w:t>
      </w:r>
      <w:r>
        <w:rPr>
          <w:rStyle w:val="14"/>
          <w:rFonts w:hint="eastAsia" w:ascii="仿宋" w:hAnsi="仿宋" w:eastAsia="仿宋"/>
          <w:bCs/>
          <w:color w:val="auto"/>
          <w:sz w:val="32"/>
          <w:szCs w:val="32"/>
          <w:highlight w:val="none"/>
          <w:lang w:val="en-US" w:eastAsia="zh-CN"/>
        </w:rPr>
        <w:t>20805</w:t>
      </w:r>
      <w:r>
        <w:rPr>
          <w:rStyle w:val="14"/>
          <w:rFonts w:hint="eastAsia" w:ascii="仿宋" w:hAnsi="仿宋" w:eastAsia="仿宋"/>
          <w:bCs/>
          <w:color w:val="auto"/>
          <w:sz w:val="32"/>
          <w:szCs w:val="32"/>
          <w:highlight w:val="none"/>
        </w:rPr>
        <w:t>）事业单位离退休（</w:t>
      </w:r>
      <w:r>
        <w:rPr>
          <w:rStyle w:val="14"/>
          <w:rFonts w:hint="eastAsia" w:ascii="仿宋" w:hAnsi="仿宋" w:eastAsia="仿宋"/>
          <w:bCs/>
          <w:color w:val="auto"/>
          <w:sz w:val="32"/>
          <w:szCs w:val="32"/>
          <w:highlight w:val="none"/>
          <w:lang w:val="en-US" w:eastAsia="zh-CN"/>
        </w:rPr>
        <w:t>2080502</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5.02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与预算数持平</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2.</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eastAsia="zh-CN"/>
        </w:rPr>
        <w:t>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208</w:t>
      </w:r>
      <w:r>
        <w:rPr>
          <w:rStyle w:val="14"/>
          <w:rFonts w:hint="eastAsia" w:ascii="仿宋" w:hAnsi="仿宋" w:eastAsia="仿宋"/>
          <w:bCs/>
          <w:color w:val="auto"/>
          <w:sz w:val="32"/>
          <w:szCs w:val="32"/>
          <w:highlight w:val="none"/>
        </w:rPr>
        <w:t>）行政事业单位养老支出（</w:t>
      </w:r>
      <w:r>
        <w:rPr>
          <w:rStyle w:val="14"/>
          <w:rFonts w:hint="eastAsia" w:ascii="仿宋" w:hAnsi="仿宋" w:eastAsia="仿宋"/>
          <w:bCs/>
          <w:color w:val="auto"/>
          <w:sz w:val="32"/>
          <w:szCs w:val="32"/>
          <w:highlight w:val="none"/>
          <w:lang w:val="en-US" w:eastAsia="zh-CN"/>
        </w:rPr>
        <w:t>20805</w:t>
      </w:r>
      <w:r>
        <w:rPr>
          <w:rStyle w:val="14"/>
          <w:rFonts w:hint="eastAsia" w:ascii="仿宋" w:hAnsi="仿宋" w:eastAsia="仿宋"/>
          <w:bCs/>
          <w:color w:val="auto"/>
          <w:sz w:val="32"/>
          <w:szCs w:val="32"/>
          <w:highlight w:val="none"/>
        </w:rPr>
        <w:t>）  机关事业单位基本养老保险缴费支出（</w:t>
      </w:r>
      <w:r>
        <w:rPr>
          <w:rStyle w:val="14"/>
          <w:rFonts w:hint="eastAsia" w:ascii="仿宋" w:hAnsi="仿宋" w:eastAsia="仿宋"/>
          <w:bCs/>
          <w:color w:val="auto"/>
          <w:sz w:val="32"/>
          <w:szCs w:val="32"/>
          <w:highlight w:val="none"/>
          <w:lang w:val="en-US" w:eastAsia="zh-CN"/>
        </w:rPr>
        <w:t>2080505</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14.50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与预算数持平</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3.</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w:t>
      </w:r>
      <w:r>
        <w:rPr>
          <w:rStyle w:val="14"/>
          <w:rFonts w:hint="eastAsia" w:ascii="仿宋" w:hAnsi="仿宋" w:eastAsia="仿宋"/>
          <w:bCs/>
          <w:color w:val="auto"/>
          <w:sz w:val="32"/>
          <w:szCs w:val="32"/>
          <w:highlight w:val="none"/>
        </w:rPr>
        <w:t>）基层医疗卫生机构（</w:t>
      </w:r>
      <w:r>
        <w:rPr>
          <w:rStyle w:val="14"/>
          <w:rFonts w:hint="eastAsia" w:ascii="仿宋" w:hAnsi="仿宋" w:eastAsia="仿宋"/>
          <w:bCs/>
          <w:color w:val="auto"/>
          <w:sz w:val="32"/>
          <w:szCs w:val="32"/>
          <w:highlight w:val="none"/>
          <w:lang w:val="en-US" w:eastAsia="zh-CN"/>
        </w:rPr>
        <w:t>21003</w:t>
      </w:r>
      <w:r>
        <w:rPr>
          <w:rStyle w:val="14"/>
          <w:rFonts w:hint="eastAsia" w:ascii="仿宋" w:hAnsi="仿宋" w:eastAsia="仿宋"/>
          <w:bCs/>
          <w:color w:val="auto"/>
          <w:sz w:val="32"/>
          <w:szCs w:val="32"/>
          <w:highlight w:val="none"/>
        </w:rPr>
        <w:t>） 乡镇卫生院（</w:t>
      </w:r>
      <w:r>
        <w:rPr>
          <w:rStyle w:val="14"/>
          <w:rFonts w:hint="eastAsia" w:ascii="仿宋" w:hAnsi="仿宋" w:eastAsia="仿宋"/>
          <w:bCs/>
          <w:color w:val="auto"/>
          <w:sz w:val="32"/>
          <w:szCs w:val="32"/>
          <w:highlight w:val="none"/>
          <w:lang w:val="en-US" w:eastAsia="zh-CN"/>
        </w:rPr>
        <w:t>2100302</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237.20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与预算数持平</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4.</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w:t>
      </w:r>
      <w:r>
        <w:rPr>
          <w:rStyle w:val="14"/>
          <w:rFonts w:hint="eastAsia" w:ascii="仿宋" w:hAnsi="仿宋" w:eastAsia="仿宋"/>
          <w:bCs/>
          <w:color w:val="auto"/>
          <w:sz w:val="32"/>
          <w:szCs w:val="32"/>
          <w:highlight w:val="none"/>
        </w:rPr>
        <w:t>）基层医疗卫生机构（</w:t>
      </w:r>
      <w:r>
        <w:rPr>
          <w:rStyle w:val="14"/>
          <w:rFonts w:hint="eastAsia" w:ascii="仿宋" w:hAnsi="仿宋" w:eastAsia="仿宋"/>
          <w:bCs/>
          <w:color w:val="auto"/>
          <w:sz w:val="32"/>
          <w:szCs w:val="32"/>
          <w:highlight w:val="none"/>
          <w:lang w:val="en-US" w:eastAsia="zh-CN"/>
        </w:rPr>
        <w:t>21003</w:t>
      </w:r>
      <w:r>
        <w:rPr>
          <w:rStyle w:val="14"/>
          <w:rFonts w:hint="eastAsia" w:ascii="仿宋" w:hAnsi="仿宋" w:eastAsia="仿宋"/>
          <w:bCs/>
          <w:color w:val="auto"/>
          <w:sz w:val="32"/>
          <w:szCs w:val="32"/>
          <w:highlight w:val="none"/>
        </w:rPr>
        <w:t>）   其他基层医疗卫生机构支出（</w:t>
      </w:r>
      <w:r>
        <w:rPr>
          <w:rStyle w:val="14"/>
          <w:rFonts w:hint="eastAsia" w:ascii="仿宋" w:hAnsi="仿宋" w:eastAsia="仿宋"/>
          <w:bCs/>
          <w:color w:val="auto"/>
          <w:sz w:val="32"/>
          <w:szCs w:val="32"/>
          <w:highlight w:val="none"/>
          <w:lang w:val="en-US" w:eastAsia="zh-CN"/>
        </w:rPr>
        <w:t>2100399</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15.94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与预算数持平</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5.</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公共卫生</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21004</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基本公共卫生服务</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2100408</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73.41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与预算数持平</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ascii="仿宋" w:hAnsi="仿宋" w:eastAsia="仿宋"/>
          <w:bCs/>
          <w:color w:val="auto"/>
          <w:sz w:val="32"/>
          <w:szCs w:val="32"/>
          <w:highlight w:val="none"/>
        </w:rPr>
        <w:t>6.</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公共卫生</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21004</w:t>
      </w:r>
      <w:r>
        <w:rPr>
          <w:rStyle w:val="14"/>
          <w:rFonts w:hint="eastAsia" w:ascii="仿宋" w:hAnsi="仿宋" w:eastAsia="仿宋"/>
          <w:bCs/>
          <w:color w:val="auto"/>
          <w:sz w:val="32"/>
          <w:szCs w:val="32"/>
          <w:highlight w:val="none"/>
        </w:rPr>
        <w:t xml:space="preserve">） </w:t>
      </w:r>
      <w:r>
        <w:rPr>
          <w:rStyle w:val="14"/>
          <w:rFonts w:hint="eastAsia" w:ascii="仿宋" w:hAnsi="仿宋" w:eastAsia="仿宋"/>
          <w:bCs/>
          <w:color w:val="auto"/>
          <w:sz w:val="32"/>
          <w:szCs w:val="32"/>
          <w:highlight w:val="none"/>
          <w:lang w:eastAsia="zh-CN"/>
        </w:rPr>
        <w:t>重大公共卫生服务</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2100302</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0.42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与预算数持平</w:t>
      </w:r>
      <w:r>
        <w:rPr>
          <w:rStyle w:val="14"/>
          <w:rFonts w:hint="eastAsia" w:ascii="仿宋" w:hAnsi="仿宋" w:eastAsia="仿宋"/>
          <w:b w:val="0"/>
          <w:bCs/>
          <w:color w:val="auto"/>
          <w:sz w:val="32"/>
          <w:szCs w:val="32"/>
          <w:highlight w:val="none"/>
        </w:rPr>
        <w:t>。</w:t>
      </w:r>
    </w:p>
    <w:p>
      <w:pPr>
        <w:pStyle w:val="5"/>
        <w:ind w:firstLine="64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7</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行政事业单位医疗</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21011</w:t>
      </w:r>
      <w:r>
        <w:rPr>
          <w:rStyle w:val="14"/>
          <w:rFonts w:hint="eastAsia" w:ascii="仿宋" w:hAnsi="仿宋" w:eastAsia="仿宋"/>
          <w:bCs/>
          <w:color w:val="auto"/>
          <w:sz w:val="32"/>
          <w:szCs w:val="32"/>
          <w:highlight w:val="none"/>
        </w:rPr>
        <w:t xml:space="preserve">） </w:t>
      </w:r>
      <w:r>
        <w:rPr>
          <w:rStyle w:val="14"/>
          <w:rFonts w:hint="eastAsia" w:ascii="仿宋" w:hAnsi="仿宋" w:eastAsia="仿宋"/>
          <w:bCs/>
          <w:color w:val="auto"/>
          <w:sz w:val="32"/>
          <w:szCs w:val="32"/>
          <w:highlight w:val="none"/>
          <w:lang w:eastAsia="zh-CN"/>
        </w:rPr>
        <w:t>事业单位医疗</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2101102</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12.43</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与预算数持平</w:t>
      </w:r>
      <w:r>
        <w:rPr>
          <w:rStyle w:val="14"/>
          <w:rFonts w:hint="eastAsia" w:ascii="仿宋" w:hAnsi="仿宋" w:eastAsia="仿宋"/>
          <w:b w:val="0"/>
          <w:bCs/>
          <w:color w:val="auto"/>
          <w:sz w:val="32"/>
          <w:szCs w:val="32"/>
          <w:highlight w:val="none"/>
        </w:rPr>
        <w:t>。</w:t>
      </w:r>
    </w:p>
    <w:p>
      <w:pPr>
        <w:pStyle w:val="5"/>
        <w:ind w:firstLine="640"/>
        <w:rPr>
          <w:rStyle w:val="14"/>
          <w:rFonts w:hint="eastAsia" w:ascii="仿宋" w:hAnsi="仿宋" w:eastAsia="仿宋"/>
          <w:b w:val="0"/>
          <w:bCs/>
          <w:color w:val="auto"/>
          <w:sz w:val="32"/>
          <w:szCs w:val="32"/>
          <w:highlight w:val="none"/>
        </w:rPr>
      </w:pPr>
      <w:r>
        <w:rPr>
          <w:rStyle w:val="14"/>
          <w:rFonts w:hint="eastAsia" w:ascii="仿宋" w:hAnsi="仿宋" w:eastAsia="仿宋"/>
          <w:b w:val="0"/>
          <w:bCs/>
          <w:color w:val="auto"/>
          <w:sz w:val="32"/>
          <w:szCs w:val="32"/>
          <w:highlight w:val="none"/>
          <w:lang w:val="en-US" w:eastAsia="zh-CN"/>
        </w:rPr>
        <w:t xml:space="preserve">  </w:t>
      </w:r>
      <w:r>
        <w:rPr>
          <w:rStyle w:val="14"/>
          <w:rFonts w:hint="eastAsia" w:ascii="仿宋" w:hAnsi="仿宋" w:eastAsia="仿宋"/>
          <w:bCs/>
          <w:color w:val="auto"/>
          <w:sz w:val="32"/>
          <w:szCs w:val="32"/>
          <w:highlight w:val="none"/>
          <w:lang w:val="en-US" w:eastAsia="zh-CN"/>
        </w:rPr>
        <w:t>8</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行政事业单位医疗</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21011</w:t>
      </w:r>
      <w:r>
        <w:rPr>
          <w:rStyle w:val="14"/>
          <w:rFonts w:hint="eastAsia" w:ascii="仿宋" w:hAnsi="仿宋" w:eastAsia="仿宋"/>
          <w:bCs/>
          <w:color w:val="auto"/>
          <w:sz w:val="32"/>
          <w:szCs w:val="32"/>
          <w:highlight w:val="none"/>
        </w:rPr>
        <w:t xml:space="preserve">） </w:t>
      </w:r>
      <w:r>
        <w:rPr>
          <w:rStyle w:val="14"/>
          <w:rFonts w:hint="eastAsia" w:ascii="仿宋" w:hAnsi="仿宋" w:eastAsia="仿宋"/>
          <w:bCs/>
          <w:color w:val="auto"/>
          <w:sz w:val="32"/>
          <w:szCs w:val="32"/>
          <w:highlight w:val="none"/>
          <w:lang w:eastAsia="zh-CN"/>
        </w:rPr>
        <w:t>公务员医疗补助</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2101103</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1.62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与预算数持平</w:t>
      </w:r>
      <w:r>
        <w:rPr>
          <w:rStyle w:val="14"/>
          <w:rFonts w:hint="eastAsia" w:ascii="仿宋" w:hAnsi="仿宋" w:eastAsia="仿宋"/>
          <w:b w:val="0"/>
          <w:bCs/>
          <w:color w:val="auto"/>
          <w:sz w:val="32"/>
          <w:szCs w:val="32"/>
          <w:highlight w:val="none"/>
        </w:rPr>
        <w:t>。</w:t>
      </w:r>
    </w:p>
    <w:p>
      <w:pPr>
        <w:pStyle w:val="5"/>
        <w:ind w:firstLine="640"/>
        <w:rPr>
          <w:rFonts w:ascii="仿宋" w:hAnsi="仿宋" w:eastAsia="仿宋"/>
          <w:b/>
          <w:color w:val="auto"/>
          <w:sz w:val="32"/>
          <w:szCs w:val="32"/>
          <w:highlight w:val="none"/>
        </w:rPr>
      </w:pPr>
      <w:r>
        <w:rPr>
          <w:rStyle w:val="14"/>
          <w:rFonts w:hint="eastAsia" w:ascii="仿宋" w:hAnsi="仿宋" w:eastAsia="仿宋"/>
          <w:b w:val="0"/>
          <w:bCs/>
          <w:color w:val="auto"/>
          <w:sz w:val="32"/>
          <w:szCs w:val="32"/>
          <w:highlight w:val="none"/>
          <w:lang w:val="en-US" w:eastAsia="zh-CN"/>
        </w:rPr>
        <w:t xml:space="preserve"> </w:t>
      </w:r>
      <w:r>
        <w:rPr>
          <w:rStyle w:val="14"/>
          <w:rFonts w:hint="eastAsia" w:ascii="仿宋" w:hAnsi="仿宋" w:eastAsia="仿宋"/>
          <w:bCs/>
          <w:color w:val="auto"/>
          <w:sz w:val="32"/>
          <w:szCs w:val="32"/>
          <w:highlight w:val="none"/>
          <w:lang w:val="en-US" w:eastAsia="zh-CN"/>
        </w:rPr>
        <w:t>9</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lang w:eastAsia="zh-CN"/>
        </w:rPr>
        <w:t>住房保障支出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221</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eastAsia="zh-CN"/>
        </w:rPr>
        <w:t>住房改革支出</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22102</w:t>
      </w:r>
      <w:r>
        <w:rPr>
          <w:rStyle w:val="14"/>
          <w:rFonts w:hint="eastAsia" w:ascii="仿宋" w:hAnsi="仿宋" w:eastAsia="仿宋"/>
          <w:bCs/>
          <w:color w:val="auto"/>
          <w:sz w:val="32"/>
          <w:szCs w:val="32"/>
          <w:highlight w:val="none"/>
        </w:rPr>
        <w:t xml:space="preserve">） </w:t>
      </w:r>
      <w:r>
        <w:rPr>
          <w:rStyle w:val="14"/>
          <w:rFonts w:hint="eastAsia" w:ascii="仿宋" w:hAnsi="仿宋" w:eastAsia="仿宋"/>
          <w:bCs/>
          <w:color w:val="auto"/>
          <w:sz w:val="32"/>
          <w:szCs w:val="32"/>
          <w:highlight w:val="none"/>
          <w:lang w:eastAsia="zh-CN"/>
        </w:rPr>
        <w:t>住房公积金</w:t>
      </w:r>
      <w:r>
        <w:rPr>
          <w:rStyle w:val="14"/>
          <w:rFonts w:hint="eastAsia"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2210201</w:t>
      </w:r>
      <w:r>
        <w:rPr>
          <w:rStyle w:val="14"/>
          <w:rFonts w:hint="eastAsia" w:ascii="仿宋" w:hAnsi="仿宋" w:eastAsia="仿宋"/>
          <w:bCs/>
          <w:color w:val="auto"/>
          <w:sz w:val="32"/>
          <w:szCs w:val="32"/>
          <w:highlight w:val="none"/>
        </w:rPr>
        <w:t>）</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19.35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与预算数持平</w:t>
      </w:r>
      <w:r>
        <w:rPr>
          <w:rStyle w:val="14"/>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183.72</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188.72</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59.15万元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44.42万元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23.83万元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14.50万元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职工基本医疗保险缴费</w:t>
      </w:r>
      <w:r>
        <w:rPr>
          <w:rFonts w:hint="eastAsia" w:ascii="仿宋" w:hAnsi="仿宋" w:eastAsia="仿宋"/>
          <w:color w:val="auto"/>
          <w:sz w:val="32"/>
          <w:szCs w:val="32"/>
          <w:highlight w:val="none"/>
          <w:lang w:val="en-US" w:eastAsia="zh-CN"/>
        </w:rPr>
        <w:t>12.43万元、公务员医疗补助缴费1.62万元、</w:t>
      </w:r>
      <w:r>
        <w:rPr>
          <w:rFonts w:hint="eastAsia" w:ascii="仿宋" w:hAnsi="仿宋" w:eastAsia="仿宋"/>
          <w:color w:val="auto"/>
          <w:sz w:val="32"/>
          <w:szCs w:val="32"/>
          <w:highlight w:val="none"/>
        </w:rPr>
        <w:t>职业年金缴费、其他社会保障缴费</w:t>
      </w:r>
      <w:r>
        <w:rPr>
          <w:rFonts w:hint="eastAsia" w:ascii="仿宋" w:hAnsi="仿宋" w:eastAsia="仿宋"/>
          <w:color w:val="auto"/>
          <w:sz w:val="32"/>
          <w:szCs w:val="32"/>
          <w:highlight w:val="none"/>
          <w:lang w:val="en-US" w:eastAsia="zh-CN"/>
        </w:rPr>
        <w:t>1.61万元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19.35万元</w:t>
      </w:r>
      <w:r>
        <w:rPr>
          <w:rFonts w:hint="eastAsia" w:ascii="仿宋" w:hAnsi="仿宋" w:eastAsia="仿宋"/>
          <w:color w:val="auto"/>
          <w:sz w:val="32"/>
          <w:szCs w:val="32"/>
          <w:highlight w:val="none"/>
        </w:rPr>
        <w:t>、医疗费</w:t>
      </w:r>
      <w:r>
        <w:rPr>
          <w:rFonts w:hint="eastAsia" w:ascii="仿宋" w:hAnsi="仿宋" w:eastAsia="仿宋"/>
          <w:color w:val="auto"/>
          <w:sz w:val="32"/>
          <w:szCs w:val="32"/>
          <w:highlight w:val="none"/>
          <w:lang w:val="en-US" w:eastAsia="zh-CN"/>
        </w:rPr>
        <w:t>6.79万元</w:t>
      </w:r>
      <w:r>
        <w:rPr>
          <w:rFonts w:hint="eastAsia" w:ascii="仿宋" w:hAnsi="仿宋" w:eastAsia="仿宋"/>
          <w:color w:val="auto"/>
          <w:sz w:val="32"/>
          <w:szCs w:val="32"/>
          <w:highlight w:val="none"/>
        </w:rPr>
        <w:t>、其他对个人和家庭的补助支出</w:t>
      </w:r>
      <w:r>
        <w:rPr>
          <w:rFonts w:hint="eastAsia" w:ascii="仿宋" w:hAnsi="仿宋" w:eastAsia="仿宋"/>
          <w:color w:val="auto"/>
          <w:sz w:val="32"/>
          <w:szCs w:val="32"/>
          <w:highlight w:val="none"/>
          <w:lang w:val="en-US" w:eastAsia="zh-CN"/>
        </w:rPr>
        <w:t>5.02万元（其中生活补助3.53万元、医疗费补助1.49万元）</w:t>
      </w:r>
      <w:r>
        <w:rPr>
          <w:rFonts w:hint="eastAsia" w:ascii="仿宋" w:hAnsi="仿宋" w:eastAsia="仿宋"/>
          <w:color w:val="auto"/>
          <w:sz w:val="32"/>
          <w:szCs w:val="32"/>
          <w:highlight w:val="none"/>
        </w:rPr>
        <w:t>等。</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191.17</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2.70万元</w:t>
      </w:r>
      <w:r>
        <w:rPr>
          <w:rFonts w:hint="eastAsia" w:ascii="仿宋" w:hAnsi="仿宋" w:eastAsia="仿宋"/>
          <w:color w:val="auto"/>
          <w:sz w:val="32"/>
          <w:szCs w:val="32"/>
          <w:highlight w:val="none"/>
        </w:rPr>
        <w:t>、印刷费</w:t>
      </w:r>
      <w:r>
        <w:rPr>
          <w:rFonts w:hint="eastAsia" w:ascii="仿宋" w:hAnsi="仿宋" w:eastAsia="仿宋"/>
          <w:color w:val="auto"/>
          <w:sz w:val="32"/>
          <w:szCs w:val="32"/>
          <w:highlight w:val="none"/>
          <w:lang w:val="en-US" w:eastAsia="zh-CN"/>
        </w:rPr>
        <w:t>1.02万元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2.20万元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0.70万元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1.18万元</w:t>
      </w:r>
      <w:r>
        <w:rPr>
          <w:rFonts w:hint="eastAsia" w:ascii="仿宋" w:hAnsi="仿宋" w:eastAsia="仿宋"/>
          <w:color w:val="auto"/>
          <w:sz w:val="32"/>
          <w:szCs w:val="32"/>
          <w:highlight w:val="none"/>
        </w:rPr>
        <w:t>、维修（护）费</w:t>
      </w:r>
      <w:r>
        <w:rPr>
          <w:rFonts w:hint="eastAsia" w:ascii="仿宋" w:hAnsi="仿宋" w:eastAsia="仿宋"/>
          <w:color w:val="auto"/>
          <w:sz w:val="32"/>
          <w:szCs w:val="32"/>
          <w:highlight w:val="none"/>
          <w:lang w:val="en-US" w:eastAsia="zh-CN"/>
        </w:rPr>
        <w:t>0.69万元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专用材料费</w:t>
      </w:r>
      <w:r>
        <w:rPr>
          <w:rFonts w:hint="eastAsia" w:ascii="仿宋" w:hAnsi="仿宋" w:eastAsia="仿宋"/>
          <w:color w:val="auto"/>
          <w:sz w:val="32"/>
          <w:szCs w:val="32"/>
          <w:highlight w:val="none"/>
          <w:lang w:val="en-US" w:eastAsia="zh-CN"/>
        </w:rPr>
        <w:t>74.86万元、劳务费49.87万元、委托业务费31.30万元、工会经费4.88万元</w:t>
      </w:r>
      <w:r>
        <w:rPr>
          <w:rFonts w:hint="eastAsia" w:ascii="仿宋" w:hAnsi="仿宋" w:eastAsia="仿宋"/>
          <w:color w:val="auto"/>
          <w:sz w:val="32"/>
          <w:szCs w:val="32"/>
          <w:highlight w:val="none"/>
        </w:rPr>
        <w:t>、公务用车运行维护费</w:t>
      </w:r>
      <w:r>
        <w:rPr>
          <w:rFonts w:hint="eastAsia" w:ascii="仿宋" w:hAnsi="仿宋" w:eastAsia="仿宋"/>
          <w:color w:val="auto"/>
          <w:sz w:val="32"/>
          <w:szCs w:val="32"/>
          <w:highlight w:val="none"/>
          <w:lang w:val="en-US" w:eastAsia="zh-CN"/>
        </w:rPr>
        <w:t>2.83万元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其他商品服务和支出</w:t>
      </w:r>
      <w:r>
        <w:rPr>
          <w:rFonts w:hint="eastAsia" w:ascii="仿宋" w:hAnsi="仿宋" w:eastAsia="仿宋"/>
          <w:color w:val="auto"/>
          <w:sz w:val="32"/>
          <w:szCs w:val="32"/>
          <w:highlight w:val="none"/>
          <w:lang w:val="en-US" w:eastAsia="zh-CN"/>
        </w:rPr>
        <w:t>7.44万元、</w:t>
      </w:r>
      <w:r>
        <w:rPr>
          <w:rFonts w:hint="eastAsia" w:ascii="仿宋" w:hAnsi="仿宋" w:eastAsia="仿宋"/>
          <w:color w:val="auto"/>
          <w:sz w:val="32"/>
          <w:szCs w:val="32"/>
          <w:highlight w:val="none"/>
        </w:rPr>
        <w:t>办公设备购置</w:t>
      </w:r>
      <w:r>
        <w:rPr>
          <w:rFonts w:hint="eastAsia" w:ascii="仿宋" w:hAnsi="仿宋" w:eastAsia="仿宋"/>
          <w:color w:val="auto"/>
          <w:sz w:val="32"/>
          <w:szCs w:val="32"/>
          <w:highlight w:val="none"/>
          <w:lang w:val="en-US" w:eastAsia="zh-CN"/>
        </w:rPr>
        <w:t>0.27万元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大型修缮11.23万元</w:t>
      </w:r>
      <w:r>
        <w:rPr>
          <w:rFonts w:hint="eastAsia" w:ascii="仿宋" w:hAnsi="仿宋" w:eastAsia="仿宋"/>
          <w:color w:val="auto"/>
          <w:sz w:val="32"/>
          <w:szCs w:val="32"/>
          <w:highlight w:val="none"/>
        </w:rPr>
        <w:t>。</w:t>
      </w:r>
    </w:p>
    <w:p>
      <w:pPr>
        <w:spacing w:line="600" w:lineRule="exact"/>
        <w:ind w:firstLine="640"/>
        <w:outlineLvl w:val="1"/>
        <w:rPr>
          <w:rStyle w:val="25"/>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2.83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，与预算数持平。</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2.83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pStyle w:val="5"/>
      </w:pPr>
      <w:r>
        <w:drawing>
          <wp:inline distT="0" distB="0" distL="114300" distR="114300">
            <wp:extent cx="5273040" cy="2675890"/>
            <wp:effectExtent l="4445" t="4445" r="18415" b="5715"/>
            <wp:docPr id="206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000000"/>
          <w:sz w:val="32"/>
          <w:szCs w:val="32"/>
        </w:rPr>
        <w:t>因公出国（境）支出决算</w:t>
      </w:r>
      <w:r>
        <w:rPr>
          <w:rFonts w:hint="eastAsia" w:ascii="仿宋_GB2312" w:eastAsia="仿宋_GB2312"/>
          <w:color w:val="000000"/>
          <w:sz w:val="32"/>
          <w:szCs w:val="32"/>
          <w:lang w:eastAsia="zh-CN"/>
        </w:rPr>
        <w:t>与</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000000"/>
          <w:sz w:val="32"/>
          <w:szCs w:val="32"/>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2.83</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1.21</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74.69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因新冠疫情期间我单位派驻</w:t>
      </w:r>
      <w:r>
        <w:rPr>
          <w:rFonts w:hint="eastAsia" w:ascii="仿宋_GB2312" w:eastAsia="仿宋_GB2312"/>
          <w:color w:val="auto"/>
          <w:sz w:val="32"/>
          <w:szCs w:val="32"/>
          <w:highlight w:val="none"/>
          <w:lang w:val="en-US" w:eastAsia="zh-CN"/>
        </w:rPr>
        <w:t>108国道平地方山核酸采样点进行入川人员核酸采样工作，工作期间单位公务车需转运物资及运送医疗废物，故导致公务车运行维护支出增加</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、其他车型</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2.83</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卫生院基本公共卫生服务下乡体检、入户随访、贫困人口健康体检、</w:t>
      </w:r>
      <w:r>
        <w:rPr>
          <w:rFonts w:hint="eastAsia" w:ascii="仿宋_GB2312" w:eastAsia="仿宋_GB2312"/>
          <w:color w:val="000000"/>
          <w:sz w:val="32"/>
          <w:szCs w:val="32"/>
          <w:lang w:eastAsia="zh-CN"/>
        </w:rPr>
        <w:t>新冠疫情防控</w:t>
      </w:r>
      <w:r>
        <w:rPr>
          <w:rFonts w:hint="eastAsia" w:ascii="仿宋_GB2312" w:eastAsia="仿宋_GB2312"/>
          <w:color w:val="000000"/>
          <w:sz w:val="32"/>
          <w:szCs w:val="32"/>
          <w:lang w:val="en-US" w:eastAsia="zh-CN"/>
        </w:rPr>
        <w:t>及核酸转运</w:t>
      </w:r>
      <w:r>
        <w:rPr>
          <w:rFonts w:hint="eastAsia" w:ascii="仿宋_GB2312" w:eastAsia="仿宋_GB2312"/>
          <w:color w:val="auto"/>
          <w:sz w:val="32"/>
          <w:szCs w:val="32"/>
          <w:highlight w:val="none"/>
        </w:rPr>
        <w:t>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000000"/>
          <w:sz w:val="32"/>
          <w:szCs w:val="32"/>
        </w:rPr>
        <w:t>支出决算</w:t>
      </w:r>
      <w:r>
        <w:rPr>
          <w:rFonts w:hint="eastAsia" w:ascii="仿宋_GB2312" w:eastAsia="仿宋_GB2312"/>
          <w:color w:val="000000"/>
          <w:sz w:val="32"/>
          <w:szCs w:val="32"/>
          <w:lang w:eastAsia="zh-CN"/>
        </w:rPr>
        <w:t>与</w:t>
      </w:r>
      <w:r>
        <w:rPr>
          <w:rFonts w:ascii="仿宋_GB2312" w:eastAsia="仿宋_GB2312"/>
          <w:color w:val="000000"/>
          <w:sz w:val="32"/>
          <w:szCs w:val="32"/>
        </w:rPr>
        <w:t>20</w:t>
      </w:r>
      <w:r>
        <w:rPr>
          <w:rFonts w:hint="eastAsia" w:ascii="仿宋_GB2312" w:eastAsia="仿宋_GB2312"/>
          <w:color w:val="000000"/>
          <w:sz w:val="32"/>
          <w:szCs w:val="32"/>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持平</w:t>
      </w:r>
      <w:r>
        <w:rPr>
          <w:rFonts w:hint="eastAsia" w:ascii="仿宋_GB2312" w:eastAsia="仿宋_GB2312"/>
          <w:color w:val="auto"/>
          <w:sz w:val="32"/>
          <w:szCs w:val="32"/>
          <w:highlight w:val="none"/>
        </w:rPr>
        <w:t>。其中：</w:t>
      </w:r>
    </w:p>
    <w:p>
      <w:pPr>
        <w:spacing w:line="600" w:lineRule="exact"/>
        <w:ind w:firstLine="640"/>
        <w:rPr>
          <w:rFonts w:ascii="黑体" w:eastAsia="黑体"/>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bookmarkStart w:id="40" w:name="_Toc15377218"/>
      <w:bookmarkStart w:id="41" w:name="_Toc15396610"/>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ascii="黑体" w:hAnsi="黑体" w:eastAsia="黑体"/>
          <w:b w:val="0"/>
          <w:color w:val="auto"/>
          <w:highlight w:val="none"/>
        </w:rPr>
      </w:pPr>
      <w:bookmarkStart w:id="42" w:name="_Toc15377219"/>
      <w:bookmarkStart w:id="43" w:name="_Toc15396611"/>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年，仁和区</w:t>
      </w:r>
      <w:r>
        <w:rPr>
          <w:rFonts w:hint="eastAsia" w:ascii="仿宋_GB2312" w:eastAsia="仿宋_GB2312"/>
          <w:color w:val="auto"/>
          <w:sz w:val="32"/>
          <w:szCs w:val="32"/>
          <w:highlight w:val="none"/>
          <w:lang w:eastAsia="zh-CN"/>
        </w:rPr>
        <w:t>啊喇彝族乡</w:t>
      </w:r>
      <w:r>
        <w:rPr>
          <w:rFonts w:hint="eastAsia" w:ascii="仿宋_GB2312" w:eastAsia="仿宋_GB2312"/>
          <w:color w:val="auto"/>
          <w:sz w:val="32"/>
          <w:szCs w:val="32"/>
          <w:highlight w:val="none"/>
        </w:rPr>
        <w:t>中心卫生院属于财政补助的事业单位，无机关运行经费。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年，仁和区</w:t>
      </w:r>
      <w:r>
        <w:rPr>
          <w:rFonts w:hint="eastAsia" w:ascii="仿宋_GB2312" w:eastAsia="仿宋_GB2312"/>
          <w:color w:val="auto"/>
          <w:sz w:val="32"/>
          <w:szCs w:val="32"/>
          <w:highlight w:val="none"/>
          <w:lang w:eastAsia="zh-CN"/>
        </w:rPr>
        <w:t>啊喇彝族乡</w:t>
      </w:r>
      <w:r>
        <w:rPr>
          <w:rFonts w:hint="eastAsia" w:ascii="仿宋_GB2312" w:eastAsia="仿宋_GB2312"/>
          <w:color w:val="auto"/>
          <w:sz w:val="32"/>
          <w:szCs w:val="32"/>
          <w:highlight w:val="none"/>
        </w:rPr>
        <w:t>中心卫生院</w:t>
      </w:r>
      <w:r>
        <w:rPr>
          <w:rFonts w:hint="eastAsia" w:ascii="仿宋_GB2312" w:eastAsia="仿宋_GB2312"/>
          <w:color w:val="auto"/>
          <w:sz w:val="32"/>
          <w:szCs w:val="32"/>
          <w:highlight w:val="none"/>
          <w:lang w:eastAsia="zh-CN"/>
        </w:rPr>
        <w:t>未发生政府采购支出</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日，仁和区</w:t>
      </w:r>
      <w:r>
        <w:rPr>
          <w:rFonts w:hint="eastAsia" w:ascii="仿宋_GB2312" w:eastAsia="仿宋_GB2312"/>
          <w:color w:val="auto"/>
          <w:sz w:val="32"/>
          <w:szCs w:val="32"/>
          <w:highlight w:val="none"/>
          <w:lang w:eastAsia="zh-CN"/>
        </w:rPr>
        <w:t>啊喇彝族乡</w:t>
      </w:r>
      <w:r>
        <w:rPr>
          <w:rFonts w:hint="eastAsia" w:ascii="仿宋_GB2312" w:eastAsia="仿宋_GB2312"/>
          <w:color w:val="auto"/>
          <w:sz w:val="32"/>
          <w:szCs w:val="32"/>
          <w:highlight w:val="none"/>
        </w:rPr>
        <w:t>中心卫生院共有车辆</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辆、特种专业技术用车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主要是用于主要用于</w:t>
      </w:r>
      <w:r>
        <w:rPr>
          <w:rFonts w:hint="eastAsia" w:ascii="仿宋_GB2312" w:eastAsia="仿宋_GB2312"/>
          <w:color w:val="auto"/>
          <w:sz w:val="32"/>
          <w:szCs w:val="32"/>
          <w:highlight w:val="none"/>
          <w:lang w:eastAsia="zh-CN"/>
        </w:rPr>
        <w:t>卫生院基本公共卫生服务下乡体检、入户随访、贫困人口健康体检、</w:t>
      </w:r>
      <w:r>
        <w:rPr>
          <w:rFonts w:hint="eastAsia" w:ascii="仿宋_GB2312" w:eastAsia="仿宋_GB2312"/>
          <w:color w:val="000000"/>
          <w:sz w:val="32"/>
          <w:szCs w:val="32"/>
          <w:lang w:eastAsia="zh-CN"/>
        </w:rPr>
        <w:t>新冠疫情防控</w:t>
      </w:r>
      <w:r>
        <w:rPr>
          <w:rFonts w:hint="eastAsia" w:ascii="仿宋_GB2312" w:eastAsia="仿宋_GB2312"/>
          <w:color w:val="000000"/>
          <w:sz w:val="32"/>
          <w:szCs w:val="32"/>
          <w:lang w:val="en-US" w:eastAsia="zh-CN"/>
        </w:rPr>
        <w:t>及核酸转运等相关工作</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5"/>
        <w:ind w:firstLine="640" w:firstLineChars="200"/>
        <w:rPr>
          <w:color w:val="auto"/>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w:t>
      </w:r>
      <w:r>
        <w:rPr>
          <w:rFonts w:hint="eastAsia" w:hAnsi="仿宋_GB2312" w:cs="仿宋_GB2312"/>
          <w:color w:val="auto"/>
          <w:sz w:val="32"/>
          <w:szCs w:val="32"/>
          <w:highlight w:val="none"/>
          <w:lang w:eastAsia="zh-CN"/>
        </w:rPr>
        <w:t>对国家</w:t>
      </w:r>
      <w:r>
        <w:rPr>
          <w:rFonts w:hint="eastAsia" w:ascii="仿宋_GB2312" w:hAnsi="仿宋_GB2312" w:eastAsia="仿宋_GB2312" w:cs="仿宋_GB2312"/>
          <w:sz w:val="32"/>
          <w:szCs w:val="32"/>
          <w:highlight w:val="none"/>
        </w:rPr>
        <w:t>基本</w:t>
      </w:r>
      <w:r>
        <w:rPr>
          <w:rFonts w:hint="eastAsia" w:hAnsi="仿宋_GB2312" w:cs="仿宋_GB2312"/>
          <w:sz w:val="32"/>
          <w:szCs w:val="32"/>
          <w:highlight w:val="none"/>
          <w:lang w:eastAsia="zh-CN"/>
        </w:rPr>
        <w:t>公共卫生服务</w:t>
      </w:r>
      <w:r>
        <w:rPr>
          <w:rFonts w:hint="eastAsia" w:ascii="仿宋_GB2312" w:hAnsi="仿宋_GB2312" w:eastAsia="仿宋_GB2312" w:cs="仿宋_GB2312"/>
          <w:sz w:val="32"/>
          <w:szCs w:val="32"/>
          <w:highlight w:val="none"/>
        </w:rPr>
        <w:t>卫项目、实施基本药物制度</w:t>
      </w:r>
      <w:r>
        <w:rPr>
          <w:rFonts w:hint="eastAsia" w:ascii="仿宋_GB2312" w:hAnsi="仿宋_GB2312" w:eastAsia="仿宋_GB2312" w:cs="仿宋_GB2312"/>
          <w:sz w:val="32"/>
          <w:szCs w:val="32"/>
          <w:highlight w:val="none"/>
          <w:lang w:val="en-US" w:eastAsia="zh-CN"/>
        </w:rPr>
        <w:t>及村卫生室补助</w:t>
      </w:r>
      <w:r>
        <w:rPr>
          <w:rFonts w:hint="eastAsia" w:ascii="仿宋_GB2312" w:hAnsi="仿宋_GB2312" w:eastAsia="仿宋_GB2312" w:cs="仿宋_GB2312"/>
          <w:sz w:val="32"/>
          <w:szCs w:val="32"/>
          <w:highlight w:val="none"/>
        </w:rPr>
        <w:t>项目、医疗卫生管理经费项目开展了预算事前绩效评估，对医疗卫生管理经费项目编制了绩效目标，预算执行过程中，</w:t>
      </w:r>
      <w:r>
        <w:rPr>
          <w:rFonts w:hint="eastAsia" w:ascii="仿宋_GB2312" w:hAnsi="仿宋_GB2312" w:eastAsia="仿宋_GB2312" w:cs="仿宋_GB2312"/>
          <w:sz w:val="32"/>
          <w:szCs w:val="32"/>
          <w:highlight w:val="none"/>
          <w:lang w:eastAsia="zh-CN"/>
        </w:rPr>
        <w:t>对</w:t>
      </w:r>
      <w:r>
        <w:rPr>
          <w:rFonts w:hint="eastAsia" w:ascii="仿宋_GB2312" w:hAnsi="仿宋_GB2312" w:eastAsia="仿宋_GB2312" w:cs="仿宋_GB2312"/>
          <w:sz w:val="32"/>
          <w:szCs w:val="32"/>
          <w:highlight w:val="none"/>
        </w:rPr>
        <w:t>医疗卫生管理经费项目开展绩效监控，年终执行完毕后，对医疗卫生管理经费项目开展了绩效自评。202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年特定目标类部门预算项目绩效目标自评表见附件（第四部分）</w:t>
      </w:r>
      <w:r>
        <w:rPr>
          <w:rFonts w:hint="eastAsia" w:ascii="仿宋_GB2312" w:hAnsi="仿宋_GB2312" w:eastAsia="仿宋_GB2312" w:cs="仿宋_GB2312"/>
          <w:color w:val="auto"/>
          <w:sz w:val="32"/>
          <w:szCs w:val="32"/>
          <w:highlight w:val="none"/>
        </w:rPr>
        <w:t>。</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一般公共服务支出（类）财政事务（款） 财政委托业务支出（项）：指反应财政事务方面的支出。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社会保障和就业（类）行政事业单位养老支出（款）事业单位离退休（项）: 指事业单位开支的离退休经费。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社会保障和就业（类）行政事业单位养老支出（款）     机关事业单位基本养老保险缴费支出（项）: 指机关事业单位实施养老保险制度由单位缴纳的基本养老保险费支出。</w:t>
      </w:r>
    </w:p>
    <w:p>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社会保障和就业（类）行政事业单位养老支出（款）     机关事业单位职业年金缴费支出（项）: 指机关事业单位实施养老保险制度由单位缴纳的实际缴纳的职业年金支出。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社会保障和就业（类）抚恤（款）死亡抚恤（项）：指按规定用于烈士和牺牲、病故人员家属的一次性和定期抚恤金及丧葬补助费。</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社会保障和就业（类）其他社会保障和就业支出（款）其他社会保障和就业支出（项）：指反映机关事业单位其他用于社会保障和就业方面的支出。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卫生健康支出（类）基层医疗卫生机构（款）乡镇卫生院（项）：指反映用于乡镇卫生院支出。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卫生健康（类）卫生健康管理事务（款） 一般行政管理事务（项）:</w:t>
      </w:r>
      <w:r>
        <w:rPr>
          <w:rFonts w:hint="eastAsia" w:ascii="仿宋_GB2312" w:eastAsia="仿宋_GB2312"/>
          <w:color w:val="000000"/>
          <w:sz w:val="32"/>
          <w:szCs w:val="32"/>
          <w:lang w:eastAsia="zh-CN"/>
        </w:rPr>
        <w:t>指行政单位未单独设置项级科目的其他项目支出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卫生健康（类）</w:t>
      </w:r>
      <w:r>
        <w:rPr>
          <w:rFonts w:hint="eastAsia" w:ascii="仿宋_GB2312" w:eastAsia="仿宋_GB2312"/>
          <w:color w:val="000000"/>
          <w:sz w:val="32"/>
          <w:szCs w:val="32"/>
          <w:lang w:eastAsia="zh-CN"/>
        </w:rPr>
        <w:t>基层医疗卫生机构</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其他基层医疗卫生机构</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其他用于基层医疗卫生机构的支出</w:t>
      </w:r>
      <w:r>
        <w:rPr>
          <w:rFonts w:hint="eastAsia" w:ascii="仿宋_GB2312" w:eastAsia="仿宋_GB2312"/>
          <w:color w:val="000000"/>
          <w:sz w:val="32"/>
          <w:szCs w:val="32"/>
        </w:rPr>
        <w:t>。</w:t>
      </w:r>
    </w:p>
    <w:p>
      <w:pPr>
        <w:pStyle w:val="22"/>
        <w:numPr>
          <w:ilvl w:val="0"/>
          <w:numId w:val="0"/>
        </w:numPr>
        <w:spacing w:line="560" w:lineRule="exact"/>
        <w:ind w:firstLine="640" w:firstLineChars="200"/>
        <w:rPr>
          <w:rFonts w:hint="eastAsia" w:ascii="仿宋_GB2312" w:eastAsia="仿宋_GB2312"/>
          <w:sz w:val="32"/>
          <w:szCs w:val="32"/>
        </w:rPr>
      </w:pPr>
      <w:r>
        <w:rPr>
          <w:rFonts w:hint="eastAsia" w:hAnsi="仿宋"/>
          <w:bCs/>
          <w:sz w:val="32"/>
          <w:szCs w:val="32"/>
          <w:lang w:val="en-US" w:eastAsia="zh-CN"/>
        </w:rPr>
        <w:t>18.</w:t>
      </w:r>
      <w:r>
        <w:rPr>
          <w:rFonts w:hint="eastAsia" w:hAnsi="仿宋"/>
          <w:bCs/>
          <w:sz w:val="32"/>
          <w:szCs w:val="32"/>
        </w:rPr>
        <w:t>卫生健康支出</w:t>
      </w:r>
      <w:r>
        <w:rPr>
          <w:rStyle w:val="14"/>
          <w:rFonts w:hint="eastAsia" w:hAnsi="仿宋"/>
          <w:b w:val="0"/>
          <w:sz w:val="32"/>
          <w:szCs w:val="32"/>
        </w:rPr>
        <w:t>（类）公共卫生（款）疾病控制机构（项）：</w:t>
      </w:r>
      <w:r>
        <w:rPr>
          <w:rFonts w:hint="eastAsia" w:ascii="仿宋_GB2312" w:eastAsia="仿宋_GB2312"/>
          <w:sz w:val="32"/>
          <w:szCs w:val="32"/>
        </w:rPr>
        <w:t>指反映用于卫生健康部门所属疾病控制机构的支出。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19.</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基本公共卫生服务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基本公共卫生服务支出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重大公共卫生服务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重大疾病、重大传染病预防控制等重大公共卫生服务项目支出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突发公共卫生事件应急处理</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用于突发公共卫生事件应急处理的支出</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lang w:eastAsia="zh-CN"/>
        </w:rPr>
      </w:pPr>
      <w:r>
        <w:rPr>
          <w:rFonts w:ascii="仿宋_GB2312" w:eastAsia="仿宋_GB2312"/>
          <w:color w:val="000000"/>
          <w:sz w:val="32"/>
          <w:szCs w:val="32"/>
        </w:rPr>
        <w:t>2</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公共卫生</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其他公共卫生支出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指其他用于公共卫生方面的支出。</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23.</w:t>
      </w:r>
      <w:r>
        <w:rPr>
          <w:rFonts w:hint="eastAsia" w:ascii="仿宋_GB2312" w:eastAsia="仿宋_GB2312"/>
          <w:color w:val="000000"/>
          <w:sz w:val="32"/>
          <w:szCs w:val="32"/>
          <w:lang w:eastAsia="zh-CN"/>
        </w:rPr>
        <w:t>卫生健康</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中医药</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中医（民族医）药专项</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指中医（民族医）药方面的专项支出。</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lang w:val="en-US" w:eastAsia="zh-CN"/>
        </w:rPr>
        <w:t>24.</w:t>
      </w:r>
      <w:r>
        <w:rPr>
          <w:rFonts w:hint="eastAsia" w:ascii="仿宋_GB2312" w:eastAsia="仿宋_GB2312"/>
          <w:color w:val="000000"/>
          <w:sz w:val="32"/>
          <w:szCs w:val="32"/>
        </w:rPr>
        <w:t>卫生健康支出（类）</w:t>
      </w:r>
      <w:r>
        <w:rPr>
          <w:rFonts w:hint="eastAsia" w:ascii="仿宋_GB2312" w:eastAsia="仿宋_GB2312"/>
          <w:color w:val="000000"/>
          <w:sz w:val="32"/>
          <w:szCs w:val="32"/>
          <w:lang w:eastAsia="zh-CN"/>
        </w:rPr>
        <w:t>计划生育事务</w:t>
      </w:r>
      <w:r>
        <w:rPr>
          <w:rFonts w:hint="eastAsia" w:ascii="仿宋_GB2312" w:eastAsia="仿宋_GB2312"/>
          <w:color w:val="000000"/>
          <w:sz w:val="32"/>
          <w:szCs w:val="32"/>
        </w:rPr>
        <w:t>（款）计划生育服务（项）:</w:t>
      </w:r>
      <w:r>
        <w:rPr>
          <w:rFonts w:hint="eastAsia" w:ascii="仿宋_GB2312" w:eastAsia="仿宋_GB2312"/>
          <w:color w:val="000000"/>
          <w:sz w:val="32"/>
          <w:szCs w:val="32"/>
          <w:lang w:eastAsia="zh-CN"/>
        </w:rPr>
        <w:t>指计划生育服务支出</w:t>
      </w:r>
      <w:r>
        <w:rPr>
          <w:rFonts w:hint="eastAsia" w:ascii="仿宋_GB2312" w:eastAsia="仿宋_GB2312"/>
          <w:color w:val="000000"/>
          <w:sz w:val="32"/>
          <w:szCs w:val="32"/>
        </w:rPr>
        <w:t>。</w:t>
      </w:r>
    </w:p>
    <w:p>
      <w:pPr>
        <w:pStyle w:val="22"/>
        <w:numPr>
          <w:ilvl w:val="0"/>
          <w:numId w:val="0"/>
        </w:numPr>
        <w:spacing w:line="560" w:lineRule="exact"/>
        <w:ind w:firstLine="640" w:firstLineChars="200"/>
        <w:rPr>
          <w:rFonts w:ascii="仿宋_GB2312" w:eastAsia="仿宋_GB2312"/>
          <w:sz w:val="32"/>
          <w:szCs w:val="32"/>
        </w:rPr>
      </w:pPr>
      <w:r>
        <w:rPr>
          <w:rFonts w:hint="eastAsia" w:hAnsi="仿宋"/>
          <w:bCs/>
          <w:sz w:val="32"/>
          <w:szCs w:val="32"/>
          <w:lang w:val="en-US" w:eastAsia="zh-CN"/>
        </w:rPr>
        <w:t>25.</w:t>
      </w:r>
      <w:r>
        <w:rPr>
          <w:rFonts w:hint="eastAsia" w:hAnsi="仿宋"/>
          <w:bCs/>
          <w:sz w:val="32"/>
          <w:szCs w:val="32"/>
        </w:rPr>
        <w:t>卫生健康支出</w:t>
      </w:r>
      <w:r>
        <w:rPr>
          <w:rStyle w:val="14"/>
          <w:rFonts w:hint="eastAsia" w:hAnsi="仿宋"/>
          <w:b w:val="0"/>
          <w:sz w:val="32"/>
          <w:szCs w:val="32"/>
        </w:rPr>
        <w:t>（类）行政事业单位医疗（款）事业单位医疗（项）：</w:t>
      </w:r>
      <w:r>
        <w:rPr>
          <w:rFonts w:hint="eastAsia" w:ascii="仿宋_GB2312" w:eastAsia="仿宋_GB2312"/>
          <w:sz w:val="32"/>
          <w:szCs w:val="32"/>
        </w:rPr>
        <w:t>指反映财政部门安排的事业单位基本养老保险缴纳经费、未参加医疗保险的事业单位的公费医疗经费，按国家规定享受离休人员待遇的医疗经费。</w:t>
      </w:r>
    </w:p>
    <w:p>
      <w:pPr>
        <w:pStyle w:val="22"/>
        <w:numPr>
          <w:ilvl w:val="0"/>
          <w:numId w:val="0"/>
        </w:numPr>
        <w:spacing w:line="560" w:lineRule="exact"/>
        <w:ind w:firstLine="640" w:firstLineChars="200"/>
        <w:rPr>
          <w:rFonts w:ascii="仿宋_GB2312" w:eastAsia="仿宋_GB2312"/>
          <w:sz w:val="32"/>
          <w:szCs w:val="32"/>
        </w:rPr>
      </w:pPr>
      <w:r>
        <w:rPr>
          <w:rFonts w:hint="eastAsia" w:hAnsi="仿宋"/>
          <w:bCs/>
          <w:sz w:val="32"/>
          <w:szCs w:val="32"/>
          <w:lang w:val="en-US" w:eastAsia="zh-CN"/>
        </w:rPr>
        <w:t>26.</w:t>
      </w:r>
      <w:r>
        <w:rPr>
          <w:rFonts w:hint="eastAsia" w:hAnsi="仿宋"/>
          <w:bCs/>
          <w:sz w:val="32"/>
          <w:szCs w:val="32"/>
        </w:rPr>
        <w:t>卫生健康支出</w:t>
      </w:r>
      <w:r>
        <w:rPr>
          <w:rStyle w:val="14"/>
          <w:rFonts w:hint="eastAsia" w:hAnsi="仿宋"/>
          <w:b w:val="0"/>
          <w:sz w:val="32"/>
          <w:szCs w:val="32"/>
        </w:rPr>
        <w:t>（类）行政事业单位医疗（款）公务员医疗补助（项）</w:t>
      </w:r>
      <w:r>
        <w:rPr>
          <w:rStyle w:val="14"/>
          <w:rFonts w:hAnsi="仿宋"/>
          <w:b w:val="0"/>
          <w:bCs/>
          <w:sz w:val="32"/>
          <w:szCs w:val="32"/>
        </w:rPr>
        <w:t>:</w:t>
      </w:r>
      <w:r>
        <w:rPr>
          <w:rFonts w:hint="eastAsia" w:ascii="仿宋_GB2312" w:eastAsia="仿宋_GB2312"/>
          <w:sz w:val="32"/>
          <w:szCs w:val="32"/>
        </w:rPr>
        <w:t>指反映财政部门安排的公务员医疗补助经费。</w:t>
      </w:r>
    </w:p>
    <w:p>
      <w:pPr>
        <w:pStyle w:val="22"/>
        <w:numPr>
          <w:ilvl w:val="0"/>
          <w:numId w:val="0"/>
        </w:numPr>
        <w:spacing w:line="560" w:lineRule="exact"/>
        <w:ind w:firstLine="640" w:firstLineChars="200"/>
        <w:rPr>
          <w:rFonts w:hint="eastAsia" w:ascii="仿宋_GB2312" w:eastAsia="仿宋_GB2312"/>
          <w:sz w:val="32"/>
          <w:szCs w:val="32"/>
        </w:rPr>
      </w:pPr>
      <w:r>
        <w:rPr>
          <w:rFonts w:hint="eastAsia" w:hAnsi="仿宋"/>
          <w:bCs/>
          <w:sz w:val="32"/>
          <w:szCs w:val="32"/>
          <w:lang w:val="en-US" w:eastAsia="zh-CN"/>
        </w:rPr>
        <w:t>27.</w:t>
      </w:r>
      <w:r>
        <w:rPr>
          <w:rFonts w:hint="eastAsia" w:hAnsi="仿宋"/>
          <w:bCs/>
          <w:sz w:val="32"/>
          <w:szCs w:val="32"/>
        </w:rPr>
        <w:t>卫生健康支出</w:t>
      </w:r>
      <w:r>
        <w:rPr>
          <w:rStyle w:val="14"/>
          <w:rFonts w:hint="eastAsia" w:hAnsi="仿宋"/>
          <w:b w:val="0"/>
          <w:sz w:val="32"/>
          <w:szCs w:val="32"/>
        </w:rPr>
        <w:t>（类）其他卫生健康支出（款）其他卫生健康支出（项）</w:t>
      </w:r>
      <w:r>
        <w:rPr>
          <w:rStyle w:val="14"/>
          <w:rFonts w:hAnsi="仿宋"/>
          <w:b w:val="0"/>
          <w:bCs/>
          <w:sz w:val="32"/>
          <w:szCs w:val="32"/>
        </w:rPr>
        <w:t>:</w:t>
      </w:r>
      <w:r>
        <w:rPr>
          <w:rFonts w:hint="eastAsia" w:ascii="仿宋_GB2312" w:eastAsia="仿宋_GB2312"/>
          <w:sz w:val="32"/>
          <w:szCs w:val="32"/>
        </w:rPr>
        <w:t>指反映用于其他卫生健康方面的支出。</w:t>
      </w:r>
    </w:p>
    <w:p>
      <w:pPr>
        <w:pStyle w:val="22"/>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28.住房保障支出（类）住房改革支出（款）住房公积金（项）：指行政事业单位按人力资源和社会保障部、财政部规定的基本工资和津贴补贴以及规定比例为职工缴纳的住房公积金。</w:t>
      </w:r>
    </w:p>
    <w:p>
      <w:pPr>
        <w:pStyle w:val="22"/>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29.基本支出：指为保障机构正常运转、完成日常工作任务而发生的人员支出和公用支出。</w:t>
      </w:r>
    </w:p>
    <w:p>
      <w:pPr>
        <w:pStyle w:val="22"/>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30.项目支出：指在基本支出之外为完成特定行政任务和事业发展目标所发生的支出。 </w:t>
      </w:r>
    </w:p>
    <w:p>
      <w:pPr>
        <w:pStyle w:val="22"/>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31.经营支出：指事业单位在专业业务活动及其辅助活动之外开展非独立核算经营活动发生的支出。</w:t>
      </w:r>
    </w:p>
    <w:p>
      <w:pPr>
        <w:pStyle w:val="22"/>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32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33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numPr>
          <w:ilvl w:val="0"/>
          <w:numId w:val="0"/>
        </w:numPr>
        <w:spacing w:line="560" w:lineRule="exact"/>
        <w:ind w:firstLine="640" w:firstLineChars="200"/>
        <w:rPr>
          <w:rFonts w:hint="eastAsia" w:ascii="仿宋_GB2312" w:eastAsia="仿宋_GB2312"/>
          <w:sz w:val="32"/>
          <w:szCs w:val="32"/>
        </w:rPr>
      </w:pPr>
    </w:p>
    <w:p>
      <w:pPr>
        <w:spacing w:line="600" w:lineRule="exact"/>
        <w:jc w:val="center"/>
        <w:outlineLvl w:val="0"/>
        <w:rPr>
          <w:rFonts w:hint="eastAsia" w:ascii="黑体" w:hAnsi="黑体" w:eastAsia="黑体"/>
          <w:color w:val="auto"/>
          <w:sz w:val="44"/>
          <w:szCs w:val="44"/>
          <w:highlight w:val="none"/>
        </w:rPr>
      </w:pPr>
      <w:bookmarkStart w:id="51" w:name="_Toc15396614"/>
      <w:bookmarkStart w:id="52" w:name="_Toc15377226"/>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Style w:val="24"/>
          <w:rFonts w:ascii="黑体" w:hAnsi="黑体" w:eastAsia="黑体"/>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1"/>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spacing w:line="600" w:lineRule="exact"/>
        <w:jc w:val="center"/>
        <w:outlineLvl w:val="0"/>
        <w:rPr>
          <w:rFonts w:hint="eastAsia" w:ascii="宋体" w:hAnsi="宋体" w:eastAsia="宋体" w:cs="宋体"/>
          <w:color w:val="auto"/>
          <w:kern w:val="0"/>
          <w:sz w:val="32"/>
          <w:szCs w:val="32"/>
          <w:highlight w:val="none"/>
          <w:lang w:val="en-US" w:eastAsia="zh-CN" w:bidi="ar-SA"/>
        </w:rPr>
      </w:pPr>
      <w:bookmarkStart w:id="53" w:name="_Toc15396618"/>
      <w:r>
        <w:rPr>
          <w:rFonts w:hint="eastAsia" w:ascii="宋体" w:hAnsi="宋体" w:eastAsia="宋体" w:cs="宋体"/>
          <w:color w:val="auto"/>
          <w:kern w:val="0"/>
          <w:sz w:val="32"/>
          <w:szCs w:val="32"/>
          <w:highlight w:val="none"/>
          <w:lang w:val="en-US" w:eastAsia="zh-CN" w:bidi="ar-SA"/>
        </w:rPr>
        <w:t>部门预算项目支出绩效自评表（2022年度）</w:t>
      </w:r>
    </w:p>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spacing w:line="600" w:lineRule="exact"/>
        <w:ind w:firstLine="640" w:firstLineChars="200"/>
        <w:jc w:val="left"/>
        <w:outlineLvl w:val="0"/>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（备注：按照绩效自评工作安排，各单位可在预算管理一体化系统—综合报表查询—预算绩效报表模块中下载本单位“部门预算项目支出绩效自评表（2022年度）”，该表格应作为附件予以公开。）</w:t>
      </w: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2"/>
      <w:bookmarkEnd w:id="53"/>
      <w:bookmarkStart w:id="54"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3"/>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3"/>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3"/>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3"/>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3"/>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3"/>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3"/>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3"/>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3"/>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footerReference r:id="rId10"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ZGM4MDRkMGQ3YTQ4ZDI0Zjg5N2FlMGYzZTQ5O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10C055FF"/>
    <w:rsid w:val="11252101"/>
    <w:rsid w:val="118107EC"/>
    <w:rsid w:val="11DD6519"/>
    <w:rsid w:val="16BB723D"/>
    <w:rsid w:val="18015F3F"/>
    <w:rsid w:val="193C07A5"/>
    <w:rsid w:val="1BE8440E"/>
    <w:rsid w:val="1D155CEE"/>
    <w:rsid w:val="206F1C9D"/>
    <w:rsid w:val="20F57F95"/>
    <w:rsid w:val="22296C7B"/>
    <w:rsid w:val="240371BF"/>
    <w:rsid w:val="25711CC6"/>
    <w:rsid w:val="25C741E6"/>
    <w:rsid w:val="25F54C47"/>
    <w:rsid w:val="27842671"/>
    <w:rsid w:val="298021EC"/>
    <w:rsid w:val="29FD04D3"/>
    <w:rsid w:val="2ABE7A3E"/>
    <w:rsid w:val="2CA234A8"/>
    <w:rsid w:val="2D540198"/>
    <w:rsid w:val="2ECA07AA"/>
    <w:rsid w:val="2EFA178C"/>
    <w:rsid w:val="30B46D73"/>
    <w:rsid w:val="319F7F4E"/>
    <w:rsid w:val="3540437B"/>
    <w:rsid w:val="383D272C"/>
    <w:rsid w:val="39AE70AB"/>
    <w:rsid w:val="3AA34D06"/>
    <w:rsid w:val="3C0C0783"/>
    <w:rsid w:val="3F9F3A96"/>
    <w:rsid w:val="45EB3058"/>
    <w:rsid w:val="474A58D1"/>
    <w:rsid w:val="48BF60AB"/>
    <w:rsid w:val="493C27E9"/>
    <w:rsid w:val="496F39ED"/>
    <w:rsid w:val="49FF41D3"/>
    <w:rsid w:val="4BE068DB"/>
    <w:rsid w:val="4BF6002B"/>
    <w:rsid w:val="4ECE2238"/>
    <w:rsid w:val="51DB4B86"/>
    <w:rsid w:val="54636D2A"/>
    <w:rsid w:val="55333C3E"/>
    <w:rsid w:val="5C617A1B"/>
    <w:rsid w:val="60DB4D23"/>
    <w:rsid w:val="64CA39A1"/>
    <w:rsid w:val="67002A3B"/>
    <w:rsid w:val="69630ADE"/>
    <w:rsid w:val="69FA4A72"/>
    <w:rsid w:val="6C4A05C8"/>
    <w:rsid w:val="6CBD20E9"/>
    <w:rsid w:val="6D3B1A89"/>
    <w:rsid w:val="71BF4EC2"/>
    <w:rsid w:val="72734D90"/>
    <w:rsid w:val="7412278C"/>
    <w:rsid w:val="7664464B"/>
    <w:rsid w:val="79E7B28D"/>
    <w:rsid w:val="7D5E0E96"/>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23&#24180;\2022&#24180;&#37096;&#38376;&#20915;&#31639;&#20844;&#24320;\&#21834;&#21895;&#21355;&#29983;&#38498;\&#20570;&#22270;&#24037;&#20855;2022.xls"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G:\2023&#24180;\2022&#24180;&#37096;&#38376;&#20915;&#31639;&#20844;&#24320;\&#21834;&#21895;&#21355;&#29983;&#38498;\&#20570;&#22270;&#24037;&#20855;202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23&#24180;\2022&#24180;&#37096;&#38376;&#20915;&#31639;&#20844;&#24320;\&#21834;&#21895;&#21355;&#29983;&#38498;\&#20570;&#22270;&#24037;&#20855;202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23&#24180;\2022&#24180;&#37096;&#38376;&#20915;&#31639;&#20844;&#24320;\&#21834;&#21895;&#21355;&#29983;&#38498;\&#20570;&#22270;&#24037;&#20855;202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2023&#24180;\2022&#24180;&#37096;&#38376;&#20915;&#31639;&#20844;&#24320;\&#21834;&#21895;&#21355;&#29983;&#38498;\&#20570;&#22270;&#24037;&#20855;2022.xls"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G:\2023&#24180;\2022&#24180;&#37096;&#38376;&#20915;&#31639;&#20844;&#24320;\&#21834;&#21895;&#21355;&#29983;&#38498;\&#20570;&#22270;&#24037;&#20855;202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2023&#24180;\2022&#24180;&#37096;&#38376;&#20915;&#31639;&#20844;&#24320;\&#21834;&#21895;&#21355;&#29983;&#38498;\&#20570;&#22270;&#24037;&#20855;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rPr>
              <a:t>啊喇中心卫生院收、支决算总计变动情况图</a:t>
            </a:r>
            <a:endParaRPr sz="1400" b="0" i="0" u="none" strike="noStrike" baseline="0">
              <a:solidFill>
                <a:srgbClr val="333333">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05274553727856"/>
          <c:y val="0.00694444444444444"/>
        </c:manualLayout>
      </c:layout>
      <c:overlay val="0"/>
      <c:spPr>
        <a:noFill/>
        <a:ln w="3175">
          <a:noFill/>
        </a:ln>
      </c:spPr>
    </c:title>
    <c:autoTitleDeleted val="0"/>
    <c:plotArea>
      <c:layout>
        <c:manualLayout>
          <c:layoutTarget val="inner"/>
          <c:xMode val="edge"/>
          <c:yMode val="edge"/>
          <c:x val="0.1285"/>
          <c:y val="0.1975"/>
          <c:w val="0.8405"/>
          <c:h val="0.443"/>
        </c:manualLayout>
      </c:layout>
      <c:barChart>
        <c:barDir val="col"/>
        <c:grouping val="clustered"/>
        <c:varyColors val="0"/>
        <c:ser>
          <c:idx val="0"/>
          <c:order val="0"/>
          <c:tx>
            <c:strRef>
              <c:f>[做图工具2022.xls]啊喇卫生院2022!$A$6</c:f>
              <c:strCache>
                <c:ptCount val="1"/>
                <c:pt idx="0">
                  <c:v>收、支决算总计</c:v>
                </c:pt>
              </c:strCache>
            </c:strRef>
          </c:tx>
          <c:spPr>
            <a:solidFill>
              <a:srgbClr val="5B9BD5">
                <a:alpha val="100000"/>
              </a:srgbClr>
            </a:solidFill>
            <a:ln w="3175">
              <a:noFill/>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spPr>
              <a:ln w="19050" cap="rnd" cmpd="sng" algn="ctr">
                <a:solidFill>
                  <a:srgbClr val="3366FF">
                    <a:alpha val="100000"/>
                  </a:srgbClr>
                </a:solidFill>
                <a:prstDash val="sysDash"/>
                <a:round/>
              </a:ln>
            </c:spPr>
            <c:trendlineType val="linear"/>
            <c:forward val="0"/>
            <c:backward val="0"/>
            <c:dispRSqr val="0"/>
            <c:dispEq val="0"/>
          </c:trendline>
          <c:cat>
            <c:multiLvlStrRef>
              <c:f>[做图工具2022.xls]啊喇卫生院2022!$B$4:$C$5</c:f>
              <c:multiLvlStrCache>
                <c:ptCount val="2"/>
                <c:lvl>
                  <c:pt idx="0">
                    <c:v>2022年</c:v>
                  </c:pt>
                  <c:pt idx="1">
                    <c:v>2021年</c:v>
                  </c:pt>
                </c:lvl>
                <c:lvl/>
              </c:multiLvlStrCache>
            </c:multiLvlStrRef>
          </c:cat>
          <c:val>
            <c:numRef>
              <c:f>[做图工具2022.xls]啊喇卫生院2022!$B$6:$C$6</c:f>
              <c:numCache>
                <c:formatCode>General</c:formatCode>
                <c:ptCount val="2"/>
                <c:pt idx="0">
                  <c:v>682.64</c:v>
                </c:pt>
                <c:pt idx="1">
                  <c:v>519.31</c:v>
                </c:pt>
              </c:numCache>
            </c:numRef>
          </c:val>
        </c:ser>
        <c:ser>
          <c:idx val="1"/>
          <c:order val="1"/>
          <c:tx>
            <c:strRef>
              <c:f>[做图工具2022.xls]啊喇卫生院2022!$A$7</c:f>
              <c:strCache>
                <c:ptCount val="1"/>
                <c:pt idx="0">
                  <c:v/>
                </c:pt>
              </c:strCache>
            </c:strRef>
          </c:tx>
          <c:spPr>
            <a:solidFill>
              <a:srgbClr val="ED7D31">
                <a:alpha val="100000"/>
              </a:srgbClr>
            </a:solidFill>
            <a:ln w="3175">
              <a:noFill/>
            </a:ln>
          </c:spPr>
          <c:invertIfNegative val="0"/>
          <c:dLbls>
            <c:dLbl>
              <c:idx val="0"/>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w="3175">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trendline>
            <c:spPr>
              <a:ln w="19050" cap="rnd" cmpd="sng" algn="ctr">
                <a:solidFill>
                  <a:srgbClr val="FF6600">
                    <a:alpha val="100000"/>
                  </a:srgbClr>
                </a:solidFill>
                <a:prstDash val="sysDash"/>
                <a:round/>
              </a:ln>
            </c:spPr>
            <c:trendlineType val="linear"/>
            <c:forward val="0"/>
            <c:backward val="0"/>
            <c:dispRSqr val="0"/>
            <c:dispEq val="0"/>
          </c:trendline>
          <c:cat>
            <c:multiLvlStrRef>
              <c:f>[做图工具2022.xls]啊喇卫生院2022!$B$4:$C$5</c:f>
              <c:multiLvlStrCache>
                <c:ptCount val="2"/>
                <c:lvl>
                  <c:pt idx="0">
                    <c:v>2022年</c:v>
                  </c:pt>
                  <c:pt idx="1">
                    <c:v>2021年</c:v>
                  </c:pt>
                </c:lvl>
                <c:lvl/>
              </c:multiLvlStrCache>
            </c:multiLvlStrRef>
          </c:cat>
          <c:val>
            <c:numRef>
              <c:f>[做图工具2022.xls]啊喇卫生院2022!$B$7:$C$7</c:f>
              <c:numCache>
                <c:formatCode>General</c:formatCode>
                <c:ptCount val="2"/>
              </c:numCache>
            </c:numRef>
          </c:val>
        </c:ser>
        <c:dLbls>
          <c:showLegendKey val="0"/>
          <c:showVal val="0"/>
          <c:showCatName val="0"/>
          <c:showSerName val="0"/>
          <c:showPercent val="0"/>
          <c:showBubbleSize val="0"/>
        </c:dLbls>
        <c:gapWidth val="219"/>
        <c:overlap val="-27"/>
        <c:axId val="230520075"/>
        <c:axId val="198321730"/>
      </c:barChart>
      <c:catAx>
        <c:axId val="230520075"/>
        <c:scaling>
          <c:orientation val="minMax"/>
        </c:scaling>
        <c:delete val="0"/>
        <c:axPos val="b"/>
        <c:majorTickMark val="none"/>
        <c:minorTickMark val="none"/>
        <c:tickLblPos val="nextTo"/>
        <c:spPr>
          <a:ln w="3175" cap="flat" cmpd="sng" algn="ctr">
            <a:solidFill>
              <a:srgbClr val="C0C0C0">
                <a:alpha val="100000"/>
              </a:srgbClr>
            </a:solid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198321730"/>
        <c:crosses val="autoZero"/>
        <c:auto val="1"/>
        <c:lblAlgn val="ctr"/>
        <c:lblOffset val="100"/>
        <c:tickLblSkip val="1"/>
        <c:noMultiLvlLbl val="0"/>
      </c:catAx>
      <c:valAx>
        <c:axId val="198321730"/>
        <c:scaling>
          <c:orientation val="minMax"/>
        </c:scaling>
        <c:delete val="0"/>
        <c:axPos val="l"/>
        <c:majorGridlines>
          <c:spPr>
            <a:ln w="3175" cap="flat" cmpd="sng" algn="ctr">
              <a:solidFill>
                <a:srgbClr val="C0C0C0">
                  <a:alpha val="100000"/>
                </a:srgbClr>
              </a:solidFill>
              <a:prstDash val="solid"/>
              <a:round/>
            </a:ln>
          </c:spPr>
        </c:majorGridlines>
        <c:numFmt formatCode="General" sourceLinked="1"/>
        <c:majorTickMark val="none"/>
        <c:minorTickMark val="none"/>
        <c:tickLblPos val="nextTo"/>
        <c:spPr>
          <a:ln w="3175" cap="flat" cmpd="sng" algn="ctr">
            <a:noFill/>
            <a:prstDash val="solid"/>
            <a:round/>
          </a:ln>
        </c:spPr>
        <c:txPr>
          <a:bodyPr rot="-6000000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crossAx val="230520075"/>
        <c:crosses val="autoZero"/>
        <c:crossBetween val="between"/>
      </c:valAx>
      <c:spPr>
        <a:noFill/>
        <a:ln w="3175">
          <a:noFill/>
        </a:ln>
      </c:spPr>
    </c:plotArea>
    <c:legend>
      <c:legendPos val="r"/>
      <c:legendEntry>
        <c:idx val="1"/>
        <c:delete val="1"/>
      </c:legendEntry>
      <c:legendEntry>
        <c:idx val="2"/>
        <c:delete val="1"/>
      </c:legendEntry>
      <c:legendEntry>
        <c:idx val="3"/>
        <c:delete val="1"/>
      </c:legendEntry>
      <c:layout>
        <c:manualLayout>
          <c:xMode val="edge"/>
          <c:yMode val="edge"/>
          <c:x val="0.129"/>
          <c:y val="0.7465"/>
          <c:w val="0.72175"/>
          <c:h val="0.1935"/>
        </c:manualLayout>
      </c:layout>
      <c:overlay val="0"/>
      <c:spPr>
        <a:noFill/>
        <a:ln w="3175">
          <a:noFill/>
        </a:ln>
      </c:spPr>
      <c:txPr>
        <a:bodyPr rot="0" spcFirstLastPara="0" vertOverflow="ellipsis" vert="horz" wrap="square" anchor="ctr" anchorCtr="1"/>
        <a:lstStyle/>
        <a:p>
          <a:pPr>
            <a:defRPr lang="zh-CN" sz="900" b="0" i="0" u="none" strike="noStrike" kern="1200" baseline="0">
              <a:solidFill>
                <a:srgbClr val="333333">
                  <a:alpha val="100000"/>
                </a:srgbClr>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solidFill>
        <a:srgbClr val="C0C0C0">
          <a:alpha val="100000"/>
        </a:srgbClr>
      </a:solid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gradFill>
                <a:gsLst>
                  <a:gs pos="70000">
                    <a:schemeClr val="accent1"/>
                  </a:gs>
                  <a:gs pos="0">
                    <a:schemeClr val="accent1">
                      <a:lumMod val="60000"/>
                      <a:lumOff val="40000"/>
                    </a:schemeClr>
                  </a:gs>
                </a:gsLst>
                <a:lin ang="5400000"/>
              </a:gradFill>
              <a:ln w="19050">
                <a:solidFill>
                  <a:schemeClr val="lt1"/>
                </a:solidFill>
              </a:ln>
              <a:effectLst>
                <a:outerShdw blurRad="63500" sx="102000" sy="102000" algn="ctr" rotWithShape="0">
                  <a:prstClr val="black">
                    <a:alpha val="25000"/>
                  </a:prstClr>
                </a:outerShdw>
              </a:effectLst>
            </c:spPr>
          </c:dPt>
          <c:dPt>
            <c:idx val="1"/>
            <c:bubble3D val="0"/>
            <c:spPr>
              <a:gradFill>
                <a:gsLst>
                  <a:gs pos="70000">
                    <a:schemeClr val="accent2"/>
                  </a:gs>
                  <a:gs pos="0">
                    <a:schemeClr val="accent2">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Pt>
            <c:idx val="2"/>
            <c:bubble3D val="0"/>
            <c:spPr>
              <a:gradFill>
                <a:gsLst>
                  <a:gs pos="70000">
                    <a:schemeClr val="accent3"/>
                  </a:gs>
                  <a:gs pos="0">
                    <a:schemeClr val="accent3">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Lbls>
            <c:dLbl>
              <c:idx val="0"/>
              <c:layout/>
              <c:tx>
                <c:rich>
                  <a:bodyPr rot="0" spcFirstLastPara="0" vertOverflow="ellipsis" vert="horz" wrap="square" lIns="38100" tIns="19050" rIns="38100" bIns="19050" anchor="ctr" anchorCtr="1" forceAA="0"/>
                  <a:lstStyle/>
                  <a:p>
                    <a:pPr defTabSz="914400">
                      <a:defRPr lang="zh-CN" sz="1100" b="0" i="0" u="none" strike="noStrike" kern="1200" baseline="0">
                        <a:solidFill>
                          <a:schemeClr val="bg1"/>
                        </a:solidFill>
                        <a:latin typeface="+mn-lt"/>
                        <a:ea typeface="+mn-ea"/>
                        <a:cs typeface="+mn-cs"/>
                      </a:defRPr>
                    </a:pPr>
                    <a:r>
                      <a:rPr>
                        <a:solidFill>
                          <a:srgbClr val="FF0000"/>
                        </a:solidFill>
                      </a:rPr>
                      <a:t>5</a:t>
                    </a:r>
                    <a:r>
                      <a:rPr lang="en-US" altLang="zh-CN">
                        <a:solidFill>
                          <a:srgbClr val="FF0000"/>
                        </a:solidFill>
                      </a:rPr>
                      <a:t>5.65</a:t>
                    </a:r>
                    <a:r>
                      <a:rPr>
                        <a:solidFill>
                          <a:srgbClr val="FF0000"/>
                        </a:solidFill>
                      </a:rPr>
                      <a:t>%</a:t>
                    </a:r>
                    <a:endParaRPr>
                      <a:solidFill>
                        <a:srgbClr val="FF0000"/>
                      </a:solidFill>
                    </a:endParaRP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manualLayout>
                  <c:x val="-0.0515639385423694"/>
                  <c:y val="-0.0482001325957808"/>
                </c:manualLayout>
              </c:layout>
              <c:tx>
                <c:rich>
                  <a:bodyPr rot="0" spcFirstLastPara="0" vertOverflow="ellipsis" vert="horz" wrap="square" lIns="38100" tIns="19050" rIns="38100" bIns="19050" anchor="ctr" anchorCtr="1" forceAA="0"/>
                  <a:lstStyle/>
                  <a:p>
                    <a:pPr defTabSz="914400">
                      <a:defRPr lang="zh-CN" sz="1100" b="0" i="0" u="none" strike="noStrike" kern="1200" baseline="0">
                        <a:solidFill>
                          <a:srgbClr val="FF0000"/>
                        </a:solidFill>
                        <a:latin typeface="+mn-lt"/>
                        <a:ea typeface="+mn-ea"/>
                        <a:cs typeface="+mn-cs"/>
                      </a:defRPr>
                    </a:pPr>
                    <a:r>
                      <a:rPr>
                        <a:solidFill>
                          <a:srgbClr val="FF0000"/>
                        </a:solidFill>
                      </a:rPr>
                      <a:t>0</a:t>
                    </a:r>
                    <a:r>
                      <a:rPr lang="en-US" altLang="zh-CN">
                        <a:solidFill>
                          <a:srgbClr val="FF0000"/>
                        </a:solidFill>
                      </a:rPr>
                      <a:t>.29</a:t>
                    </a:r>
                    <a:r>
                      <a:rPr>
                        <a:solidFill>
                          <a:srgbClr val="FF0000"/>
                        </a:solidFill>
                      </a:rPr>
                      <a:t>%</a:t>
                    </a:r>
                    <a:endParaRPr>
                      <a:solidFill>
                        <a:srgbClr val="FF0000"/>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100" b="0" i="0" u="none" strike="noStrike" kern="1200" baseline="0">
                      <a:solidFill>
                        <a:srgbClr val="FF0000"/>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forceAA="0"/>
                  <a:lstStyle/>
                  <a:p>
                    <a:pPr defTabSz="914400">
                      <a:defRPr lang="zh-CN" sz="1100" b="0" i="0" u="none" strike="noStrike" kern="1200" baseline="0">
                        <a:solidFill>
                          <a:schemeClr val="bg1"/>
                        </a:solidFill>
                        <a:latin typeface="+mn-lt"/>
                        <a:ea typeface="+mn-ea"/>
                        <a:cs typeface="+mn-cs"/>
                      </a:defRPr>
                    </a:pPr>
                    <a:r>
                      <a:rPr>
                        <a:solidFill>
                          <a:srgbClr val="FF0000"/>
                        </a:solidFill>
                      </a:rPr>
                      <a:t>44</a:t>
                    </a:r>
                    <a:r>
                      <a:rPr lang="en-US" altLang="zh-CN">
                        <a:solidFill>
                          <a:srgbClr val="FF0000"/>
                        </a:solidFill>
                      </a:rPr>
                      <a:t>.06</a:t>
                    </a:r>
                    <a:r>
                      <a:rPr>
                        <a:solidFill>
                          <a:srgbClr val="FF0000"/>
                        </a:solidFill>
                      </a:rPr>
                      <a:t>%</a:t>
                    </a:r>
                    <a:endParaRPr>
                      <a:solidFill>
                        <a:srgbClr val="FF0000"/>
                      </a:solidFill>
                    </a:endParaRPr>
                  </a:p>
                </c:rich>
              </c:tx>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100" b="0" i="0" u="none" strike="noStrike" kern="1200" baseline="0">
                    <a:solidFill>
                      <a:schemeClr val="bg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[做图工具2022.xls]啊喇卫生院2022!$A$17:$A$19</c:f>
              <c:strCache>
                <c:ptCount val="3"/>
                <c:pt idx="0">
                  <c:v>一般公共预算财政拨款收入427.38万元</c:v>
                </c:pt>
                <c:pt idx="1">
                  <c:v>政府性基金预算财政拨款收入</c:v>
                </c:pt>
                <c:pt idx="2">
                  <c:v>事业收入</c:v>
                </c:pt>
              </c:strCache>
            </c:strRef>
          </c:cat>
          <c:val>
            <c:numRef>
              <c:f>[做图工具2022.xls]啊喇卫生院2022!$B$17:$B$19</c:f>
              <c:numCache>
                <c:formatCode>General</c:formatCode>
                <c:ptCount val="3"/>
                <c:pt idx="0">
                  <c:v>379.89</c:v>
                </c:pt>
                <c:pt idx="1">
                  <c:v>2</c:v>
                </c:pt>
                <c:pt idx="2">
                  <c:v>300.75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sz="11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1" i="0" u="none" strike="noStrike" baseline="0">
                        <a:solidFill>
                          <a:schemeClr val="tx1"/>
                        </a:solidFill>
                        <a:latin typeface="宋体" panose="02010600030101010101" charset="-122"/>
                        <a:ea typeface="宋体" panose="02010600030101010101" charset="-122"/>
                        <a:cs typeface="宋体" panose="02010600030101010101" charset="-122"/>
                      </a:rPr>
                      <a:t>59.28</a:t>
                    </a:r>
                    <a:r>
                      <a:rPr sz="900" b="1" i="0" u="none" strike="noStrike" baseline="0">
                        <a:solidFill>
                          <a:schemeClr val="tx1"/>
                        </a:solidFill>
                        <a:latin typeface="宋体" panose="02010600030101010101" charset="-122"/>
                        <a:ea typeface="宋体" panose="02010600030101010101" charset="-122"/>
                        <a:cs typeface="宋体" panose="02010600030101010101" charset="-122"/>
                      </a:rPr>
                      <a:t>%</a:t>
                    </a:r>
                    <a:endParaRPr sz="900" b="1" i="0" u="none" strike="noStrike" baseline="0">
                      <a:solidFill>
                        <a:schemeClr val="tx1"/>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1"/>
              <c:layout>
                <c:manualLayout>
                  <c:x val="0.139070087067497"/>
                  <c:y val="-0.009367859639020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900" b="1" i="0" u="none" strike="noStrike" baseline="0">
                        <a:solidFill>
                          <a:schemeClr val="tx1"/>
                        </a:solidFill>
                        <a:latin typeface="宋体" panose="02010600030101010101" charset="-122"/>
                        <a:ea typeface="宋体" panose="02010600030101010101" charset="-122"/>
                        <a:cs typeface="宋体" panose="02010600030101010101" charset="-122"/>
                      </a:rPr>
                      <a:t>40.72</a:t>
                    </a:r>
                    <a:r>
                      <a:rPr sz="900" b="1" i="0" u="none" strike="noStrike" baseline="0">
                        <a:solidFill>
                          <a:schemeClr val="tx1"/>
                        </a:solidFill>
                        <a:latin typeface="宋体" panose="02010600030101010101" charset="-122"/>
                        <a:ea typeface="宋体" panose="02010600030101010101" charset="-122"/>
                        <a:cs typeface="宋体" panose="02010600030101010101" charset="-122"/>
                      </a:rPr>
                      <a:t>%</a:t>
                    </a:r>
                    <a:endParaRPr sz="900" b="1" i="0" u="none" strike="noStrike" baseline="0">
                      <a:solidFill>
                        <a:schemeClr val="tx1"/>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0987557301899149"/>
                      <c:h val="0.127777777777778"/>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[做图工具2022.xls]啊喇卫生院2022!$A$41:$A$42</c:f>
              <c:strCache>
                <c:ptCount val="2"/>
                <c:pt idx="0">
                  <c:v>基本支出281.24万元</c:v>
                </c:pt>
                <c:pt idx="1">
                  <c:v>项目支出193.16万元</c:v>
                </c:pt>
              </c:strCache>
            </c:strRef>
          </c:cat>
          <c:val>
            <c:numRef>
              <c:f>[做图工具2022.xls]啊喇卫生院2022!$B$41:$B$42</c:f>
              <c:numCache>
                <c:formatCode>General</c:formatCode>
                <c:ptCount val="2"/>
                <c:pt idx="0">
                  <c:v>281.24</c:v>
                </c:pt>
                <c:pt idx="1">
                  <c:v>193.16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[做图工具2022.xls]啊喇卫生院2022!$A$63</c:f>
              <c:strCache>
                <c:ptCount val="1"/>
                <c:pt idx="0">
                  <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[做图工具2022.xls]啊喇卫生院2022!$B$62:$C$62</c:f>
              <c:strCache>
                <c:ptCount val="2"/>
                <c:pt idx="0">
                  <c:v>2021年</c:v>
                </c:pt>
                <c:pt idx="1">
                  <c:v>2022年</c:v>
                </c:pt>
              </c:strCache>
            </c:strRef>
          </c:cat>
          <c:val>
            <c:numRef>
              <c:f>[做图工具2022.xls]啊喇卫生院2022!$B$63:$C$63</c:f>
              <c:numCache>
                <c:formatCode>General</c:formatCode>
                <c:ptCount val="2"/>
                <c:pt idx="0">
                  <c:v>491.05</c:v>
                </c:pt>
                <c:pt idx="1">
                  <c:v>381.89</c:v>
                </c:pt>
              </c:numCache>
            </c:numRef>
          </c:val>
        </c:ser>
        <c:dLbls>
          <c:showLegendKey val="0"/>
          <c:showVal val="0"/>
          <c:showCatName val="0"/>
          <c:showSerName val="0"/>
          <c:showPercent val="0"/>
          <c:showBubbleSize val="0"/>
        </c:dLbls>
        <c:gapWidth val="75"/>
        <c:overlap val="40"/>
        <c:axId val="255769031"/>
        <c:axId val="438919183"/>
      </c:barChart>
      <c:catAx>
        <c:axId val="25576903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919183"/>
        <c:crosses val="autoZero"/>
        <c:auto val="1"/>
        <c:lblAlgn val="ctr"/>
        <c:lblOffset val="100"/>
        <c:noMultiLvlLbl val="0"/>
      </c:catAx>
      <c:valAx>
        <c:axId val="438919183"/>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5769031"/>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[做图工具2022.xls]啊喇卫生院2022!$A$71:$C$72</c:f>
              <c:multiLvlStrCache>
                <c:ptCount val="3"/>
                <c:lvl>
                  <c:pt idx="1">
                    <c:v>2021年</c:v>
                  </c:pt>
                  <c:pt idx="2">
                    <c:v>2022年</c:v>
                  </c:pt>
                </c:lvl>
                <c:lvl>
                  <c:pt idx="0">
                    <c:v>单位：万元</c:v>
                  </c:pt>
                </c:lvl>
              </c:multiLvlStrCache>
            </c:multiLvlStrRef>
          </c:cat>
          <c:val>
            <c:numRef>
              <c:f>[做图工具2022.xls]啊喇卫生院2022!$A$73:$C$73</c:f>
              <c:numCache>
                <c:formatCode>General</c:formatCode>
                <c:ptCount val="3"/>
                <c:pt idx="1">
                  <c:v>489.65</c:v>
                </c:pt>
                <c:pt idx="2">
                  <c:v>379.89</c:v>
                </c:pt>
              </c:numCache>
            </c:numRef>
          </c:val>
        </c:ser>
        <c:dLbls>
          <c:showLegendKey val="0"/>
          <c:showVal val="0"/>
          <c:showCatName val="0"/>
          <c:showSerName val="0"/>
          <c:showPercent val="0"/>
          <c:showBubbleSize val="0"/>
        </c:dLbls>
        <c:gapWidth val="150"/>
        <c:overlap val="-25"/>
        <c:axId val="575390589"/>
        <c:axId val="818366392"/>
      </c:barChart>
      <c:catAx>
        <c:axId val="575390589"/>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8366392"/>
        <c:crosses val="autoZero"/>
        <c:auto val="1"/>
        <c:lblAlgn val="ctr"/>
        <c:lblOffset val="100"/>
        <c:noMultiLvlLbl val="0"/>
      </c:catAx>
      <c:valAx>
        <c:axId val="818366392"/>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595959">
                    <a:alpha val="100000"/>
                  </a:srgbClr>
                </a:solidFill>
                <a:latin typeface="+mn-lt"/>
                <a:ea typeface="+mn-ea"/>
                <a:cs typeface="+mn-cs"/>
              </a:defRPr>
            </a:pPr>
          </a:p>
        </c:txPr>
        <c:crossAx val="5753905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900" b="0" i="0" u="none" strike="noStrike" baseline="0">
                        <a:solidFill>
                          <a:srgbClr val="333333"/>
                        </a:solidFill>
                        <a:latin typeface="宋体" panose="02010600030101010101" charset="-122"/>
                        <a:ea typeface="宋体" panose="02010600030101010101" charset="-122"/>
                        <a:cs typeface="宋体" panose="02010600030101010101" charset="-122"/>
                      </a:rPr>
                      <a:t>4</a:t>
                    </a:r>
                    <a:r>
                      <a:rPr lang="en-US" altLang="zh-CN" sz="9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.3</a:t>
                    </a:r>
                    <a:r>
                      <a:rPr sz="900" b="0" i="0" u="none" strike="noStrike" baseline="0">
                        <a:solidFill>
                          <a:srgbClr val="333333"/>
                        </a:solidFill>
                        <a:latin typeface="宋体" panose="02010600030101010101" charset="-122"/>
                        <a:ea typeface="宋体" panose="02010600030101010101" charset="-122"/>
                        <a:cs typeface="宋体" panose="02010600030101010101" charset="-122"/>
                      </a:rPr>
                      <a:t>%</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900" b="0" i="0" u="none" strike="noStrike" baseline="0">
                        <a:solidFill>
                          <a:srgbClr val="333333"/>
                        </a:solidFill>
                        <a:latin typeface="宋体" panose="02010600030101010101" charset="-122"/>
                        <a:ea typeface="宋体" panose="02010600030101010101" charset="-122"/>
                        <a:cs typeface="宋体" panose="02010600030101010101" charset="-122"/>
                      </a:rPr>
                      <a:t>9</a:t>
                    </a:r>
                    <a:r>
                      <a:rPr lang="en-US" altLang="zh-CN" sz="9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1.5</a:t>
                    </a:r>
                    <a:r>
                      <a:rPr sz="900" b="0" i="0" u="none" strike="noStrike" baseline="0">
                        <a:solidFill>
                          <a:srgbClr val="333333"/>
                        </a:solidFill>
                        <a:latin typeface="宋体" panose="02010600030101010101" charset="-122"/>
                        <a:ea typeface="宋体" panose="02010600030101010101" charset="-122"/>
                        <a:cs typeface="宋体" panose="02010600030101010101" charset="-122"/>
                      </a:rPr>
                      <a:t>%</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900" b="0" i="0" u="none" strike="noStrike" baseline="0">
                        <a:solidFill>
                          <a:srgbClr val="333333"/>
                        </a:solidFill>
                        <a:latin typeface="宋体" panose="02010600030101010101" charset="-122"/>
                        <a:ea typeface="宋体" panose="02010600030101010101" charset="-122"/>
                        <a:cs typeface="宋体" panose="02010600030101010101" charset="-122"/>
                      </a:rPr>
                      <a:t>4</a:t>
                    </a:r>
                    <a:r>
                      <a:rPr lang="en-US" altLang="zh-CN" sz="9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a:t>
                    </a:r>
                    <a:r>
                      <a:rPr sz="900" b="0" i="0" u="none" strike="noStrike" baseline="0">
                        <a:solidFill>
                          <a:srgbClr val="333333"/>
                        </a:solidFill>
                        <a:latin typeface="宋体" panose="02010600030101010101" charset="-122"/>
                        <a:ea typeface="宋体" panose="02010600030101010101" charset="-122"/>
                        <a:cs typeface="宋体" panose="02010600030101010101" charset="-122"/>
                      </a:rPr>
                      <a:t>%</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[做图工具2022.xls]啊喇卫生院2022!$C$92:$C$94</c:f>
              <c:strCache>
                <c:ptCount val="3"/>
                <c:pt idx="0">
                  <c:v>社会保障和就业支出19.52万元</c:v>
                </c:pt>
                <c:pt idx="1">
                  <c:v>卫生健康支出341.02万元</c:v>
                </c:pt>
                <c:pt idx="2">
                  <c:v>住房保障支出19.35万元</c:v>
                </c:pt>
              </c:strCache>
            </c:strRef>
          </c:cat>
          <c:val>
            <c:numRef>
              <c:f>[做图工具2022.xls]啊喇卫生院2022!$D$92:$D$94</c:f>
              <c:numCache>
                <c:formatCode>General</c:formatCode>
                <c:ptCount val="3"/>
                <c:pt idx="0">
                  <c:v>19.52</c:v>
                </c:pt>
                <c:pt idx="1">
                  <c:v>341.02</c:v>
                </c:pt>
                <c:pt idx="2">
                  <c:v>19.35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Lbls>
            <c:delete val="1"/>
          </c:dLbls>
          <c:cat>
            <c:strRef>
              <c:f>[做图工具2022.xls]啊喇卫生院2022!$A$117:$A$119</c:f>
              <c:strCache>
                <c:ptCount val="3"/>
                <c:pt idx="0">
                  <c:v>因公出国（境）</c:v>
                </c:pt>
                <c:pt idx="1">
                  <c:v>公务用车购置及运行维护费</c:v>
                </c:pt>
                <c:pt idx="2">
                  <c:v>公务接待费</c:v>
                </c:pt>
              </c:strCache>
            </c:strRef>
          </c:cat>
          <c:val>
            <c:numRef>
              <c:f>[做图工具2022.xls]啊喇卫生院2022!$B$117:$B$119</c:f>
              <c:numCache>
                <c:formatCode>General</c:formatCode>
                <c:ptCount val="3"/>
                <c:pt idx="0">
                  <c:v>0</c:v>
                </c:pt>
                <c:pt idx="1">
                  <c:v>2.83</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1961979039727"/>
          <c:y val="0.27662037037037"/>
          <c:w val="0.2665"/>
          <c:h val="0.692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201">
    <a:dk1>
      <a:srgbClr val="000000"/>
    </a:dk1>
    <a:lt1>
      <a:srgbClr val="FFFFFF"/>
    </a:lt1>
    <a:dk2>
      <a:srgbClr val="0C0E1F"/>
    </a:dk2>
    <a:lt2>
      <a:srgbClr val="FEFFFF"/>
    </a:lt2>
    <a:accent1>
      <a:srgbClr val="646BFE"/>
    </a:accent1>
    <a:accent2>
      <a:srgbClr val="F64699"/>
    </a:accent2>
    <a:accent3>
      <a:srgbClr val="FFC619"/>
    </a:accent3>
    <a:accent4>
      <a:srgbClr val="16CC8A"/>
    </a:accent4>
    <a:accent5>
      <a:srgbClr val="3CAAF7"/>
    </a:accent5>
    <a:accent6>
      <a:srgbClr val="83D8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6328</Words>
  <Characters>6957</Characters>
  <Lines>61</Lines>
  <Paragraphs>17</Paragraphs>
  <TotalTime>10</TotalTime>
  <ScaleCrop>false</ScaleCrop>
  <LinksUpToDate>false</LinksUpToDate>
  <CharactersWithSpaces>7046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我愿自生自灭</cp:lastModifiedBy>
  <cp:lastPrinted>2023-10-08T07:31:04Z</cp:lastPrinted>
  <dcterms:modified xsi:type="dcterms:W3CDTF">2023-10-08T07:37:25Z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71EE3DBB51F14AA48B2A84F43DBE2EBB_12</vt:lpwstr>
  </property>
</Properties>
</file>