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77425"/>
      <w:bookmarkStart w:id="3" w:name="_Toc15377193"/>
      <w:bookmarkStart w:id="4" w:name="_Toc15378441"/>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426"/>
      <w:bookmarkStart w:id="7" w:name="_Toc15306268"/>
      <w:bookmarkStart w:id="8" w:name="_Toc15396598"/>
      <w:bookmarkStart w:id="9" w:name="_Toc15378442"/>
      <w:bookmarkStart w:id="10" w:name="_Toc15396476"/>
      <w:bookmarkStart w:id="11" w:name="_Toc15377194"/>
      <w:r>
        <w:rPr>
          <w:rFonts w:hint="eastAsia" w:ascii="方正小标宋简体" w:hAnsi="方正小标宋简体" w:eastAsia="方正小标宋简体" w:cs="方正小标宋简体"/>
          <w:color w:val="auto"/>
          <w:sz w:val="72"/>
          <w:szCs w:val="72"/>
          <w:highlight w:val="none"/>
          <w:lang w:val="en-US" w:eastAsia="zh-CN"/>
        </w:rPr>
        <w:t xml:space="preserve"> </w:t>
      </w:r>
      <w:r>
        <w:rPr>
          <w:rFonts w:hint="eastAsia" w:ascii="方正小标宋简体" w:hAnsi="方正小标宋简体" w:eastAsia="方正小标宋简体" w:cs="方正小标宋简体"/>
          <w:color w:val="auto"/>
          <w:sz w:val="72"/>
          <w:szCs w:val="72"/>
          <w:highlight w:val="none"/>
          <w:lang w:eastAsia="zh-CN"/>
        </w:rPr>
        <w:t>仁和区前进镇卫生院</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单位公开</w:t>
      </w:r>
      <w:r>
        <w:rPr>
          <w:rFonts w:hint="eastAsia" w:ascii="方正小标宋简体" w:hAnsi="宋体" w:eastAsia="方正小标宋简体"/>
          <w:color w:val="auto"/>
          <w:sz w:val="52"/>
          <w:szCs w:val="52"/>
          <w:highlight w:val="none"/>
        </w:rPr>
        <w:t>范本)</w:t>
      </w: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10 </w:t>
      </w:r>
      <w:r>
        <w:rPr>
          <w:rFonts w:hint="eastAsia"/>
          <w:color w:val="auto"/>
          <w:highlight w:val="none"/>
        </w:rPr>
        <w:t>月</w:t>
      </w:r>
      <w:r>
        <w:rPr>
          <w:rFonts w:hint="eastAsia"/>
          <w:color w:val="auto"/>
          <w:highlight w:val="none"/>
          <w:lang w:val="en-US" w:eastAsia="zh-CN"/>
        </w:rPr>
        <w:t>9</w:t>
      </w:r>
      <w:bookmarkStart w:id="64" w:name="_GoBack"/>
      <w:bookmarkEnd w:id="64"/>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color w:val="auto"/>
          <w:sz w:val="24"/>
          <w:highlight w:val="none"/>
          <w:lang w:val="en-US" w:eastAsia="zh-CN"/>
        </w:rPr>
        <w:t>............................................4</w:t>
      </w:r>
    </w:p>
    <w:p>
      <w:pPr>
        <w:pStyle w:val="11"/>
        <w:adjustRightInd w:val="0"/>
        <w:snapToGrid w:val="0"/>
        <w:spacing w:line="440" w:lineRule="exact"/>
        <w:jc w:val="left"/>
        <w:rPr>
          <w:rFonts w:hint="eastAsia" w:ascii="仿宋" w:hAnsi="仿宋" w:eastAsia="仿宋" w:cs="Times New Roman"/>
          <w:color w:val="auto"/>
          <w:kern w:val="2"/>
          <w:sz w:val="24"/>
          <w:szCs w:val="28"/>
          <w:highlight w:val="none"/>
          <w:lang w:val="en-US" w:eastAsia="zh-CN" w:bidi="ar-SA"/>
        </w:rPr>
      </w:pPr>
      <w:r>
        <w:rPr>
          <w:rFonts w:hint="eastAsia"/>
          <w:color w:val="auto"/>
          <w:sz w:val="24"/>
          <w:highlight w:val="none"/>
        </w:rPr>
        <w:t>一、</w:t>
      </w:r>
      <w:r>
        <w:rPr>
          <w:rFonts w:hint="eastAsia"/>
          <w:color w:val="auto"/>
          <w:sz w:val="24"/>
          <w:highlight w:val="none"/>
          <w:lang w:eastAsia="zh-CN"/>
        </w:rPr>
        <w:t>主要职责</w:t>
      </w:r>
      <w:r>
        <w:rPr>
          <w:rFonts w:hint="eastAsia" w:ascii="仿宋" w:hAnsi="仿宋" w:eastAsia="仿宋" w:cs="Times New Roman"/>
          <w:color w:val="auto"/>
          <w:kern w:val="2"/>
          <w:sz w:val="24"/>
          <w:szCs w:val="28"/>
          <w:highlight w:val="none"/>
          <w:lang w:val="en-US" w:eastAsia="zh-CN" w:bidi="ar-SA"/>
        </w:rPr>
        <w:t>..............................................4</w:t>
      </w:r>
    </w:p>
    <w:p>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ascii="仿宋" w:hAnsi="仿宋" w:eastAsia="仿宋" w:cs="Times New Roman"/>
          <w:color w:val="auto"/>
          <w:kern w:val="2"/>
          <w:sz w:val="24"/>
          <w:szCs w:val="28"/>
          <w:highlight w:val="none"/>
          <w:lang w:val="en-US" w:eastAsia="zh-CN" w:bidi="ar-SA"/>
        </w:rPr>
        <w:t>..............................................6</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hint="eastAsia" w:ascii="仿宋" w:hAnsi="仿宋" w:eastAsia="仿宋" w:cs="Times New Roman"/>
          <w:color w:val="auto"/>
          <w:kern w:val="2"/>
          <w:sz w:val="24"/>
          <w:szCs w:val="28"/>
          <w:highlight w:val="none"/>
          <w:lang w:val="en-US" w:eastAsia="zh-CN" w:bidi="ar-SA"/>
        </w:rPr>
        <w:t>............................</w:t>
      </w:r>
      <w:r>
        <w:rPr>
          <w:rFonts w:hint="eastAsia" w:cs="Times New Roman"/>
          <w:color w:val="auto"/>
          <w:kern w:val="2"/>
          <w:sz w:val="24"/>
          <w:szCs w:val="28"/>
          <w:highlight w:val="none"/>
          <w:lang w:val="en-US" w:eastAsia="zh-CN" w:bidi="ar-SA"/>
        </w:rPr>
        <w:t>7</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r>
        <w:rPr>
          <w:rFonts w:hint="eastAsia" w:ascii="仿宋" w:hAnsi="仿宋" w:eastAsia="仿宋" w:cs="Times New Roman"/>
          <w:color w:val="auto"/>
          <w:kern w:val="2"/>
          <w:sz w:val="24"/>
          <w:szCs w:val="28"/>
          <w:highlight w:val="none"/>
          <w:lang w:val="en-US" w:eastAsia="zh-CN" w:bidi="ar-SA"/>
        </w:rPr>
        <w:t>..............................7</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r>
        <w:rPr>
          <w:rFonts w:hint="eastAsia" w:ascii="仿宋" w:hAnsi="仿宋" w:eastAsia="仿宋" w:cs="Times New Roman"/>
          <w:color w:val="auto"/>
          <w:kern w:val="2"/>
          <w:sz w:val="24"/>
          <w:szCs w:val="28"/>
          <w:highlight w:val="none"/>
          <w:lang w:val="en-US" w:eastAsia="zh-CN" w:bidi="ar-SA"/>
        </w:rPr>
        <w:t>......................................7</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r>
        <w:rPr>
          <w:rFonts w:hint="eastAsia" w:ascii="仿宋" w:hAnsi="仿宋" w:eastAsia="仿宋" w:cs="Times New Roman"/>
          <w:color w:val="auto"/>
          <w:kern w:val="2"/>
          <w:sz w:val="24"/>
          <w:szCs w:val="28"/>
          <w:highlight w:val="none"/>
          <w:lang w:val="en-US" w:eastAsia="zh-CN" w:bidi="ar-SA"/>
        </w:rPr>
        <w:t>......................................8</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r>
        <w:rPr>
          <w:rFonts w:hint="eastAsia" w:ascii="仿宋" w:hAnsi="仿宋" w:eastAsia="仿宋" w:cs="Times New Roman"/>
          <w:color w:val="auto"/>
          <w:kern w:val="2"/>
          <w:sz w:val="24"/>
          <w:szCs w:val="28"/>
          <w:highlight w:val="none"/>
          <w:lang w:val="en-US" w:eastAsia="zh-CN" w:bidi="ar-SA"/>
        </w:rPr>
        <w:t>......................9</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r>
        <w:rPr>
          <w:rFonts w:hint="eastAsia" w:ascii="仿宋" w:hAnsi="仿宋" w:eastAsia="仿宋" w:cs="Times New Roman"/>
          <w:color w:val="auto"/>
          <w:kern w:val="2"/>
          <w:sz w:val="24"/>
          <w:szCs w:val="28"/>
          <w:highlight w:val="none"/>
          <w:lang w:val="en-US" w:eastAsia="zh-CN" w:bidi="ar-SA"/>
        </w:rPr>
        <w:t>..................9</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六、一般公共预算财政拨款基本支出决算情况说明</w:t>
      </w:r>
      <w:r>
        <w:rPr>
          <w:rFonts w:hint="eastAsia" w:ascii="仿宋" w:hAnsi="仿宋" w:eastAsia="仿宋" w:cs="Times New Roman"/>
          <w:color w:val="auto"/>
          <w:kern w:val="2"/>
          <w:sz w:val="24"/>
          <w:szCs w:val="28"/>
          <w:highlight w:val="none"/>
          <w:lang w:val="en-US" w:eastAsia="zh-CN" w:bidi="ar-SA"/>
        </w:rPr>
        <w:t>.............13</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ascii="仿宋" w:hAnsi="仿宋" w:eastAsia="仿宋" w:cs="Times New Roman"/>
          <w:color w:val="auto"/>
          <w:kern w:val="2"/>
          <w:sz w:val="24"/>
          <w:szCs w:val="28"/>
          <w:highlight w:val="none"/>
          <w:lang w:val="en-US" w:eastAsia="zh-CN" w:bidi="ar-SA"/>
        </w:rPr>
        <w:t>.................14</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八、政府性基金预算支出决算情况说明</w:t>
      </w:r>
      <w:r>
        <w:rPr>
          <w:rFonts w:hint="eastAsia" w:ascii="仿宋" w:hAnsi="仿宋" w:eastAsia="仿宋" w:cs="Times New Roman"/>
          <w:color w:val="auto"/>
          <w:kern w:val="2"/>
          <w:sz w:val="24"/>
          <w:szCs w:val="28"/>
          <w:highlight w:val="none"/>
          <w:lang w:val="en-US" w:eastAsia="zh-CN" w:bidi="ar-SA"/>
        </w:rPr>
        <w:t>.......................16</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r>
        <w:rPr>
          <w:rFonts w:hint="eastAsia" w:ascii="仿宋" w:hAnsi="仿宋" w:eastAsia="仿宋" w:cs="Times New Roman"/>
          <w:color w:val="auto"/>
          <w:kern w:val="2"/>
          <w:sz w:val="24"/>
          <w:szCs w:val="28"/>
          <w:highlight w:val="none"/>
          <w:lang w:val="en-US" w:eastAsia="zh-CN" w:bidi="ar-SA"/>
        </w:rPr>
        <w:t>.....................16</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r>
        <w:rPr>
          <w:rFonts w:hint="eastAsia" w:ascii="仿宋" w:hAnsi="仿宋" w:eastAsia="仿宋" w:cs="Times New Roman"/>
          <w:color w:val="auto"/>
          <w:kern w:val="2"/>
          <w:sz w:val="24"/>
          <w:szCs w:val="28"/>
          <w:highlight w:val="none"/>
          <w:lang w:val="en-US" w:eastAsia="zh-CN" w:bidi="ar-SA"/>
        </w:rPr>
        <w:t>...............................16</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ascii="仿宋" w:hAnsi="仿宋" w:eastAsia="仿宋" w:cs="Times New Roman"/>
          <w:color w:val="auto"/>
          <w:kern w:val="2"/>
          <w:sz w:val="24"/>
          <w:szCs w:val="28"/>
          <w:highlight w:val="none"/>
          <w:lang w:val="en-US" w:eastAsia="zh-CN" w:bidi="ar-SA"/>
        </w:rPr>
        <w:t>........</w:t>
      </w:r>
      <w:r>
        <w:rPr>
          <w:rFonts w:hint="eastAsia" w:cs="Times New Roman"/>
          <w:color w:val="auto"/>
          <w:kern w:val="2"/>
          <w:sz w:val="24"/>
          <w:szCs w:val="28"/>
          <w:highlight w:val="none"/>
          <w:lang w:val="en-US" w:eastAsia="zh-CN" w:bidi="ar-SA"/>
        </w:rPr>
        <w:t>.............</w:t>
      </w:r>
      <w:r>
        <w:rPr>
          <w:rFonts w:hint="eastAsia" w:ascii="仿宋" w:hAnsi="仿宋" w:eastAsia="仿宋" w:cs="Times New Roman"/>
          <w:color w:val="auto"/>
          <w:kern w:val="2"/>
          <w:sz w:val="24"/>
          <w:szCs w:val="28"/>
          <w:highlight w:val="none"/>
          <w:lang w:val="en-US" w:eastAsia="zh-CN" w:bidi="ar-SA"/>
        </w:rPr>
        <w:t>.......................</w:t>
      </w:r>
      <w:r>
        <w:rPr>
          <w:rFonts w:hint="eastAsia"/>
          <w:color w:val="auto"/>
          <w:sz w:val="24"/>
          <w:highlight w:val="none"/>
          <w:lang w:val="en-US" w:eastAsia="zh-CN"/>
        </w:rPr>
        <w:t>18</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仿宋" w:hAnsi="仿宋" w:eastAsia="仿宋" w:cs="Times New Roman"/>
          <w:color w:val="auto"/>
          <w:kern w:val="2"/>
          <w:sz w:val="24"/>
          <w:szCs w:val="28"/>
          <w:highlight w:val="none"/>
          <w:lang w:val="en-US" w:eastAsia="zh-CN" w:bidi="ar-SA"/>
        </w:rPr>
        <w:t>........</w:t>
      </w:r>
      <w:r>
        <w:rPr>
          <w:rFonts w:hint="eastAsia" w:cs="Times New Roman"/>
          <w:color w:val="auto"/>
          <w:kern w:val="2"/>
          <w:sz w:val="24"/>
          <w:szCs w:val="28"/>
          <w:highlight w:val="none"/>
          <w:lang w:val="en-US" w:eastAsia="zh-CN" w:bidi="ar-SA"/>
        </w:rPr>
        <w:t>.............</w:t>
      </w:r>
      <w:r>
        <w:rPr>
          <w:rFonts w:hint="eastAsia" w:ascii="仿宋" w:hAnsi="仿宋" w:eastAsia="仿宋" w:cs="Times New Roman"/>
          <w:color w:val="auto"/>
          <w:kern w:val="2"/>
          <w:sz w:val="24"/>
          <w:szCs w:val="28"/>
          <w:highlight w:val="none"/>
          <w:lang w:val="en-US" w:eastAsia="zh-CN" w:bidi="ar-SA"/>
        </w:rPr>
        <w:t>.......................</w:t>
      </w:r>
      <w:r>
        <w:rPr>
          <w:rFonts w:hint="eastAsia" w:cs="Times New Roman"/>
          <w:color w:val="auto"/>
          <w:kern w:val="2"/>
          <w:sz w:val="24"/>
          <w:szCs w:val="28"/>
          <w:highlight w:val="none"/>
          <w:lang w:val="en-US" w:eastAsia="zh-CN" w:bidi="ar-SA"/>
        </w:rPr>
        <w:t>....</w:t>
      </w:r>
      <w:r>
        <w:rPr>
          <w:rFonts w:hint="eastAsia"/>
          <w:color w:val="auto"/>
          <w:sz w:val="24"/>
          <w:highlight w:val="none"/>
          <w:lang w:val="en-US" w:eastAsia="zh-CN"/>
        </w:rPr>
        <w:t>21</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ascii="仿宋" w:hAnsi="仿宋" w:eastAsia="仿宋" w:cs="Times New Roman"/>
          <w:color w:val="auto"/>
          <w:kern w:val="2"/>
          <w:sz w:val="24"/>
          <w:szCs w:val="28"/>
          <w:highlight w:val="none"/>
          <w:lang w:val="en-US" w:eastAsia="zh-CN" w:bidi="ar-SA"/>
        </w:rPr>
        <w:t>........</w:t>
      </w:r>
      <w:r>
        <w:rPr>
          <w:rFonts w:hint="eastAsia" w:cs="Times New Roman"/>
          <w:color w:val="auto"/>
          <w:kern w:val="2"/>
          <w:sz w:val="24"/>
          <w:szCs w:val="28"/>
          <w:highlight w:val="none"/>
          <w:lang w:val="en-US" w:eastAsia="zh-CN" w:bidi="ar-SA"/>
        </w:rPr>
        <w:t>.............</w:t>
      </w:r>
      <w:r>
        <w:rPr>
          <w:rFonts w:hint="eastAsia" w:ascii="仿宋" w:hAnsi="仿宋" w:eastAsia="仿宋" w:cs="Times New Roman"/>
          <w:color w:val="auto"/>
          <w:kern w:val="2"/>
          <w:sz w:val="24"/>
          <w:szCs w:val="28"/>
          <w:highlight w:val="none"/>
          <w:lang w:val="en-US" w:eastAsia="zh-CN" w:bidi="ar-SA"/>
        </w:rPr>
        <w:t>.......................</w:t>
      </w:r>
      <w:r>
        <w:rPr>
          <w:rFonts w:hint="eastAsia" w:cs="Times New Roman"/>
          <w:color w:val="auto"/>
          <w:kern w:val="2"/>
          <w:sz w:val="24"/>
          <w:szCs w:val="28"/>
          <w:highlight w:val="none"/>
          <w:lang w:val="en-US" w:eastAsia="zh-CN" w:bidi="ar-SA"/>
        </w:rPr>
        <w:t>....</w:t>
      </w:r>
      <w:r>
        <w:rPr>
          <w:rFonts w:hint="eastAsia"/>
          <w:color w:val="auto"/>
          <w:sz w:val="24"/>
          <w:highlight w:val="none"/>
          <w:lang w:val="en-US" w:eastAsia="zh-CN"/>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r>
        <w:rPr>
          <w:rFonts w:hint="eastAsia" w:ascii="仿宋" w:hAnsi="仿宋" w:eastAsia="仿宋" w:cs="Times New Roman"/>
          <w:color w:val="auto"/>
          <w:kern w:val="2"/>
          <w:sz w:val="24"/>
          <w:szCs w:val="28"/>
          <w:highlight w:val="none"/>
          <w:lang w:val="en-US" w:eastAsia="zh-CN" w:bidi="ar-SA"/>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r>
        <w:rPr>
          <w:rFonts w:hint="eastAsia" w:ascii="仿宋" w:hAnsi="仿宋" w:eastAsia="仿宋" w:cs="Times New Roman"/>
          <w:color w:val="auto"/>
          <w:kern w:val="2"/>
          <w:sz w:val="24"/>
          <w:szCs w:val="28"/>
          <w:highlight w:val="none"/>
          <w:lang w:val="en-US" w:eastAsia="zh-CN" w:bidi="ar-SA"/>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r>
        <w:rPr>
          <w:rFonts w:hint="eastAsia" w:ascii="仿宋" w:hAnsi="仿宋" w:eastAsia="仿宋" w:cs="Times New Roman"/>
          <w:color w:val="auto"/>
          <w:kern w:val="2"/>
          <w:sz w:val="24"/>
          <w:szCs w:val="28"/>
          <w:highlight w:val="none"/>
          <w:lang w:val="en-US" w:eastAsia="zh-CN" w:bidi="ar-SA"/>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r>
        <w:rPr>
          <w:rFonts w:hint="eastAsia" w:ascii="仿宋" w:hAnsi="仿宋" w:eastAsia="仿宋" w:cs="Times New Roman"/>
          <w:color w:val="auto"/>
          <w:kern w:val="2"/>
          <w:sz w:val="24"/>
          <w:szCs w:val="28"/>
          <w:highlight w:val="none"/>
          <w:lang w:val="en-US" w:eastAsia="zh-CN" w:bidi="ar-SA"/>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r>
        <w:rPr>
          <w:rFonts w:hint="eastAsia" w:ascii="仿宋" w:hAnsi="仿宋" w:eastAsia="仿宋" w:cs="Times New Roman"/>
          <w:color w:val="auto"/>
          <w:kern w:val="2"/>
          <w:sz w:val="24"/>
          <w:szCs w:val="28"/>
          <w:highlight w:val="none"/>
          <w:lang w:val="en-US" w:eastAsia="zh-CN" w:bidi="ar-SA"/>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r>
        <w:rPr>
          <w:rFonts w:hint="eastAsia" w:ascii="仿宋" w:hAnsi="仿宋" w:eastAsia="仿宋" w:cs="Times New Roman"/>
          <w:color w:val="auto"/>
          <w:kern w:val="2"/>
          <w:sz w:val="24"/>
          <w:szCs w:val="28"/>
          <w:highlight w:val="none"/>
          <w:lang w:val="en-US" w:eastAsia="zh-CN" w:bidi="ar-SA"/>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r>
        <w:rPr>
          <w:rFonts w:hint="eastAsia" w:ascii="仿宋" w:hAnsi="仿宋" w:eastAsia="仿宋" w:cs="Times New Roman"/>
          <w:color w:val="auto"/>
          <w:kern w:val="2"/>
          <w:sz w:val="24"/>
          <w:szCs w:val="28"/>
          <w:highlight w:val="none"/>
          <w:lang w:val="en-US" w:eastAsia="zh-CN" w:bidi="ar-SA"/>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ascii="仿宋" w:hAnsi="仿宋" w:eastAsia="仿宋" w:cs="Times New Roman"/>
          <w:color w:val="auto"/>
          <w:kern w:val="2"/>
          <w:sz w:val="24"/>
          <w:szCs w:val="28"/>
          <w:highlight w:val="none"/>
          <w:lang w:val="en-US" w:eastAsia="zh-CN" w:bidi="ar-SA"/>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r>
        <w:rPr>
          <w:rFonts w:hint="eastAsia" w:ascii="仿宋" w:hAnsi="仿宋" w:eastAsia="仿宋" w:cs="Times New Roman"/>
          <w:color w:val="auto"/>
          <w:kern w:val="2"/>
          <w:sz w:val="24"/>
          <w:szCs w:val="28"/>
          <w:highlight w:val="none"/>
          <w:lang w:val="en-US" w:eastAsia="zh-CN" w:bidi="ar-SA"/>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r>
        <w:rPr>
          <w:rFonts w:hint="eastAsia" w:ascii="仿宋" w:hAnsi="仿宋" w:eastAsia="仿宋" w:cs="Times New Roman"/>
          <w:color w:val="auto"/>
          <w:kern w:val="2"/>
          <w:sz w:val="24"/>
          <w:szCs w:val="28"/>
          <w:highlight w:val="none"/>
          <w:lang w:val="en-US" w:eastAsia="zh-CN" w:bidi="ar-SA"/>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r>
        <w:rPr>
          <w:rFonts w:hint="eastAsia" w:ascii="仿宋" w:hAnsi="仿宋" w:eastAsia="仿宋" w:cs="Times New Roman"/>
          <w:color w:val="auto"/>
          <w:kern w:val="2"/>
          <w:sz w:val="24"/>
          <w:szCs w:val="28"/>
          <w:highlight w:val="none"/>
          <w:lang w:val="en-US" w:eastAsia="zh-CN" w:bidi="ar-SA"/>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hint="eastAsia" w:ascii="仿宋" w:hAnsi="仿宋" w:eastAsia="仿宋" w:cs="Times New Roman"/>
          <w:color w:val="auto"/>
          <w:kern w:val="2"/>
          <w:sz w:val="24"/>
          <w:szCs w:val="28"/>
          <w:highlight w:val="none"/>
          <w:lang w:val="en-US" w:eastAsia="zh-CN" w:bidi="ar-SA"/>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r>
        <w:rPr>
          <w:rFonts w:hint="eastAsia" w:ascii="仿宋" w:hAnsi="仿宋" w:eastAsia="仿宋" w:cs="Times New Roman"/>
          <w:color w:val="auto"/>
          <w:kern w:val="2"/>
          <w:sz w:val="24"/>
          <w:szCs w:val="28"/>
          <w:highlight w:val="none"/>
          <w:lang w:val="en-US" w:eastAsia="zh-CN" w:bidi="ar-SA"/>
        </w:rPr>
        <w:t>....................22</w:t>
      </w:r>
    </w:p>
    <w:p>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w:t>
      </w:r>
      <w:r>
        <w:rPr>
          <w:rFonts w:hint="eastAsia" w:ascii="仿宋" w:hAnsi="仿宋" w:eastAsia="仿宋"/>
          <w:color w:val="auto"/>
          <w:sz w:val="24"/>
          <w:highlight w:val="none"/>
          <w:lang w:eastAsia="zh-CN"/>
        </w:rPr>
        <w:t>单位</w:t>
      </w:r>
      <w:r>
        <w:rPr>
          <w:rFonts w:hint="eastAsia" w:ascii="仿宋" w:hAnsi="仿宋" w:eastAsia="仿宋"/>
          <w:color w:val="auto"/>
          <w:sz w:val="24"/>
          <w:highlight w:val="none"/>
        </w:rPr>
        <w:t>根据实际注明页码</w:t>
      </w:r>
      <w:r>
        <w:rPr>
          <w:rFonts w:ascii="仿宋" w:hAnsi="仿宋" w:eastAsia="仿宋"/>
          <w:color w:val="auto"/>
          <w:sz w:val="24"/>
          <w:highlight w:val="none"/>
        </w:rPr>
        <w:t>)</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6"/>
          <w:rFonts w:hint="eastAsia" w:ascii="黑体" w:hAnsi="黑体" w:eastAsia="黑体"/>
          <w:b w:val="0"/>
          <w:bCs w:val="0"/>
          <w:color w:val="auto"/>
          <w:highlight w:val="none"/>
          <w:lang w:eastAsia="zh-CN"/>
        </w:rPr>
      </w:pPr>
      <w:bookmarkStart w:id="14" w:name="_Toc15396600"/>
      <w:bookmarkStart w:id="15" w:name="_Toc15377197"/>
      <w:r>
        <w:rPr>
          <w:rStyle w:val="26"/>
          <w:rFonts w:hint="eastAsia" w:ascii="黑体" w:hAnsi="黑体" w:eastAsia="黑体"/>
          <w:b w:val="0"/>
          <w:bCs w:val="0"/>
          <w:color w:val="auto"/>
          <w:highlight w:val="none"/>
          <w:lang w:eastAsia="zh-CN"/>
        </w:rPr>
        <w:t>主要职责</w:t>
      </w:r>
    </w:p>
    <w:p>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我单位共有编制床位数10张，主要承担辖区居民的基本医疗和公共卫生服务任务：</w:t>
      </w:r>
    </w:p>
    <w:p>
      <w:pPr>
        <w:pStyle w:val="12"/>
        <w:widowControl/>
        <w:shd w:val="clear" w:color="auto" w:fill="FFFFFF"/>
        <w:spacing w:before="0" w:beforeAutospacing="0" w:after="0" w:afterAutospacing="0" w:line="520" w:lineRule="exact"/>
        <w:ind w:firstLine="640" w:firstLineChars="20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提供基本医疗服务，开展农村常见病、多发病以及诊断明确的慢性非传染性疾病的诊疗、护理。全面建立覆盖全乡居民的基本医疗卫生服务制度，使全乡居民人人享有基本医疗保障，人人享有基本公共卫生服务，医疗卫生服务质量、服务效率和群众满意度显著提高，切实解决看病难问题;</w:t>
      </w:r>
    </w:p>
    <w:p>
      <w:pPr>
        <w:pStyle w:val="12"/>
        <w:widowControl/>
        <w:shd w:val="clear" w:color="auto" w:fill="FFFFFF"/>
        <w:spacing w:before="0" w:beforeAutospacing="0" w:after="0" w:afterAutospacing="0" w:line="520" w:lineRule="exact"/>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    （2）基本建立分工明确、信息互通、资源共享、协调互动的公共卫生服务体系，促进全乡居民享有均等化的基本公共卫生服务;</w:t>
      </w:r>
    </w:p>
    <w:p>
      <w:pPr>
        <w:pStyle w:val="12"/>
        <w:widowControl/>
        <w:shd w:val="clear" w:color="auto" w:fill="FFFFFF"/>
        <w:spacing w:before="0" w:beforeAutospacing="0" w:after="0" w:afterAutospacing="0" w:line="520" w:lineRule="exact"/>
        <w:ind w:firstLine="64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（3）基本建立规范有序、结构合理、覆盖全乡的医疗服务体系，为群众提供安全、有效、方便、价廉的基本医疗服务;</w:t>
      </w:r>
    </w:p>
    <w:p>
      <w:pPr>
        <w:tabs>
          <w:tab w:val="left" w:pos="892"/>
        </w:tabs>
        <w:ind w:firstLine="640" w:firstLineChars="200"/>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4）贯彻落实国家基本药物制度，全面配备、使用基本药物；实行网上统一采购，实施基本药物零差价销售，统一配送的基本药物采购机制。以国家基本药物制度为基础的药品器械供应保障体系进一步规范，确保基本药物安全有效、公平可及、合理使用;</w:t>
      </w:r>
    </w:p>
    <w:p>
      <w:pPr>
        <w:pStyle w:val="12"/>
        <w:widowControl/>
        <w:shd w:val="clear" w:color="auto" w:fill="FFFFFF"/>
        <w:spacing w:before="0" w:beforeAutospacing="0" w:after="0" w:afterAutospacing="0" w:line="520" w:lineRule="exact"/>
        <w:ind w:firstLine="64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（5）建立健全支撑卫生事业全面、协调、可持续发展的各项体制机制，有效保障医药卫生体系规范运行;</w:t>
      </w:r>
    </w:p>
    <w:p>
      <w:pPr>
        <w:pStyle w:val="12"/>
        <w:widowControl/>
        <w:shd w:val="clear" w:color="auto" w:fill="FFFFFF"/>
        <w:spacing w:before="0" w:beforeAutospacing="0" w:after="0" w:afterAutospacing="0" w:line="520" w:lineRule="exact"/>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    （6）我院将以热情、细致、扎实、认真的服务态度，努力探索仁和区阳光康养服务及老年人医养服务相结合的新模式，探索更好的服务方式，为辖区签约老年人服好务，进一步提高医养工作服务质量;</w:t>
      </w:r>
    </w:p>
    <w:p>
      <w:pPr>
        <w:pStyle w:val="12"/>
        <w:widowControl/>
        <w:shd w:val="clear" w:color="auto" w:fill="FFFFFF"/>
        <w:spacing w:before="0" w:beforeAutospacing="0" w:after="0" w:afterAutospacing="0" w:line="520" w:lineRule="exact"/>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    （7）全力巩固群众满意乡镇卫生院成果，创建以人为本的卫生院文化，实现和谐的人文特色办院方向;</w:t>
      </w:r>
    </w:p>
    <w:p>
      <w:pPr>
        <w:pStyle w:val="12"/>
        <w:widowControl/>
        <w:shd w:val="clear" w:color="auto" w:fill="FFFFFF"/>
        <w:spacing w:before="0" w:beforeAutospacing="0" w:after="0" w:afterAutospacing="0" w:line="520" w:lineRule="exact"/>
        <w:ind w:firstLine="64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（8）培养一支留得住、用得上、满足群众健康需求、技术过硬的基础医疗卫生队伍。</w:t>
      </w:r>
    </w:p>
    <w:p>
      <w:pPr>
        <w:pStyle w:val="12"/>
        <w:widowControl/>
        <w:shd w:val="clear" w:color="auto" w:fill="FFFFFF"/>
        <w:spacing w:before="0" w:beforeAutospacing="0" w:after="0" w:afterAutospacing="0" w:line="520" w:lineRule="exact"/>
        <w:ind w:firstLine="64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（9）作为医保定点医院配合医保中心做好医保报销工作。</w:t>
      </w:r>
    </w:p>
    <w:p>
      <w:pPr>
        <w:pStyle w:val="12"/>
        <w:widowControl/>
        <w:shd w:val="clear" w:color="auto" w:fill="FFFFFF"/>
        <w:spacing w:before="0" w:beforeAutospacing="0" w:after="0" w:afterAutospacing="0" w:line="520" w:lineRule="exact"/>
        <w:ind w:firstLine="640"/>
        <w:jc w:val="both"/>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(10)根据四川省应对新型冠状病毒肺炎疫情应急指挥部要求，完成相关工作。组织全院职工认真学习疫情防控相关政策、工作流程。对辖区居民进行防控知识政策宣传、指导，预检分诊工作时，详细询问记录流行病学史，认真测量体温；同时做好疫情防控消毒记录工作。</w:t>
      </w:r>
      <w:r>
        <w:rPr>
          <w:rFonts w:hint="eastAsia" w:ascii="仿宋_GB2312" w:eastAsia="仿宋_GB2312"/>
          <w:sz w:val="32"/>
          <w:szCs w:val="32"/>
          <w:lang w:val="en-US" w:eastAsia="zh-CN"/>
        </w:rPr>
        <w:t>按照各级卫健委对于新冠疫苗接种工作的安排和指示要求，前进镇在政府和医院的共同合作为辖区内居民进行新冠疫苗接种工作，为打赢新型冠状病毒感染肺炎阻击战，共筑免疫屏障。</w:t>
      </w:r>
    </w:p>
    <w:p>
      <w:pPr>
        <w:pStyle w:val="4"/>
        <w:numPr>
          <w:ilvl w:val="0"/>
          <w:numId w:val="0"/>
        </w:numPr>
        <w:rPr>
          <w:rFonts w:hint="eastAsia" w:ascii="黑体" w:hAnsi="黑体" w:eastAsia="黑体"/>
          <w:b w:val="0"/>
          <w:color w:val="auto"/>
          <w:highlight w:val="none"/>
          <w:lang w:val="en-US" w:eastAsia="zh-CN"/>
        </w:rPr>
      </w:pPr>
    </w:p>
    <w:p>
      <w:pPr>
        <w:pStyle w:val="4"/>
        <w:numPr>
          <w:ilvl w:val="0"/>
          <w:numId w:val="0"/>
        </w:numPr>
        <w:rPr>
          <w:rFonts w:hint="eastAsia" w:ascii="黑体" w:hAnsi="黑体" w:eastAsia="黑体"/>
          <w:b w:val="0"/>
          <w:color w:val="auto"/>
          <w:highlight w:val="none"/>
          <w:lang w:val="en-US" w:eastAsia="zh-CN"/>
        </w:rPr>
      </w:pPr>
    </w:p>
    <w:p>
      <w:pPr>
        <w:rPr>
          <w:rFonts w:hint="eastAsia"/>
          <w:lang w:val="en-US" w:eastAsia="zh-CN"/>
        </w:rPr>
      </w:pP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pPr>
        <w:pStyle w:val="12"/>
        <w:shd w:val="clear" w:color="auto" w:fill="FFFFFF"/>
        <w:snapToGrid w:val="0"/>
        <w:spacing w:before="0" w:beforeAutospacing="0" w:after="0" w:afterAutospacing="0" w:line="300" w:lineRule="auto"/>
        <w:ind w:firstLine="600"/>
        <w:rPr>
          <w:rFonts w:hint="eastAsia" w:ascii="仿宋" w:hAnsi="仿宋" w:eastAsia="仿宋" w:cs="仿宋_GB2312"/>
          <w:color w:val="333333"/>
          <w:kern w:val="2"/>
          <w:sz w:val="32"/>
          <w:szCs w:val="32"/>
          <w:shd w:val="clear" w:color="auto" w:fill="FFFFFF"/>
          <w:lang w:eastAsia="zh-CN"/>
        </w:rPr>
      </w:pPr>
      <w:r>
        <w:rPr>
          <w:rFonts w:hint="eastAsia" w:ascii="仿宋" w:hAnsi="仿宋" w:eastAsia="仿宋" w:cs="Times New Roman"/>
          <w:color w:val="000000"/>
          <w:kern w:val="2"/>
          <w:sz w:val="32"/>
          <w:szCs w:val="32"/>
          <w:lang w:val="en-US" w:eastAsia="zh-CN" w:bidi="ar-SA"/>
        </w:rPr>
        <w:t>仁和区前进镇卫生院坐落于仁和区前进镇前进路298号，我院属财政补助事业单位，设内科、外科、中医科等科室。我单位核定编制13人，现有职工23人，其中在编12人,临聘10人，</w:t>
      </w:r>
      <w:r>
        <w:rPr>
          <w:rFonts w:hint="eastAsia" w:ascii="仿宋" w:hAnsi="仿宋" w:eastAsia="仿宋" w:cs="仿宋_GB2312"/>
          <w:color w:val="333333"/>
          <w:kern w:val="2"/>
          <w:sz w:val="32"/>
          <w:szCs w:val="32"/>
          <w:shd w:val="clear" w:color="auto" w:fill="FFFFFF"/>
        </w:rPr>
        <w:t>公共卫生特别服务岗</w:t>
      </w:r>
      <w:r>
        <w:rPr>
          <w:rFonts w:hint="eastAsia" w:ascii="仿宋" w:hAnsi="仿宋" w:eastAsia="仿宋" w:cs="仿宋_GB2312"/>
          <w:color w:val="333333"/>
          <w:kern w:val="2"/>
          <w:sz w:val="32"/>
          <w:szCs w:val="32"/>
          <w:shd w:val="clear" w:color="auto" w:fill="FFFFFF"/>
          <w:lang w:val="en-US" w:eastAsia="zh-CN"/>
        </w:rPr>
        <w:t>1</w:t>
      </w:r>
      <w:r>
        <w:rPr>
          <w:rFonts w:hint="eastAsia" w:ascii="仿宋" w:hAnsi="仿宋" w:eastAsia="仿宋" w:cs="仿宋_GB2312"/>
          <w:color w:val="333333"/>
          <w:kern w:val="2"/>
          <w:sz w:val="32"/>
          <w:szCs w:val="32"/>
          <w:shd w:val="clear" w:color="auto" w:fill="FFFFFF"/>
        </w:rPr>
        <w:t>人</w:t>
      </w:r>
      <w:r>
        <w:rPr>
          <w:rFonts w:hint="eastAsia" w:ascii="仿宋" w:hAnsi="仿宋" w:eastAsia="仿宋" w:cs="仿宋_GB2312"/>
          <w:color w:val="333333"/>
          <w:kern w:val="2"/>
          <w:sz w:val="32"/>
          <w:szCs w:val="32"/>
          <w:shd w:val="clear" w:color="auto" w:fill="FFFFFF"/>
          <w:lang w:eastAsia="zh-CN"/>
        </w:rPr>
        <w:t>。</w:t>
      </w:r>
    </w:p>
    <w:p>
      <w:pPr>
        <w:pStyle w:val="12"/>
        <w:shd w:val="clear" w:color="auto" w:fill="FFFFFF"/>
        <w:snapToGrid w:val="0"/>
        <w:spacing w:before="0" w:beforeAutospacing="0" w:after="0" w:afterAutospacing="0" w:line="300" w:lineRule="auto"/>
        <w:ind w:firstLine="600"/>
        <w:rPr>
          <w:rFonts w:ascii="仿宋" w:hAnsi="仿宋" w:eastAsia="仿宋" w:cs="仿宋_GB2312"/>
          <w:color w:val="333333"/>
          <w:kern w:val="2"/>
          <w:sz w:val="32"/>
          <w:szCs w:val="32"/>
          <w:shd w:val="clear" w:color="auto" w:fill="FFFFFF"/>
        </w:rPr>
      </w:pPr>
      <w:r>
        <w:rPr>
          <w:rFonts w:hint="eastAsia" w:ascii="仿宋" w:hAnsi="仿宋" w:eastAsia="仿宋" w:cs="仿宋_GB2312"/>
          <w:color w:val="333333"/>
          <w:kern w:val="2"/>
          <w:sz w:val="32"/>
          <w:szCs w:val="32"/>
          <w:shd w:val="clear" w:color="auto" w:fill="FFFFFF"/>
        </w:rPr>
        <w:t>离退休人员</w:t>
      </w:r>
      <w:r>
        <w:rPr>
          <w:rFonts w:hint="eastAsia" w:ascii="仿宋" w:hAnsi="仿宋" w:eastAsia="仿宋" w:cs="仿宋_GB2312"/>
          <w:color w:val="333333"/>
          <w:kern w:val="2"/>
          <w:sz w:val="32"/>
          <w:szCs w:val="32"/>
          <w:shd w:val="clear" w:color="auto" w:fill="FFFFFF"/>
          <w:lang w:val="en-US" w:eastAsia="zh-CN"/>
        </w:rPr>
        <w:t>2</w:t>
      </w:r>
      <w:r>
        <w:rPr>
          <w:rFonts w:hint="eastAsia" w:ascii="仿宋" w:hAnsi="仿宋" w:eastAsia="仿宋" w:cs="仿宋_GB2312"/>
          <w:color w:val="333333"/>
          <w:kern w:val="2"/>
          <w:sz w:val="32"/>
          <w:szCs w:val="32"/>
          <w:shd w:val="clear" w:color="auto" w:fill="FFFFFF"/>
        </w:rPr>
        <w:t>人。其中：离休0人，退休</w:t>
      </w:r>
      <w:r>
        <w:rPr>
          <w:rFonts w:hint="eastAsia" w:ascii="仿宋" w:hAnsi="仿宋" w:eastAsia="仿宋" w:cs="仿宋_GB2312"/>
          <w:color w:val="333333"/>
          <w:kern w:val="2"/>
          <w:sz w:val="32"/>
          <w:szCs w:val="32"/>
          <w:shd w:val="clear" w:color="auto" w:fill="FFFFFF"/>
          <w:lang w:val="en-US" w:eastAsia="zh-CN"/>
        </w:rPr>
        <w:t>2</w:t>
      </w:r>
      <w:r>
        <w:rPr>
          <w:rFonts w:hint="eastAsia" w:ascii="仿宋" w:hAnsi="仿宋" w:eastAsia="仿宋" w:cs="仿宋_GB2312"/>
          <w:color w:val="333333"/>
          <w:kern w:val="2"/>
          <w:sz w:val="32"/>
          <w:szCs w:val="32"/>
          <w:shd w:val="clear" w:color="auto" w:fill="FFFFFF"/>
        </w:rPr>
        <w:t>人。</w:t>
      </w:r>
    </w:p>
    <w:p>
      <w:pPr>
        <w:spacing w:line="300" w:lineRule="auto"/>
        <w:ind w:firstLine="640" w:firstLineChars="200"/>
        <w:rPr>
          <w:rFonts w:ascii="仿宋" w:hAnsi="仿宋" w:eastAsia="仿宋"/>
          <w:sz w:val="32"/>
          <w:szCs w:val="32"/>
        </w:rPr>
      </w:pPr>
      <w:r>
        <w:rPr>
          <w:rFonts w:hint="eastAsia" w:ascii="仿宋" w:hAnsi="仿宋" w:eastAsia="仿宋" w:cs="仿宋_GB2312"/>
          <w:color w:val="333333"/>
          <w:sz w:val="32"/>
          <w:szCs w:val="32"/>
          <w:shd w:val="clear" w:color="auto" w:fill="FFFFFF"/>
        </w:rPr>
        <w:t>实有车辆2辆。其中救护车一辆，越野车一辆。</w:t>
      </w:r>
    </w:p>
    <w:p>
      <w:pPr>
        <w:widowControl/>
        <w:ind w:firstLine="640" w:firstLineChars="200"/>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5"/>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pPr>
        <w:rPr>
          <w:color w:val="auto"/>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pPr>
        <w:spacing w:line="600" w:lineRule="exact"/>
        <w:ind w:firstLine="640"/>
        <w:rPr>
          <w:rFonts w:hint="eastAsia" w:ascii="仿宋" w:hAnsi="仿宋" w:eastAsia="仿宋"/>
          <w:color w:val="000000"/>
          <w:sz w:val="32"/>
          <w:szCs w:val="32"/>
          <w:lang w:val="en-US" w:eastAsia="zh-CN"/>
        </w:rPr>
      </w:pP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394.87</w:t>
      </w:r>
      <w:r>
        <w:rPr>
          <w:rFonts w:hint="eastAsia" w:ascii="仿宋" w:hAnsi="仿宋" w:eastAsia="仿宋"/>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10.86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上涨</w:t>
      </w:r>
      <w:r>
        <w:rPr>
          <w:rFonts w:hint="eastAsia" w:ascii="仿宋" w:hAnsi="仿宋" w:eastAsia="仿宋"/>
          <w:color w:val="000000"/>
          <w:sz w:val="32"/>
          <w:szCs w:val="32"/>
          <w:lang w:val="en-US" w:eastAsia="zh-CN"/>
        </w:rPr>
        <w:t xml:space="preserve"> 22.8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单位医疗收入增加。</w:t>
      </w:r>
      <w:r>
        <w:rPr>
          <w:rFonts w:hint="eastAsia" w:ascii="仿宋" w:hAnsi="仿宋" w:eastAsia="仿宋"/>
          <w:color w:val="000000"/>
          <w:sz w:val="32"/>
          <w:szCs w:val="32"/>
          <w:lang w:val="en-US" w:eastAsia="zh-CN"/>
        </w:rPr>
        <w:t xml:space="preserve"> </w:t>
      </w:r>
    </w:p>
    <w:p>
      <w:pPr>
        <w:pStyle w:val="2"/>
        <w:rPr>
          <w:rFonts w:hint="eastAsia" w:ascii="仿宋" w:hAnsi="仿宋" w:eastAsia="仿宋"/>
          <w:color w:val="000000"/>
          <w:sz w:val="32"/>
          <w:szCs w:val="32"/>
          <w:lang w:val="en-US" w:eastAsia="zh-CN"/>
        </w:rPr>
      </w:pPr>
      <w:r>
        <w:drawing>
          <wp:anchor distT="0" distB="0" distL="114300" distR="114300" simplePos="0" relativeHeight="251659264" behindDoc="0" locked="0" layoutInCell="1" allowOverlap="1">
            <wp:simplePos x="0" y="0"/>
            <wp:positionH relativeFrom="column">
              <wp:posOffset>52070</wp:posOffset>
            </wp:positionH>
            <wp:positionV relativeFrom="paragraph">
              <wp:posOffset>74295</wp:posOffset>
            </wp:positionV>
            <wp:extent cx="4572000" cy="2743200"/>
            <wp:effectExtent l="4445" t="4445" r="14605" b="14605"/>
            <wp:wrapSquare wrapText="bothSides"/>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lang w:val="en-US" w:eastAsia="zh-CN"/>
        </w:rPr>
        <w:t xml:space="preserve">  </w:t>
      </w:r>
    </w:p>
    <w:p>
      <w:pPr>
        <w:pStyle w:val="2"/>
        <w:rPr>
          <w:rFonts w:hint="default" w:ascii="仿宋" w:hAnsi="仿宋" w:eastAsia="仿宋"/>
          <w:color w:val="000000"/>
          <w:sz w:val="32"/>
          <w:szCs w:val="32"/>
          <w:lang w:val="en-US" w:eastAsia="zh-CN"/>
        </w:rPr>
      </w:pPr>
    </w:p>
    <w:p>
      <w:pPr>
        <w:pStyle w:val="2"/>
        <w:rPr>
          <w:rFonts w:hint="eastAsia" w:ascii="仿宋" w:hAnsi="仿宋" w:eastAsia="仿宋"/>
          <w:color w:val="000000"/>
          <w:sz w:val="32"/>
          <w:szCs w:val="32"/>
          <w:lang w:val="en-US" w:eastAsia="zh-CN"/>
        </w:rPr>
      </w:pPr>
    </w:p>
    <w:p>
      <w:pPr>
        <w:pStyle w:val="2"/>
        <w:rPr>
          <w:rFonts w:hint="eastAsia" w:ascii="仿宋" w:hAnsi="仿宋" w:eastAsia="仿宋"/>
          <w:color w:val="000000"/>
          <w:sz w:val="32"/>
          <w:szCs w:val="32"/>
          <w:lang w:val="en-US" w:eastAsia="zh-CN"/>
        </w:rPr>
      </w:pPr>
    </w:p>
    <w:p>
      <w:pPr>
        <w:pStyle w:val="2"/>
        <w:rPr>
          <w:rFonts w:hint="default" w:ascii="仿宋" w:hAnsi="仿宋" w:eastAsia="仿宋"/>
          <w:color w:val="000000"/>
          <w:sz w:val="32"/>
          <w:szCs w:val="32"/>
          <w:lang w:val="en-US"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394.87</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321.02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81.3</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0.15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73.24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18.55</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420" w:firstLineChars="200"/>
        <w:outlineLvl w:val="1"/>
        <w:rPr>
          <w:rFonts w:ascii="仿宋" w:hAnsi="仿宋" w:eastAsia="仿宋"/>
          <w:b/>
          <w:color w:val="auto"/>
          <w:sz w:val="32"/>
          <w:szCs w:val="32"/>
          <w:highlight w:val="none"/>
        </w:rPr>
      </w:pPr>
      <w:r>
        <w:drawing>
          <wp:anchor distT="0" distB="0" distL="114300" distR="114300" simplePos="0" relativeHeight="251660288" behindDoc="0" locked="0" layoutInCell="1" allowOverlap="1">
            <wp:simplePos x="0" y="0"/>
            <wp:positionH relativeFrom="column">
              <wp:posOffset>280670</wp:posOffset>
            </wp:positionH>
            <wp:positionV relativeFrom="paragraph">
              <wp:posOffset>231140</wp:posOffset>
            </wp:positionV>
            <wp:extent cx="4448175" cy="2687955"/>
            <wp:effectExtent l="4445" t="4445" r="5080" b="12700"/>
            <wp:wrapNone/>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spacing w:line="600" w:lineRule="exact"/>
        <w:ind w:firstLine="640" w:firstLineChars="200"/>
        <w:outlineLvl w:val="1"/>
        <w:rPr>
          <w:rFonts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spacing w:line="600" w:lineRule="exact"/>
        <w:ind w:firstLine="640" w:firstLineChars="200"/>
        <w:rPr>
          <w:rFonts w:ascii="仿宋_GB2312" w:eastAsia="仿宋_GB2312"/>
          <w:color w:val="auto"/>
          <w:sz w:val="32"/>
          <w:szCs w:val="32"/>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pPr>
        <w:spacing w:line="600" w:lineRule="exact"/>
        <w:ind w:firstLine="420" w:firstLineChars="200"/>
        <w:outlineLvl w:val="1"/>
        <w:rPr>
          <w:rFonts w:hint="default" w:ascii="仿宋" w:hAnsi="仿宋" w:eastAsia="仿宋"/>
          <w:color w:val="000000"/>
          <w:sz w:val="32"/>
          <w:szCs w:val="32"/>
          <w:lang w:val="en-US" w:eastAsia="zh-CN"/>
        </w:rPr>
      </w:pPr>
      <w:r>
        <w:drawing>
          <wp:anchor distT="0" distB="0" distL="114300" distR="114300" simplePos="0" relativeHeight="251661312" behindDoc="0" locked="0" layoutInCell="1" allowOverlap="1">
            <wp:simplePos x="0" y="0"/>
            <wp:positionH relativeFrom="column">
              <wp:posOffset>833120</wp:posOffset>
            </wp:positionH>
            <wp:positionV relativeFrom="paragraph">
              <wp:posOffset>1717675</wp:posOffset>
            </wp:positionV>
            <wp:extent cx="3991610" cy="2611120"/>
            <wp:effectExtent l="4445" t="4445" r="23495" b="13335"/>
            <wp:wrapSquare wrapText="bothSides"/>
            <wp:docPr id="9"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lang w:val="en-US" w:eastAsia="zh-CN"/>
        </w:rPr>
        <w:t xml:space="preserve">  </w:t>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394.87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182.4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46.19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164.78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41.73</w:t>
      </w:r>
      <w:r>
        <w:rPr>
          <w:rFonts w:ascii="仿宋" w:hAnsi="仿宋" w:eastAsia="仿宋"/>
          <w:color w:val="000000"/>
          <w:sz w:val="32"/>
          <w:szCs w:val="32"/>
        </w:rPr>
        <w:t>%</w:t>
      </w:r>
      <w:r>
        <w:rPr>
          <w:rFonts w:hint="eastAsia" w:ascii="仿宋" w:hAnsi="仿宋" w:eastAsia="仿宋"/>
          <w:color w:val="000000"/>
          <w:sz w:val="32"/>
          <w:szCs w:val="32"/>
          <w:lang w:eastAsia="zh-CN"/>
        </w:rPr>
        <w:t>；上缴上级支出</w:t>
      </w:r>
      <w:r>
        <w:rPr>
          <w:rFonts w:hint="eastAsia" w:ascii="仿宋" w:hAnsi="仿宋" w:eastAsia="仿宋"/>
          <w:color w:val="000000"/>
          <w:sz w:val="32"/>
          <w:szCs w:val="32"/>
          <w:lang w:val="en-US" w:eastAsia="zh-CN"/>
        </w:rPr>
        <w:t>0万元，占0%；经营支出0万元，占0%；对附属单位补助支出0万元，占0%；结余分配47.69万元，占12.08%。</w:t>
      </w:r>
    </w:p>
    <w:p>
      <w:pPr>
        <w:spacing w:line="600" w:lineRule="exact"/>
        <w:ind w:firstLine="640" w:firstLineChars="200"/>
        <w:outlineLvl w:val="1"/>
        <w:rPr>
          <w:rFonts w:ascii="仿宋" w:hAnsi="仿宋" w:eastAsia="仿宋"/>
          <w:color w:val="auto"/>
          <w:sz w:val="32"/>
          <w:szCs w:val="32"/>
          <w:highlight w:val="none"/>
        </w:rPr>
      </w:pPr>
    </w:p>
    <w:p>
      <w:pPr>
        <w:spacing w:line="600" w:lineRule="exact"/>
        <w:outlineLvl w:val="1"/>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spacing w:line="600" w:lineRule="exact"/>
        <w:ind w:firstLine="640"/>
        <w:rPr>
          <w:rFonts w:ascii="仿宋" w:hAnsi="仿宋" w:eastAsia="仿宋"/>
          <w:color w:val="auto"/>
          <w:sz w:val="32"/>
          <w:szCs w:val="32"/>
          <w:highlight w:val="none"/>
          <w:shd w:val="pct10" w:color="auto" w:fill="FFFFFF"/>
        </w:rPr>
      </w:pPr>
    </w:p>
    <w:p>
      <w:pPr>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4"/>
      <w:bookmarkEnd w:id="25"/>
    </w:p>
    <w:p>
      <w:pPr>
        <w:spacing w:line="600" w:lineRule="exact"/>
        <w:ind w:firstLine="848" w:firstLineChars="404"/>
        <w:rPr>
          <w:rFonts w:hint="eastAsia" w:ascii="仿宋" w:hAnsi="仿宋" w:eastAsia="仿宋"/>
          <w:color w:val="000000"/>
          <w:sz w:val="32"/>
          <w:szCs w:val="32"/>
        </w:rPr>
      </w:pPr>
      <w:r>
        <w:drawing>
          <wp:anchor distT="0" distB="0" distL="114300" distR="114300" simplePos="0" relativeHeight="251662336" behindDoc="0" locked="0" layoutInCell="1" allowOverlap="1">
            <wp:simplePos x="0" y="0"/>
            <wp:positionH relativeFrom="column">
              <wp:posOffset>934720</wp:posOffset>
            </wp:positionH>
            <wp:positionV relativeFrom="paragraph">
              <wp:posOffset>1450975</wp:posOffset>
            </wp:positionV>
            <wp:extent cx="4572000" cy="2743200"/>
            <wp:effectExtent l="4445" t="4445" r="14605" b="14605"/>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321.62</w:t>
      </w:r>
      <w:r>
        <w:rPr>
          <w:rFonts w:hint="eastAsia" w:ascii="仿宋" w:hAnsi="仿宋" w:eastAsia="仿宋"/>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年相比，财政拨款收、支总计各减少</w:t>
      </w:r>
      <w:r>
        <w:rPr>
          <w:rFonts w:hint="eastAsia" w:ascii="仿宋" w:hAnsi="仿宋" w:eastAsia="仿宋"/>
          <w:color w:val="000000"/>
          <w:sz w:val="32"/>
          <w:szCs w:val="32"/>
          <w:lang w:val="en-US" w:eastAsia="zh-CN"/>
        </w:rPr>
        <w:t>60.84</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15.91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政府性基金财政拨款及一般公共预算项目经费减少</w:t>
      </w:r>
      <w:r>
        <w:rPr>
          <w:rFonts w:hint="eastAsia" w:ascii="仿宋" w:hAnsi="仿宋" w:eastAsia="仿宋"/>
          <w:color w:val="000000"/>
          <w:sz w:val="32"/>
          <w:szCs w:val="32"/>
        </w:rPr>
        <w:t>。</w:t>
      </w: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spacing w:line="600" w:lineRule="exact"/>
        <w:ind w:firstLine="640"/>
        <w:rPr>
          <w:rFonts w:ascii="仿宋" w:hAnsi="仿宋" w:eastAsia="仿宋"/>
          <w:color w:val="auto"/>
          <w:sz w:val="32"/>
          <w:szCs w:val="32"/>
          <w:highlight w:val="none"/>
        </w:rPr>
      </w:pP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600" w:lineRule="exact"/>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960" w:firstLineChars="300"/>
        <w:rPr>
          <w:rFonts w:hint="eastAsia" w:ascii="仿宋" w:hAnsi="仿宋" w:eastAsia="仿宋"/>
          <w:color w:val="000000"/>
          <w:sz w:val="32"/>
          <w:szCs w:val="32"/>
          <w:lang w:val="en-US" w:eastAsia="zh-CN"/>
        </w:rPr>
      </w:pP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321.02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81.3</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年相比，一般公共预算财政拨款支出</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54.59</w:t>
      </w:r>
      <w:r>
        <w:rPr>
          <w:rFonts w:hint="eastAsia" w:ascii="仿宋" w:hAnsi="仿宋" w:eastAsia="仿宋"/>
          <w:color w:val="000000"/>
          <w:sz w:val="32"/>
          <w:szCs w:val="32"/>
        </w:rPr>
        <w:t>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14.53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卫生健康支出使用减少。</w:t>
      </w:r>
      <w:r>
        <w:rPr>
          <w:rFonts w:hint="eastAsia" w:ascii="仿宋" w:hAnsi="仿宋" w:eastAsia="仿宋"/>
          <w:color w:val="000000"/>
          <w:sz w:val="32"/>
          <w:szCs w:val="32"/>
          <w:lang w:val="en-US" w:eastAsia="zh-CN"/>
        </w:rPr>
        <w:t xml:space="preserve"> </w:t>
      </w:r>
    </w:p>
    <w:p>
      <w:pPr>
        <w:pStyle w:val="2"/>
        <w:rPr>
          <w:rFonts w:hint="eastAsia" w:ascii="仿宋" w:hAnsi="仿宋" w:eastAsia="仿宋"/>
          <w:color w:val="000000"/>
          <w:sz w:val="32"/>
          <w:szCs w:val="32"/>
          <w:lang w:val="en-US" w:eastAsia="zh-CN"/>
        </w:rPr>
      </w:pPr>
      <w:r>
        <w:drawing>
          <wp:anchor distT="0" distB="0" distL="114300" distR="114300" simplePos="0" relativeHeight="251663360" behindDoc="0" locked="0" layoutInCell="1" allowOverlap="1">
            <wp:simplePos x="0" y="0"/>
            <wp:positionH relativeFrom="column">
              <wp:posOffset>328295</wp:posOffset>
            </wp:positionH>
            <wp:positionV relativeFrom="paragraph">
              <wp:posOffset>93345</wp:posOffset>
            </wp:positionV>
            <wp:extent cx="4572000" cy="2743200"/>
            <wp:effectExtent l="4445" t="4445" r="14605" b="14605"/>
            <wp:wrapNone/>
            <wp:docPr id="12" name="图表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hint="eastAsia" w:ascii="仿宋" w:hAnsi="仿宋" w:eastAsia="仿宋"/>
          <w:color w:val="000000"/>
          <w:sz w:val="32"/>
          <w:szCs w:val="32"/>
          <w:lang w:val="en-US" w:eastAsia="zh-CN"/>
        </w:rPr>
      </w:pPr>
    </w:p>
    <w:p>
      <w:pPr>
        <w:pStyle w:val="2"/>
        <w:rPr>
          <w:rFonts w:hint="default" w:ascii="仿宋" w:hAnsi="仿宋" w:eastAsia="仿宋"/>
          <w:color w:val="000000"/>
          <w:sz w:val="32"/>
          <w:szCs w:val="32"/>
          <w:lang w:val="en-US" w:eastAsia="zh-CN"/>
        </w:rPr>
      </w:pPr>
    </w:p>
    <w:p>
      <w:pPr>
        <w:pStyle w:val="2"/>
        <w:rPr>
          <w:rFonts w:hint="default" w:ascii="仿宋" w:hAnsi="仿宋" w:eastAsia="仿宋"/>
          <w:color w:val="000000"/>
          <w:sz w:val="32"/>
          <w:szCs w:val="32"/>
          <w:lang w:val="en-US" w:eastAsia="zh-CN"/>
        </w:rPr>
      </w:pPr>
    </w:p>
    <w:p>
      <w:pPr>
        <w:pStyle w:val="2"/>
        <w:rPr>
          <w:rFonts w:hint="default" w:ascii="仿宋" w:hAnsi="仿宋" w:eastAsia="仿宋"/>
          <w:color w:val="000000"/>
          <w:sz w:val="32"/>
          <w:szCs w:val="32"/>
          <w:lang w:val="en-US" w:eastAsia="zh-CN"/>
        </w:rPr>
      </w:pP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w:t>
      </w:r>
      <w:r>
        <w:drawing>
          <wp:anchor distT="0" distB="0" distL="114300" distR="114300" simplePos="0" relativeHeight="251667456" behindDoc="0" locked="0" layoutInCell="1" allowOverlap="1">
            <wp:simplePos x="0" y="0"/>
            <wp:positionH relativeFrom="column">
              <wp:posOffset>1671320</wp:posOffset>
            </wp:positionH>
            <wp:positionV relativeFrom="paragraph">
              <wp:posOffset>6882765</wp:posOffset>
            </wp:positionV>
            <wp:extent cx="4857750" cy="3051175"/>
            <wp:effectExtent l="4445" t="4445" r="14605" b="11430"/>
            <wp:wrapNone/>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b/>
          <w:color w:val="auto"/>
          <w:sz w:val="32"/>
          <w:szCs w:val="32"/>
          <w:highlight w:val="none"/>
        </w:rPr>
        <w:t>般公共预算财政拨款支出决算结构情况</w:t>
      </w:r>
      <w:bookmarkEnd w:id="29"/>
    </w:p>
    <w:p>
      <w:pPr>
        <w:keepNext/>
        <w:keepLines/>
        <w:spacing w:beforeLines="0" w:afterLines="0" w:line="576" w:lineRule="exact"/>
        <w:ind w:firstLine="640"/>
        <w:jc w:val="both"/>
        <w:rPr>
          <w:rFonts w:hint="eastAsia" w:ascii="仿宋_GB2312" w:hAnsi="仿宋_GB2312" w:eastAsia="仿宋_GB2312"/>
          <w:color w:val="000000"/>
          <w:kern w:val="2"/>
          <w:sz w:val="32"/>
          <w:lang w:val="zh-CN"/>
        </w:rPr>
      </w:pPr>
      <w:r>
        <w:drawing>
          <wp:anchor distT="0" distB="0" distL="114300" distR="114300" simplePos="0" relativeHeight="251671552" behindDoc="1" locked="0" layoutInCell="1" allowOverlap="1">
            <wp:simplePos x="0" y="0"/>
            <wp:positionH relativeFrom="column">
              <wp:posOffset>243205</wp:posOffset>
            </wp:positionH>
            <wp:positionV relativeFrom="paragraph">
              <wp:posOffset>5843905</wp:posOffset>
            </wp:positionV>
            <wp:extent cx="4614545" cy="2895600"/>
            <wp:effectExtent l="4445" t="5080" r="10160" b="13970"/>
            <wp:wrapThrough wrapText="bothSides">
              <wp:wrapPolygon>
                <wp:start x="-21" y="-38"/>
                <wp:lineTo x="-21" y="21562"/>
                <wp:lineTo x="21558" y="21562"/>
                <wp:lineTo x="21558" y="-38"/>
                <wp:lineTo x="-21" y="-38"/>
              </wp:wrapPolygon>
            </wp:wrapThrough>
            <wp:docPr id="2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321.02</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color w:val="000000"/>
          <w:sz w:val="32"/>
          <w:szCs w:val="32"/>
        </w:rPr>
        <w:t xml:space="preserve"> 社会保障和就业支出</w:t>
      </w:r>
      <w:r>
        <w:rPr>
          <w:rFonts w:hint="eastAsia" w:ascii="仿宋" w:hAnsi="仿宋" w:eastAsia="仿宋"/>
          <w:color w:val="000000"/>
          <w:sz w:val="32"/>
          <w:szCs w:val="32"/>
          <w:lang w:val="en-US" w:eastAsia="zh-CN"/>
        </w:rPr>
        <w:t>19.57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6.1</w:t>
      </w:r>
      <w:r>
        <w:rPr>
          <w:rFonts w:hint="eastAsia" w:ascii="仿宋" w:hAnsi="仿宋" w:eastAsia="仿宋"/>
          <w:color w:val="000000"/>
          <w:sz w:val="32"/>
          <w:szCs w:val="32"/>
        </w:rPr>
        <w:t>%；卫生健康支出</w:t>
      </w:r>
      <w:r>
        <w:rPr>
          <w:rFonts w:hint="eastAsia" w:ascii="仿宋" w:hAnsi="仿宋" w:eastAsia="仿宋"/>
          <w:color w:val="000000"/>
          <w:sz w:val="32"/>
          <w:szCs w:val="32"/>
          <w:lang w:val="en-US" w:eastAsia="zh-CN"/>
        </w:rPr>
        <w:t>288.93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w:t>
      </w:r>
      <w:r>
        <w:rPr>
          <w:rFonts w:hint="eastAsia" w:ascii="仿宋" w:hAnsi="仿宋" w:eastAsia="仿宋"/>
          <w:color w:val="000000"/>
          <w:sz w:val="32"/>
          <w:szCs w:val="32"/>
        </w:rPr>
        <w:t>%；住房保障支出</w:t>
      </w:r>
      <w:r>
        <w:rPr>
          <w:rFonts w:hint="eastAsia" w:ascii="仿宋" w:hAnsi="仿宋" w:eastAsia="仿宋"/>
          <w:color w:val="000000"/>
          <w:sz w:val="32"/>
          <w:szCs w:val="32"/>
          <w:lang w:val="en-US" w:eastAsia="zh-CN"/>
        </w:rPr>
        <w:t>12.52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3.9</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_GB2312" w:hAnsi="仿宋_GB2312" w:eastAsia="仿宋_GB2312"/>
          <w:color w:val="000000"/>
          <w:kern w:val="2"/>
          <w:sz w:val="32"/>
          <w:lang w:val="zh-CN"/>
        </w:rPr>
        <w:t>一般公共服务支出0万元，占0%；外交支出0万元，占0%；国防支出0万元，占0%；公共安全支出0万元，占0%；教育支出0万元，占0%；科学技术支出0万元，占0%；文化体育与传媒支出0万元，占0%；节能环保支出0万元，占0%；城乡社区支出0万元，占0%；农林水支出0万元，占0%；交通运输支出0万元，占0%；资源勘探工业信息等支出0万元，占0%；商业服务业等支出0万元，占0%；金融支出0万元，占0%；援助其他地区支出0万元，占0%；自然资源海洋气象等支出0万元，占0%；粮油物资储备支出0万元，占0%；国有资本经营预算支出0万元，占0%；灾害防治及应急管理支出0万元，占0%；其他支出0万元，占0%；债务还本支出0万元，占0%；债务付息支出0万元，占0%；抗疫特别国债安排的支出0万元，占0%。</w:t>
      </w:r>
    </w:p>
    <w:p>
      <w:pPr>
        <w:pStyle w:val="2"/>
        <w:rPr>
          <w:rFonts w:hint="eastAsia" w:ascii="仿宋_GB2312" w:hAnsi="仿宋_GB2312" w:eastAsia="仿宋_GB2312"/>
          <w:color w:val="000000"/>
          <w:kern w:val="2"/>
          <w:sz w:val="32"/>
          <w:lang w:val="zh-CN"/>
        </w:rPr>
      </w:pPr>
      <w:r>
        <w:drawing>
          <wp:anchor distT="0" distB="0" distL="114300" distR="114300" simplePos="0" relativeHeight="251670528" behindDoc="0" locked="0" layoutInCell="1" allowOverlap="1">
            <wp:simplePos x="0" y="0"/>
            <wp:positionH relativeFrom="column">
              <wp:posOffset>2128520</wp:posOffset>
            </wp:positionH>
            <wp:positionV relativeFrom="paragraph">
              <wp:posOffset>7339965</wp:posOffset>
            </wp:positionV>
            <wp:extent cx="4857750" cy="3051175"/>
            <wp:effectExtent l="4445" t="4445" r="14605" b="11430"/>
            <wp:wrapNone/>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drawing>
          <wp:anchor distT="0" distB="0" distL="114300" distR="114300" simplePos="0" relativeHeight="251669504" behindDoc="0" locked="0" layoutInCell="1" allowOverlap="1">
            <wp:simplePos x="0" y="0"/>
            <wp:positionH relativeFrom="column">
              <wp:posOffset>1976120</wp:posOffset>
            </wp:positionH>
            <wp:positionV relativeFrom="paragraph">
              <wp:posOffset>7187565</wp:posOffset>
            </wp:positionV>
            <wp:extent cx="4857750" cy="3051175"/>
            <wp:effectExtent l="4445" t="4445" r="14605" b="11430"/>
            <wp:wrapNone/>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drawing>
          <wp:anchor distT="0" distB="0" distL="114300" distR="114300" simplePos="0" relativeHeight="251666432" behindDoc="0" locked="0" layoutInCell="1" allowOverlap="1">
            <wp:simplePos x="0" y="0"/>
            <wp:positionH relativeFrom="column">
              <wp:posOffset>1823720</wp:posOffset>
            </wp:positionH>
            <wp:positionV relativeFrom="paragraph">
              <wp:posOffset>7035165</wp:posOffset>
            </wp:positionV>
            <wp:extent cx="4857750" cy="3051175"/>
            <wp:effectExtent l="4445" t="4445" r="14605" b="11430"/>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drawing>
          <wp:anchor distT="0" distB="0" distL="114300" distR="114300" simplePos="0" relativeHeight="251664384" behindDoc="0" locked="0" layoutInCell="1" allowOverlap="1">
            <wp:simplePos x="0" y="0"/>
            <wp:positionH relativeFrom="column">
              <wp:posOffset>1671320</wp:posOffset>
            </wp:positionH>
            <wp:positionV relativeFrom="paragraph">
              <wp:posOffset>6882765</wp:posOffset>
            </wp:positionV>
            <wp:extent cx="4857750" cy="3051175"/>
            <wp:effectExtent l="4445" t="4445" r="14605" b="11430"/>
            <wp:wrapNone/>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Style w:val="2"/>
        <w:rPr>
          <w:rFonts w:hint="eastAsia" w:ascii="仿宋_GB2312" w:hAnsi="仿宋_GB2312" w:eastAsia="仿宋_GB2312"/>
          <w:color w:val="000000"/>
          <w:kern w:val="2"/>
          <w:sz w:val="32"/>
          <w:lang w:val="zh-CN"/>
        </w:rPr>
      </w:pPr>
      <w:r>
        <w:drawing>
          <wp:anchor distT="0" distB="0" distL="114300" distR="114300" simplePos="0" relativeHeight="251665408" behindDoc="0" locked="0" layoutInCell="1" allowOverlap="1">
            <wp:simplePos x="0" y="0"/>
            <wp:positionH relativeFrom="column">
              <wp:posOffset>1671320</wp:posOffset>
            </wp:positionH>
            <wp:positionV relativeFrom="paragraph">
              <wp:posOffset>6882765</wp:posOffset>
            </wp:positionV>
            <wp:extent cx="4857750" cy="3051175"/>
            <wp:effectExtent l="4445" t="4445" r="14605" b="11430"/>
            <wp:wrapNone/>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pStyle w:val="2"/>
        <w:rPr>
          <w:rFonts w:hint="eastAsia" w:ascii="仿宋_GB2312" w:hAnsi="仿宋_GB2312" w:eastAsia="仿宋_GB2312"/>
          <w:color w:val="000000"/>
          <w:kern w:val="2"/>
          <w:sz w:val="32"/>
          <w:lang w:val="zh-CN"/>
        </w:rPr>
      </w:pPr>
    </w:p>
    <w:p>
      <w:pPr>
        <w:pStyle w:val="2"/>
        <w:rPr>
          <w:rFonts w:hint="eastAsia" w:ascii="仿宋_GB2312" w:hAnsi="仿宋_GB2312" w:eastAsia="仿宋_GB2312"/>
          <w:color w:val="000000"/>
          <w:kern w:val="2"/>
          <w:sz w:val="32"/>
          <w:lang w:val="zh-CN"/>
        </w:rPr>
      </w:pPr>
    </w:p>
    <w:p>
      <w:pPr>
        <w:pStyle w:val="2"/>
        <w:rPr>
          <w:rFonts w:hint="eastAsia" w:ascii="仿宋_GB2312" w:hAnsi="仿宋_GB2312" w:eastAsia="仿宋_GB2312"/>
          <w:color w:val="000000"/>
          <w:kern w:val="2"/>
          <w:sz w:val="32"/>
          <w:lang w:val="zh-CN"/>
        </w:rPr>
      </w:pPr>
      <w:r>
        <w:drawing>
          <wp:anchor distT="0" distB="0" distL="114300" distR="114300" simplePos="0" relativeHeight="251668480" behindDoc="0" locked="0" layoutInCell="1" allowOverlap="1">
            <wp:simplePos x="0" y="0"/>
            <wp:positionH relativeFrom="column">
              <wp:posOffset>1671320</wp:posOffset>
            </wp:positionH>
            <wp:positionV relativeFrom="paragraph">
              <wp:posOffset>6882765</wp:posOffset>
            </wp:positionV>
            <wp:extent cx="4857750" cy="3051175"/>
            <wp:effectExtent l="4445" t="4445" r="14605" b="11430"/>
            <wp:wrapNone/>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spacing w:line="600" w:lineRule="exact"/>
        <w:ind w:firstLine="640"/>
        <w:rPr>
          <w:rFonts w:hint="eastAsia" w:ascii="仿宋" w:hAnsi="仿宋" w:eastAsia="仿宋"/>
          <w:b/>
          <w:color w:val="auto"/>
          <w:sz w:val="32"/>
          <w:szCs w:val="32"/>
          <w:highlight w:val="none"/>
        </w:rPr>
      </w:pPr>
    </w:p>
    <w:p>
      <w:pPr>
        <w:spacing w:line="600" w:lineRule="exact"/>
        <w:ind w:firstLine="64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0" w:firstLineChars="200"/>
        <w:outlineLvl w:val="2"/>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2</w:t>
      </w:r>
      <w:r>
        <w:rPr>
          <w:rFonts w:hint="eastAsia" w:ascii="仿宋" w:hAnsi="仿宋" w:eastAsia="仿宋" w:cs="Times New Roman"/>
          <w:color w:val="000000"/>
          <w:sz w:val="32"/>
          <w:szCs w:val="32"/>
        </w:rPr>
        <w:t>年一般公共预算支出决算数为</w:t>
      </w:r>
      <w:r>
        <w:rPr>
          <w:rFonts w:hint="eastAsia" w:ascii="仿宋" w:hAnsi="仿宋" w:eastAsia="仿宋"/>
          <w:b/>
          <w:color w:val="000000"/>
          <w:sz w:val="32"/>
          <w:szCs w:val="32"/>
          <w:lang w:val="en-US" w:eastAsia="zh-CN"/>
        </w:rPr>
        <w:t>321.02</w:t>
      </w:r>
      <w:r>
        <w:rPr>
          <w:rFonts w:hint="eastAsia" w:ascii="仿宋" w:hAnsi="仿宋" w:eastAsia="仿宋" w:cs="Times New Roman"/>
          <w:color w:val="000000"/>
          <w:sz w:val="32"/>
          <w:szCs w:val="32"/>
        </w:rPr>
        <w:t>，完成调整预算数的</w:t>
      </w:r>
      <w:r>
        <w:rPr>
          <w:rFonts w:hint="eastAsia" w:ascii="仿宋" w:hAnsi="仿宋" w:eastAsia="仿宋" w:cs="Times New Roman"/>
          <w:color w:val="000000"/>
          <w:sz w:val="32"/>
          <w:szCs w:val="32"/>
          <w:lang w:val="en-US" w:eastAsia="zh-CN"/>
        </w:rPr>
        <w:t>100</w:t>
      </w:r>
      <w:r>
        <w:rPr>
          <w:rFonts w:hint="eastAsia" w:ascii="仿宋" w:hAnsi="仿宋" w:eastAsia="仿宋" w:cs="Times New Roman"/>
          <w:color w:val="000000"/>
          <w:sz w:val="32"/>
          <w:szCs w:val="32"/>
        </w:rPr>
        <w:t>%。其中：</w:t>
      </w:r>
    </w:p>
    <w:p>
      <w:pPr>
        <w:spacing w:line="600" w:lineRule="exact"/>
        <w:ind w:firstLine="640" w:firstLineChars="200"/>
        <w:rPr>
          <w:rFonts w:ascii="仿宋" w:hAnsi="仿宋" w:eastAsia="仿宋"/>
          <w:b w:val="0"/>
          <w:bCs/>
          <w:color w:val="000000"/>
          <w:sz w:val="32"/>
          <w:szCs w:val="32"/>
        </w:rPr>
      </w:pPr>
      <w:r>
        <w:rPr>
          <w:rStyle w:val="14"/>
          <w:rFonts w:hint="eastAsia" w:ascii="仿宋" w:hAnsi="仿宋" w:eastAsia="仿宋"/>
          <w:b w:val="0"/>
          <w:bCs/>
          <w:color w:val="000000"/>
          <w:sz w:val="32"/>
          <w:szCs w:val="32"/>
          <w:lang w:val="en-US" w:eastAsia="zh-CN"/>
        </w:rPr>
        <w:t>1、</w:t>
      </w:r>
      <w:r>
        <w:rPr>
          <w:rStyle w:val="14"/>
          <w:rFonts w:hint="eastAsia" w:ascii="仿宋" w:hAnsi="仿宋" w:eastAsia="仿宋"/>
          <w:b w:val="0"/>
          <w:bCs/>
          <w:color w:val="000000"/>
          <w:sz w:val="32"/>
          <w:szCs w:val="32"/>
        </w:rPr>
        <w:t>社会保障和就业</w:t>
      </w:r>
      <w:r>
        <w:rPr>
          <w:rStyle w:val="14"/>
          <w:rFonts w:hint="eastAsia" w:ascii="仿宋" w:hAnsi="仿宋" w:eastAsia="仿宋"/>
          <w:b w:val="0"/>
          <w:bCs w:val="0"/>
          <w:color w:val="000000"/>
          <w:sz w:val="32"/>
          <w:szCs w:val="32"/>
        </w:rPr>
        <w:t>（类）</w:t>
      </w:r>
      <w:r>
        <w:rPr>
          <w:rStyle w:val="14"/>
          <w:rFonts w:hint="eastAsia" w:ascii="仿宋" w:hAnsi="仿宋" w:eastAsia="仿宋"/>
          <w:b w:val="0"/>
          <w:bCs w:val="0"/>
          <w:color w:val="000000"/>
          <w:sz w:val="32"/>
          <w:szCs w:val="32"/>
          <w:lang w:val="en-US" w:eastAsia="zh-CN"/>
        </w:rPr>
        <w:t>(208）</w:t>
      </w:r>
      <w:r>
        <w:rPr>
          <w:rStyle w:val="14"/>
          <w:rFonts w:hint="eastAsia" w:ascii="仿宋" w:hAnsi="仿宋" w:eastAsia="仿宋"/>
          <w:b w:val="0"/>
          <w:bCs w:val="0"/>
          <w:color w:val="000000"/>
          <w:sz w:val="32"/>
          <w:szCs w:val="32"/>
        </w:rPr>
        <w:t>行政事业单位养老支出（款）</w:t>
      </w:r>
      <w:r>
        <w:rPr>
          <w:rStyle w:val="14"/>
          <w:rFonts w:hint="eastAsia" w:ascii="仿宋" w:hAnsi="仿宋" w:eastAsia="仿宋"/>
          <w:b w:val="0"/>
          <w:bCs w:val="0"/>
          <w:color w:val="000000"/>
          <w:sz w:val="32"/>
          <w:szCs w:val="32"/>
          <w:lang w:val="en-US" w:eastAsia="zh-CN"/>
        </w:rPr>
        <w:t>(20805)</w:t>
      </w:r>
      <w:r>
        <w:rPr>
          <w:rStyle w:val="14"/>
          <w:rFonts w:hint="eastAsia" w:ascii="仿宋" w:hAnsi="仿宋" w:eastAsia="仿宋"/>
          <w:b w:val="0"/>
          <w:bCs w:val="0"/>
          <w:color w:val="000000"/>
          <w:sz w:val="32"/>
          <w:szCs w:val="32"/>
        </w:rPr>
        <w:t>事业单位离退休（项）</w:t>
      </w:r>
      <w:r>
        <w:rPr>
          <w:rStyle w:val="14"/>
          <w:rFonts w:hint="eastAsia" w:ascii="仿宋" w:hAnsi="仿宋" w:eastAsia="仿宋"/>
          <w:b w:val="0"/>
          <w:bCs w:val="0"/>
          <w:color w:val="000000"/>
          <w:sz w:val="32"/>
          <w:szCs w:val="32"/>
          <w:lang w:eastAsia="zh-CN"/>
        </w:rPr>
        <w:t>（</w:t>
      </w:r>
      <w:r>
        <w:rPr>
          <w:rStyle w:val="14"/>
          <w:rFonts w:hint="eastAsia" w:ascii="仿宋" w:hAnsi="仿宋" w:eastAsia="仿宋"/>
          <w:b w:val="0"/>
          <w:bCs w:val="0"/>
          <w:color w:val="000000"/>
          <w:sz w:val="32"/>
          <w:szCs w:val="32"/>
          <w:lang w:val="en-US" w:eastAsia="zh-CN"/>
        </w:rPr>
        <w:t>2080502</w:t>
      </w:r>
      <w:r>
        <w:rPr>
          <w:rStyle w:val="14"/>
          <w:rFonts w:hint="eastAsia" w:ascii="仿宋" w:hAnsi="仿宋" w:eastAsia="仿宋"/>
          <w:b w:val="0"/>
          <w:bCs w:val="0"/>
          <w:color w:val="000000"/>
          <w:sz w:val="32"/>
          <w:szCs w:val="32"/>
          <w:lang w:eastAsia="zh-CN"/>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2.51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与预算数持平</w:t>
      </w:r>
      <w:r>
        <w:rPr>
          <w:rStyle w:val="14"/>
          <w:rFonts w:hint="eastAsia" w:ascii="仿宋" w:hAnsi="仿宋" w:eastAsia="仿宋"/>
          <w:b w:val="0"/>
          <w:bCs/>
          <w:color w:val="000000"/>
          <w:sz w:val="32"/>
          <w:szCs w:val="32"/>
        </w:rPr>
        <w:t>。</w:t>
      </w:r>
    </w:p>
    <w:p>
      <w:pPr>
        <w:spacing w:line="600" w:lineRule="exact"/>
        <w:ind w:firstLine="640" w:firstLineChars="200"/>
        <w:rPr>
          <w:rStyle w:val="14"/>
          <w:rFonts w:hint="eastAsia" w:ascii="仿宋" w:hAnsi="仿宋" w:eastAsia="仿宋"/>
          <w:b w:val="0"/>
          <w:bCs/>
          <w:color w:val="000000"/>
          <w:sz w:val="32"/>
          <w:szCs w:val="32"/>
        </w:rPr>
      </w:pPr>
      <w:r>
        <w:rPr>
          <w:rFonts w:hint="eastAsia" w:ascii="仿宋" w:hAnsi="仿宋" w:eastAsia="仿宋"/>
          <w:b w:val="0"/>
          <w:bCs/>
          <w:color w:val="000000"/>
          <w:sz w:val="32"/>
          <w:szCs w:val="32"/>
          <w:lang w:val="en-US" w:eastAsia="zh-CN"/>
        </w:rPr>
        <w:t>2、</w:t>
      </w:r>
      <w:r>
        <w:rPr>
          <w:rStyle w:val="14"/>
          <w:rFonts w:hint="eastAsia" w:ascii="仿宋" w:hAnsi="仿宋" w:eastAsia="仿宋"/>
          <w:b w:val="0"/>
          <w:bCs/>
          <w:color w:val="000000"/>
          <w:sz w:val="32"/>
          <w:szCs w:val="32"/>
        </w:rPr>
        <w:t>社会保障和就业</w:t>
      </w:r>
      <w:r>
        <w:rPr>
          <w:rStyle w:val="14"/>
          <w:rFonts w:hint="eastAsia" w:ascii="仿宋" w:hAnsi="仿宋" w:eastAsia="仿宋"/>
          <w:b w:val="0"/>
          <w:bCs w:val="0"/>
          <w:color w:val="000000"/>
          <w:sz w:val="32"/>
          <w:szCs w:val="32"/>
        </w:rPr>
        <w:t>（类）</w:t>
      </w:r>
      <w:r>
        <w:rPr>
          <w:rStyle w:val="14"/>
          <w:rFonts w:hint="eastAsia" w:ascii="仿宋" w:hAnsi="仿宋" w:eastAsia="仿宋"/>
          <w:b w:val="0"/>
          <w:bCs w:val="0"/>
          <w:color w:val="000000"/>
          <w:sz w:val="32"/>
          <w:szCs w:val="32"/>
          <w:lang w:val="en-US" w:eastAsia="zh-CN"/>
        </w:rPr>
        <w:t>(208)</w:t>
      </w:r>
      <w:r>
        <w:rPr>
          <w:rStyle w:val="14"/>
          <w:rFonts w:hint="eastAsia" w:ascii="仿宋" w:hAnsi="仿宋" w:eastAsia="仿宋"/>
          <w:b w:val="0"/>
          <w:bCs w:val="0"/>
          <w:color w:val="000000"/>
          <w:sz w:val="32"/>
          <w:szCs w:val="32"/>
        </w:rPr>
        <w:t>行政事业单位养老支出（款）</w:t>
      </w:r>
      <w:r>
        <w:rPr>
          <w:rStyle w:val="14"/>
          <w:rFonts w:hint="eastAsia" w:ascii="仿宋" w:hAnsi="仿宋" w:eastAsia="仿宋"/>
          <w:b w:val="0"/>
          <w:bCs w:val="0"/>
          <w:color w:val="000000"/>
          <w:sz w:val="32"/>
          <w:szCs w:val="32"/>
          <w:lang w:eastAsia="zh-CN"/>
        </w:rPr>
        <w:t>（</w:t>
      </w:r>
      <w:r>
        <w:rPr>
          <w:rStyle w:val="14"/>
          <w:rFonts w:hint="eastAsia" w:ascii="仿宋" w:hAnsi="仿宋" w:eastAsia="仿宋"/>
          <w:b w:val="0"/>
          <w:bCs w:val="0"/>
          <w:color w:val="000000"/>
          <w:sz w:val="32"/>
          <w:szCs w:val="32"/>
          <w:lang w:val="en-US" w:eastAsia="zh-CN"/>
        </w:rPr>
        <w:t>20805</w:t>
      </w:r>
      <w:r>
        <w:rPr>
          <w:rStyle w:val="14"/>
          <w:rFonts w:hint="eastAsia" w:ascii="仿宋" w:hAnsi="仿宋" w:eastAsia="仿宋"/>
          <w:b w:val="0"/>
          <w:bCs w:val="0"/>
          <w:color w:val="000000"/>
          <w:sz w:val="32"/>
          <w:szCs w:val="32"/>
          <w:lang w:eastAsia="zh-CN"/>
        </w:rPr>
        <w:t>）</w:t>
      </w:r>
      <w:r>
        <w:rPr>
          <w:rStyle w:val="14"/>
          <w:rFonts w:hint="eastAsia" w:ascii="仿宋" w:hAnsi="仿宋" w:eastAsia="仿宋"/>
          <w:b w:val="0"/>
          <w:bCs w:val="0"/>
          <w:color w:val="000000"/>
          <w:sz w:val="32"/>
          <w:szCs w:val="32"/>
        </w:rPr>
        <w:t>机关事业单位基本养老保险缴费支出（项）</w:t>
      </w:r>
      <w:r>
        <w:rPr>
          <w:rStyle w:val="14"/>
          <w:rFonts w:hint="eastAsia" w:ascii="仿宋" w:hAnsi="仿宋" w:eastAsia="仿宋"/>
          <w:b w:val="0"/>
          <w:bCs w:val="0"/>
          <w:color w:val="000000"/>
          <w:sz w:val="32"/>
          <w:szCs w:val="32"/>
          <w:lang w:val="en-US" w:eastAsia="zh-CN"/>
        </w:rPr>
        <w:t>(2080505)</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12.1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与预算数持平</w:t>
      </w:r>
      <w:r>
        <w:rPr>
          <w:rStyle w:val="14"/>
          <w:rFonts w:hint="eastAsia" w:ascii="仿宋" w:hAnsi="仿宋" w:eastAsia="仿宋"/>
          <w:b w:val="0"/>
          <w:bCs/>
          <w:color w:val="000000"/>
          <w:sz w:val="32"/>
          <w:szCs w:val="32"/>
        </w:rPr>
        <w:t>。</w:t>
      </w:r>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lang w:val="en-US" w:eastAsia="zh-CN"/>
        </w:rPr>
        <w:t>3、</w:t>
      </w:r>
      <w:r>
        <w:rPr>
          <w:rStyle w:val="14"/>
          <w:rFonts w:hint="eastAsia" w:ascii="仿宋" w:hAnsi="仿宋" w:eastAsia="仿宋"/>
          <w:b w:val="0"/>
          <w:bCs/>
          <w:color w:val="000000"/>
          <w:sz w:val="32"/>
          <w:szCs w:val="32"/>
        </w:rPr>
        <w:t>社会保障和就业</w:t>
      </w:r>
      <w:r>
        <w:rPr>
          <w:rStyle w:val="14"/>
          <w:rFonts w:hint="eastAsia" w:ascii="仿宋" w:hAnsi="仿宋" w:eastAsia="仿宋"/>
          <w:b w:val="0"/>
          <w:bCs w:val="0"/>
          <w:color w:val="000000"/>
          <w:sz w:val="32"/>
          <w:szCs w:val="32"/>
        </w:rPr>
        <w:t>（类）</w:t>
      </w:r>
      <w:r>
        <w:rPr>
          <w:rStyle w:val="14"/>
          <w:rFonts w:hint="eastAsia" w:ascii="仿宋" w:hAnsi="仿宋" w:eastAsia="仿宋"/>
          <w:b w:val="0"/>
          <w:bCs w:val="0"/>
          <w:color w:val="000000"/>
          <w:sz w:val="32"/>
          <w:szCs w:val="32"/>
          <w:lang w:val="en-US" w:eastAsia="zh-CN"/>
        </w:rPr>
        <w:t>(208)</w:t>
      </w:r>
      <w:r>
        <w:rPr>
          <w:rStyle w:val="14"/>
          <w:rFonts w:hint="eastAsia" w:ascii="仿宋" w:hAnsi="仿宋" w:eastAsia="仿宋"/>
          <w:b w:val="0"/>
          <w:bCs w:val="0"/>
          <w:color w:val="000000"/>
          <w:sz w:val="32"/>
          <w:szCs w:val="32"/>
          <w:lang w:eastAsia="zh-CN"/>
        </w:rPr>
        <w:t>抚恤</w:t>
      </w:r>
      <w:r>
        <w:rPr>
          <w:rStyle w:val="14"/>
          <w:rFonts w:hint="eastAsia" w:ascii="仿宋" w:hAnsi="仿宋" w:eastAsia="仿宋"/>
          <w:b w:val="0"/>
          <w:bCs w:val="0"/>
          <w:color w:val="000000"/>
          <w:sz w:val="32"/>
          <w:szCs w:val="32"/>
        </w:rPr>
        <w:t>（款）</w:t>
      </w:r>
      <w:r>
        <w:rPr>
          <w:rStyle w:val="14"/>
          <w:rFonts w:hint="eastAsia" w:ascii="仿宋" w:hAnsi="仿宋" w:eastAsia="仿宋"/>
          <w:b w:val="0"/>
          <w:bCs w:val="0"/>
          <w:color w:val="000000"/>
          <w:sz w:val="32"/>
          <w:szCs w:val="32"/>
          <w:lang w:eastAsia="zh-CN"/>
        </w:rPr>
        <w:t>（</w:t>
      </w:r>
      <w:r>
        <w:rPr>
          <w:rStyle w:val="14"/>
          <w:rFonts w:hint="eastAsia" w:ascii="仿宋" w:hAnsi="仿宋" w:eastAsia="仿宋"/>
          <w:b w:val="0"/>
          <w:bCs w:val="0"/>
          <w:color w:val="000000"/>
          <w:sz w:val="32"/>
          <w:szCs w:val="32"/>
          <w:lang w:val="en-US" w:eastAsia="zh-CN"/>
        </w:rPr>
        <w:t>20808</w:t>
      </w:r>
      <w:r>
        <w:rPr>
          <w:rStyle w:val="14"/>
          <w:rFonts w:hint="eastAsia" w:ascii="仿宋" w:hAnsi="仿宋" w:eastAsia="仿宋"/>
          <w:b w:val="0"/>
          <w:bCs w:val="0"/>
          <w:color w:val="000000"/>
          <w:sz w:val="32"/>
          <w:szCs w:val="32"/>
          <w:lang w:eastAsia="zh-CN"/>
        </w:rPr>
        <w:t>）死亡抚恤</w:t>
      </w:r>
      <w:r>
        <w:rPr>
          <w:rStyle w:val="14"/>
          <w:rFonts w:hint="eastAsia" w:ascii="仿宋" w:hAnsi="仿宋" w:eastAsia="仿宋"/>
          <w:b w:val="0"/>
          <w:bCs w:val="0"/>
          <w:color w:val="000000"/>
          <w:sz w:val="32"/>
          <w:szCs w:val="32"/>
        </w:rPr>
        <w:t>（项）</w:t>
      </w:r>
      <w:r>
        <w:rPr>
          <w:rStyle w:val="14"/>
          <w:rFonts w:hint="eastAsia" w:ascii="仿宋" w:hAnsi="仿宋" w:eastAsia="仿宋"/>
          <w:b w:val="0"/>
          <w:bCs w:val="0"/>
          <w:color w:val="000000"/>
          <w:sz w:val="32"/>
          <w:szCs w:val="32"/>
          <w:lang w:val="en-US" w:eastAsia="zh-CN"/>
        </w:rPr>
        <w:t>(2080801)</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4.96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与预算数持平</w:t>
      </w:r>
      <w:r>
        <w:rPr>
          <w:rStyle w:val="14"/>
          <w:rFonts w:hint="eastAsia" w:ascii="仿宋" w:hAnsi="仿宋" w:eastAsia="仿宋"/>
          <w:b w:val="0"/>
          <w:bCs/>
          <w:color w:val="000000"/>
          <w:sz w:val="32"/>
          <w:szCs w:val="32"/>
        </w:rPr>
        <w:t>。</w:t>
      </w:r>
    </w:p>
    <w:p>
      <w:pPr>
        <w:spacing w:line="600" w:lineRule="exact"/>
        <w:ind w:firstLine="640" w:firstLineChars="200"/>
        <w:rPr>
          <w:rStyle w:val="14"/>
          <w:rFonts w:hint="eastAsia" w:ascii="仿宋" w:hAnsi="仿宋" w:eastAsia="仿宋"/>
          <w:b w:val="0"/>
          <w:bCs/>
          <w:color w:val="000000"/>
          <w:sz w:val="32"/>
          <w:szCs w:val="32"/>
        </w:rPr>
      </w:pPr>
      <w:r>
        <w:rPr>
          <w:rFonts w:hint="eastAsia" w:ascii="仿宋" w:hAnsi="仿宋" w:eastAsia="仿宋"/>
          <w:b w:val="0"/>
          <w:bCs/>
          <w:color w:val="000000"/>
          <w:sz w:val="32"/>
          <w:szCs w:val="32"/>
          <w:lang w:val="en-US" w:eastAsia="zh-CN"/>
        </w:rPr>
        <w:t>4、</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4"/>
          <w:rFonts w:hint="eastAsia" w:ascii="仿宋" w:hAnsi="仿宋" w:eastAsia="仿宋"/>
          <w:b w:val="0"/>
          <w:bCs w:val="0"/>
          <w:color w:val="000000"/>
          <w:sz w:val="32"/>
          <w:szCs w:val="32"/>
        </w:rPr>
        <w:t>（</w:t>
      </w:r>
      <w:r>
        <w:rPr>
          <w:rStyle w:val="14"/>
          <w:rFonts w:hint="eastAsia" w:ascii="仿宋" w:hAnsi="仿宋" w:eastAsia="仿宋"/>
          <w:b w:val="0"/>
          <w:bCs w:val="0"/>
          <w:color w:val="000000"/>
          <w:sz w:val="32"/>
          <w:szCs w:val="32"/>
          <w:lang w:eastAsia="zh-CN"/>
        </w:rPr>
        <w:t>类</w:t>
      </w:r>
      <w:r>
        <w:rPr>
          <w:rStyle w:val="14"/>
          <w:rFonts w:hint="eastAsia" w:ascii="仿宋" w:hAnsi="仿宋" w:eastAsia="仿宋"/>
          <w:b w:val="0"/>
          <w:bCs w:val="0"/>
          <w:color w:val="000000"/>
          <w:sz w:val="32"/>
          <w:szCs w:val="32"/>
        </w:rPr>
        <w:t>）</w:t>
      </w:r>
      <w:r>
        <w:rPr>
          <w:rStyle w:val="14"/>
          <w:rFonts w:hint="eastAsia" w:ascii="仿宋" w:hAnsi="仿宋" w:eastAsia="仿宋"/>
          <w:b w:val="0"/>
          <w:bCs w:val="0"/>
          <w:color w:val="000000"/>
          <w:sz w:val="32"/>
          <w:szCs w:val="32"/>
          <w:lang w:val="en-US" w:eastAsia="zh-CN"/>
        </w:rPr>
        <w:t>(210)</w:t>
      </w:r>
      <w:r>
        <w:rPr>
          <w:rStyle w:val="14"/>
          <w:rFonts w:hint="eastAsia" w:ascii="仿宋" w:hAnsi="仿宋" w:eastAsia="仿宋"/>
          <w:b w:val="0"/>
          <w:bCs w:val="0"/>
          <w:color w:val="000000"/>
          <w:sz w:val="32"/>
          <w:szCs w:val="32"/>
        </w:rPr>
        <w:t>基层医疗卫生机构（款）</w:t>
      </w:r>
      <w:r>
        <w:rPr>
          <w:rStyle w:val="14"/>
          <w:rFonts w:hint="eastAsia" w:ascii="仿宋" w:hAnsi="仿宋" w:eastAsia="仿宋"/>
          <w:b w:val="0"/>
          <w:bCs w:val="0"/>
          <w:color w:val="000000"/>
          <w:sz w:val="32"/>
          <w:szCs w:val="32"/>
          <w:lang w:val="en-US" w:eastAsia="zh-CN"/>
        </w:rPr>
        <w:t>(21003)</w:t>
      </w:r>
      <w:r>
        <w:rPr>
          <w:rStyle w:val="14"/>
          <w:rFonts w:hint="eastAsia" w:ascii="仿宋" w:hAnsi="仿宋" w:eastAsia="仿宋"/>
          <w:b w:val="0"/>
          <w:bCs w:val="0"/>
          <w:color w:val="000000"/>
          <w:sz w:val="32"/>
          <w:szCs w:val="32"/>
        </w:rPr>
        <w:t>乡镇卫生院（项）</w:t>
      </w:r>
      <w:r>
        <w:rPr>
          <w:rStyle w:val="14"/>
          <w:rFonts w:hint="eastAsia" w:ascii="仿宋" w:hAnsi="仿宋" w:eastAsia="仿宋"/>
          <w:b w:val="0"/>
          <w:bCs w:val="0"/>
          <w:color w:val="000000"/>
          <w:sz w:val="32"/>
          <w:szCs w:val="32"/>
          <w:lang w:val="en-US" w:eastAsia="zh-CN"/>
        </w:rPr>
        <w:t>(2100302)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128.41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与预算数持平</w:t>
      </w:r>
      <w:r>
        <w:rPr>
          <w:rStyle w:val="14"/>
          <w:rFonts w:hint="eastAsia" w:ascii="仿宋" w:hAnsi="仿宋" w:eastAsia="仿宋"/>
          <w:b w:val="0"/>
          <w:bCs/>
          <w:color w:val="000000"/>
          <w:sz w:val="32"/>
          <w:szCs w:val="32"/>
        </w:rPr>
        <w:t>。</w:t>
      </w:r>
    </w:p>
    <w:p>
      <w:pPr>
        <w:spacing w:line="600" w:lineRule="exact"/>
        <w:ind w:firstLine="640" w:firstLineChars="200"/>
        <w:rPr>
          <w:rStyle w:val="14"/>
          <w:rFonts w:hint="eastAsia" w:ascii="仿宋" w:hAnsi="仿宋" w:eastAsia="仿宋"/>
          <w:b w:val="0"/>
          <w:bCs/>
          <w:color w:val="000000"/>
          <w:sz w:val="32"/>
          <w:szCs w:val="32"/>
          <w:lang w:val="en-US" w:eastAsia="zh-CN"/>
        </w:rPr>
      </w:pPr>
      <w:r>
        <w:rPr>
          <w:rStyle w:val="14"/>
          <w:rFonts w:hint="eastAsia" w:ascii="仿宋" w:hAnsi="仿宋" w:eastAsia="仿宋"/>
          <w:b w:val="0"/>
          <w:bCs/>
          <w:color w:val="000000"/>
          <w:sz w:val="32"/>
          <w:szCs w:val="32"/>
          <w:lang w:val="en-US" w:eastAsia="zh-CN"/>
        </w:rPr>
        <w:t>5、</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4"/>
          <w:rFonts w:hint="eastAsia" w:ascii="仿宋" w:hAnsi="仿宋" w:eastAsia="仿宋"/>
          <w:b w:val="0"/>
          <w:bCs w:val="0"/>
          <w:color w:val="000000"/>
          <w:sz w:val="32"/>
          <w:szCs w:val="32"/>
        </w:rPr>
        <w:t>（类）</w:t>
      </w:r>
      <w:r>
        <w:rPr>
          <w:rStyle w:val="14"/>
          <w:rFonts w:hint="eastAsia" w:ascii="仿宋" w:hAnsi="仿宋" w:eastAsia="仿宋"/>
          <w:b w:val="0"/>
          <w:bCs w:val="0"/>
          <w:color w:val="000000"/>
          <w:sz w:val="32"/>
          <w:szCs w:val="32"/>
          <w:lang w:val="en-US" w:eastAsia="zh-CN"/>
        </w:rPr>
        <w:t>(210)</w:t>
      </w:r>
      <w:r>
        <w:rPr>
          <w:rStyle w:val="14"/>
          <w:rFonts w:hint="eastAsia" w:ascii="仿宋" w:hAnsi="仿宋" w:eastAsia="仿宋"/>
          <w:b w:val="0"/>
          <w:bCs w:val="0"/>
          <w:color w:val="000000"/>
          <w:sz w:val="32"/>
          <w:szCs w:val="32"/>
        </w:rPr>
        <w:t>基层医疗卫生机构（款）</w:t>
      </w:r>
      <w:r>
        <w:rPr>
          <w:rStyle w:val="14"/>
          <w:rFonts w:hint="eastAsia" w:ascii="仿宋" w:hAnsi="仿宋" w:eastAsia="仿宋"/>
          <w:b w:val="0"/>
          <w:bCs w:val="0"/>
          <w:color w:val="000000"/>
          <w:sz w:val="32"/>
          <w:szCs w:val="32"/>
          <w:lang w:val="en-US" w:eastAsia="zh-CN"/>
        </w:rPr>
        <w:t>(21003)</w:t>
      </w:r>
      <w:r>
        <w:rPr>
          <w:rStyle w:val="14"/>
          <w:rFonts w:hint="eastAsia" w:ascii="仿宋" w:hAnsi="仿宋" w:eastAsia="仿宋"/>
          <w:b w:val="0"/>
          <w:bCs w:val="0"/>
          <w:color w:val="000000"/>
          <w:sz w:val="32"/>
          <w:szCs w:val="32"/>
        </w:rPr>
        <w:t>其他基层医疗卫生机构支出（项）</w:t>
      </w:r>
      <w:r>
        <w:rPr>
          <w:rStyle w:val="14"/>
          <w:rFonts w:hint="eastAsia" w:ascii="仿宋" w:hAnsi="仿宋" w:eastAsia="仿宋"/>
          <w:b w:val="0"/>
          <w:bCs w:val="0"/>
          <w:color w:val="000000"/>
          <w:sz w:val="32"/>
          <w:szCs w:val="32"/>
          <w:lang w:val="en-US" w:eastAsia="zh-CN"/>
        </w:rPr>
        <w:t>(2100399)</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14.88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与预算数持平。</w:t>
      </w:r>
    </w:p>
    <w:p>
      <w:pPr>
        <w:spacing w:line="600" w:lineRule="exact"/>
        <w:ind w:firstLine="640" w:firstLineChars="200"/>
        <w:rPr>
          <w:rStyle w:val="14"/>
          <w:rFonts w:hint="eastAsia" w:ascii="仿宋" w:hAnsi="仿宋" w:eastAsia="仿宋"/>
          <w:b w:val="0"/>
          <w:bCs/>
          <w:color w:val="000000"/>
          <w:sz w:val="32"/>
          <w:szCs w:val="32"/>
          <w:lang w:val="en-US" w:eastAsia="zh-CN"/>
        </w:rPr>
      </w:pPr>
      <w:r>
        <w:rPr>
          <w:rStyle w:val="14"/>
          <w:rFonts w:hint="eastAsia" w:ascii="仿宋" w:hAnsi="仿宋" w:eastAsia="仿宋"/>
          <w:b w:val="0"/>
          <w:bCs/>
          <w:color w:val="000000"/>
          <w:sz w:val="32"/>
          <w:szCs w:val="32"/>
          <w:lang w:val="en-US" w:eastAsia="zh-CN"/>
        </w:rPr>
        <w:t>6、</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4"/>
          <w:rFonts w:hint="eastAsia" w:ascii="仿宋" w:hAnsi="仿宋" w:eastAsia="仿宋"/>
          <w:b w:val="0"/>
          <w:bCs w:val="0"/>
          <w:color w:val="000000"/>
          <w:sz w:val="32"/>
          <w:szCs w:val="32"/>
        </w:rPr>
        <w:t>（类）</w:t>
      </w:r>
      <w:r>
        <w:rPr>
          <w:rStyle w:val="14"/>
          <w:rFonts w:hint="eastAsia" w:ascii="仿宋" w:hAnsi="仿宋" w:eastAsia="仿宋"/>
          <w:b w:val="0"/>
          <w:bCs w:val="0"/>
          <w:color w:val="000000"/>
          <w:sz w:val="32"/>
          <w:szCs w:val="32"/>
          <w:lang w:val="en-US" w:eastAsia="zh-CN"/>
        </w:rPr>
        <w:t>(210)</w:t>
      </w:r>
      <w:r>
        <w:rPr>
          <w:rStyle w:val="14"/>
          <w:rFonts w:hint="eastAsia" w:ascii="仿宋" w:hAnsi="仿宋" w:eastAsia="仿宋"/>
          <w:b w:val="0"/>
          <w:bCs w:val="0"/>
          <w:color w:val="000000"/>
          <w:sz w:val="32"/>
          <w:szCs w:val="32"/>
          <w:lang w:eastAsia="zh-CN"/>
        </w:rPr>
        <w:t>公共卫生</w:t>
      </w:r>
      <w:r>
        <w:rPr>
          <w:rStyle w:val="14"/>
          <w:rFonts w:hint="eastAsia" w:ascii="仿宋" w:hAnsi="仿宋" w:eastAsia="仿宋"/>
          <w:b w:val="0"/>
          <w:bCs w:val="0"/>
          <w:color w:val="000000"/>
          <w:sz w:val="32"/>
          <w:szCs w:val="32"/>
        </w:rPr>
        <w:t>（款）</w:t>
      </w:r>
      <w:r>
        <w:rPr>
          <w:rStyle w:val="14"/>
          <w:rFonts w:hint="eastAsia" w:ascii="仿宋" w:hAnsi="仿宋" w:eastAsia="仿宋"/>
          <w:b w:val="0"/>
          <w:bCs w:val="0"/>
          <w:color w:val="000000"/>
          <w:sz w:val="32"/>
          <w:szCs w:val="32"/>
          <w:lang w:val="en-US" w:eastAsia="zh-CN"/>
        </w:rPr>
        <w:t>(21004)</w:t>
      </w:r>
      <w:r>
        <w:rPr>
          <w:rStyle w:val="14"/>
          <w:rFonts w:hint="eastAsia" w:ascii="仿宋" w:hAnsi="仿宋" w:eastAsia="仿宋"/>
          <w:b w:val="0"/>
          <w:bCs w:val="0"/>
          <w:color w:val="000000"/>
          <w:sz w:val="32"/>
          <w:szCs w:val="32"/>
        </w:rPr>
        <w:t>基本公共卫生服务（项）</w:t>
      </w:r>
      <w:r>
        <w:rPr>
          <w:rStyle w:val="14"/>
          <w:rFonts w:hint="eastAsia" w:ascii="仿宋" w:hAnsi="仿宋" w:eastAsia="仿宋"/>
          <w:b w:val="0"/>
          <w:bCs w:val="0"/>
          <w:color w:val="000000"/>
          <w:sz w:val="32"/>
          <w:szCs w:val="32"/>
          <w:lang w:val="en-US" w:eastAsia="zh-CN"/>
        </w:rPr>
        <w:t>(2100408)</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136.33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与预算数持平。</w:t>
      </w:r>
    </w:p>
    <w:p>
      <w:pPr>
        <w:spacing w:line="600" w:lineRule="exact"/>
        <w:ind w:firstLine="640" w:firstLineChars="200"/>
        <w:rPr>
          <w:rStyle w:val="14"/>
          <w:rFonts w:hint="eastAsia" w:ascii="仿宋" w:hAnsi="仿宋" w:eastAsia="仿宋"/>
          <w:b w:val="0"/>
          <w:bCs/>
          <w:color w:val="000000"/>
          <w:sz w:val="32"/>
          <w:szCs w:val="32"/>
          <w:lang w:val="en-US" w:eastAsia="zh-CN"/>
        </w:rPr>
      </w:pPr>
      <w:r>
        <w:rPr>
          <w:rFonts w:hint="eastAsia" w:ascii="仿宋" w:hAnsi="仿宋" w:eastAsia="仿宋"/>
          <w:b w:val="0"/>
          <w:bCs/>
          <w:color w:val="000000"/>
          <w:sz w:val="32"/>
          <w:szCs w:val="32"/>
          <w:lang w:val="en-US" w:eastAsia="zh-CN"/>
        </w:rPr>
        <w:t>7、</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4"/>
          <w:rFonts w:hint="eastAsia" w:ascii="仿宋" w:hAnsi="仿宋" w:eastAsia="仿宋"/>
          <w:b w:val="0"/>
          <w:bCs w:val="0"/>
          <w:color w:val="000000"/>
          <w:sz w:val="32"/>
          <w:szCs w:val="32"/>
        </w:rPr>
        <w:t>（类）</w:t>
      </w:r>
      <w:r>
        <w:rPr>
          <w:rStyle w:val="14"/>
          <w:rFonts w:hint="eastAsia" w:ascii="仿宋" w:hAnsi="仿宋" w:eastAsia="仿宋"/>
          <w:b w:val="0"/>
          <w:bCs w:val="0"/>
          <w:color w:val="000000"/>
          <w:sz w:val="32"/>
          <w:szCs w:val="32"/>
          <w:lang w:val="en-US" w:eastAsia="zh-CN"/>
        </w:rPr>
        <w:t>(210)</w:t>
      </w:r>
      <w:r>
        <w:rPr>
          <w:rStyle w:val="14"/>
          <w:rFonts w:hint="eastAsia" w:ascii="仿宋" w:hAnsi="仿宋" w:eastAsia="仿宋"/>
          <w:b w:val="0"/>
          <w:bCs w:val="0"/>
          <w:color w:val="000000"/>
          <w:sz w:val="32"/>
          <w:szCs w:val="32"/>
          <w:lang w:eastAsia="zh-CN"/>
        </w:rPr>
        <w:t>公共卫生</w:t>
      </w:r>
      <w:r>
        <w:rPr>
          <w:rStyle w:val="14"/>
          <w:rFonts w:hint="eastAsia" w:ascii="仿宋" w:hAnsi="仿宋" w:eastAsia="仿宋"/>
          <w:b w:val="0"/>
          <w:bCs w:val="0"/>
          <w:color w:val="000000"/>
          <w:sz w:val="32"/>
          <w:szCs w:val="32"/>
        </w:rPr>
        <w:t>（款）</w:t>
      </w:r>
      <w:r>
        <w:rPr>
          <w:rStyle w:val="14"/>
          <w:rFonts w:hint="eastAsia" w:ascii="仿宋" w:hAnsi="仿宋" w:eastAsia="仿宋"/>
          <w:b w:val="0"/>
          <w:bCs w:val="0"/>
          <w:color w:val="000000"/>
          <w:sz w:val="32"/>
          <w:szCs w:val="32"/>
          <w:lang w:val="en-US" w:eastAsia="zh-CN"/>
        </w:rPr>
        <w:t>(21004)</w:t>
      </w:r>
      <w:r>
        <w:rPr>
          <w:rStyle w:val="14"/>
          <w:rFonts w:hint="eastAsia" w:ascii="仿宋" w:hAnsi="仿宋" w:eastAsia="仿宋"/>
          <w:b w:val="0"/>
          <w:bCs w:val="0"/>
          <w:color w:val="000000"/>
          <w:sz w:val="32"/>
          <w:szCs w:val="32"/>
        </w:rPr>
        <w:t>重大公共卫生服务（项）</w:t>
      </w:r>
      <w:r>
        <w:rPr>
          <w:rStyle w:val="14"/>
          <w:rFonts w:hint="eastAsia" w:ascii="仿宋" w:hAnsi="仿宋" w:eastAsia="仿宋"/>
          <w:b w:val="0"/>
          <w:bCs w:val="0"/>
          <w:color w:val="000000"/>
          <w:sz w:val="32"/>
          <w:szCs w:val="32"/>
          <w:lang w:val="en-US" w:eastAsia="zh-CN"/>
        </w:rPr>
        <w:t>(2100409)</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0.01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与预算数持平。</w:t>
      </w:r>
    </w:p>
    <w:p>
      <w:pPr>
        <w:spacing w:line="600" w:lineRule="exact"/>
        <w:ind w:firstLine="640" w:firstLineChars="200"/>
        <w:rPr>
          <w:rStyle w:val="14"/>
          <w:rFonts w:hint="eastAsia" w:ascii="仿宋" w:hAnsi="仿宋" w:eastAsia="仿宋"/>
          <w:b w:val="0"/>
          <w:bCs/>
          <w:color w:val="000000"/>
          <w:sz w:val="32"/>
          <w:szCs w:val="32"/>
          <w:lang w:val="en-US" w:eastAsia="zh-CN"/>
        </w:rPr>
      </w:pPr>
      <w:r>
        <w:rPr>
          <w:rFonts w:hint="eastAsia" w:ascii="仿宋" w:hAnsi="仿宋" w:eastAsia="仿宋"/>
          <w:b w:val="0"/>
          <w:bCs/>
          <w:color w:val="000000"/>
          <w:sz w:val="32"/>
          <w:szCs w:val="32"/>
          <w:lang w:val="en-US" w:eastAsia="zh-CN"/>
        </w:rPr>
        <w:t>8、</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4"/>
          <w:rFonts w:hint="eastAsia" w:ascii="仿宋" w:hAnsi="仿宋" w:eastAsia="仿宋"/>
          <w:b w:val="0"/>
          <w:bCs w:val="0"/>
          <w:color w:val="000000"/>
          <w:sz w:val="32"/>
          <w:szCs w:val="32"/>
        </w:rPr>
        <w:t>（类）</w:t>
      </w:r>
      <w:r>
        <w:rPr>
          <w:rStyle w:val="14"/>
          <w:rFonts w:hint="eastAsia" w:ascii="仿宋" w:hAnsi="仿宋" w:eastAsia="仿宋"/>
          <w:b w:val="0"/>
          <w:bCs w:val="0"/>
          <w:color w:val="000000"/>
          <w:sz w:val="32"/>
          <w:szCs w:val="32"/>
          <w:lang w:val="en-US" w:eastAsia="zh-CN"/>
        </w:rPr>
        <w:t>(210）</w:t>
      </w:r>
      <w:r>
        <w:rPr>
          <w:rStyle w:val="14"/>
          <w:rFonts w:hint="eastAsia" w:ascii="仿宋" w:hAnsi="仿宋" w:eastAsia="仿宋"/>
          <w:b w:val="0"/>
          <w:bCs w:val="0"/>
          <w:color w:val="000000"/>
          <w:sz w:val="32"/>
          <w:szCs w:val="32"/>
          <w:lang w:eastAsia="zh-CN"/>
        </w:rPr>
        <w:t>行政事业单位医疗</w:t>
      </w:r>
      <w:r>
        <w:rPr>
          <w:rStyle w:val="14"/>
          <w:rFonts w:hint="eastAsia" w:ascii="仿宋" w:hAnsi="仿宋" w:eastAsia="仿宋"/>
          <w:b w:val="0"/>
          <w:bCs w:val="0"/>
          <w:color w:val="000000"/>
          <w:sz w:val="32"/>
          <w:szCs w:val="32"/>
        </w:rPr>
        <w:t>（款）</w:t>
      </w:r>
      <w:r>
        <w:rPr>
          <w:rStyle w:val="14"/>
          <w:rFonts w:hint="eastAsia" w:ascii="仿宋" w:hAnsi="仿宋" w:eastAsia="仿宋"/>
          <w:b w:val="0"/>
          <w:bCs w:val="0"/>
          <w:color w:val="000000"/>
          <w:sz w:val="32"/>
          <w:szCs w:val="32"/>
          <w:lang w:val="en-US" w:eastAsia="zh-CN"/>
        </w:rPr>
        <w:t>(21011)</w:t>
      </w:r>
      <w:r>
        <w:rPr>
          <w:rStyle w:val="14"/>
          <w:rFonts w:hint="eastAsia" w:ascii="仿宋" w:hAnsi="仿宋" w:eastAsia="仿宋"/>
          <w:b w:val="0"/>
          <w:bCs w:val="0"/>
          <w:color w:val="000000"/>
          <w:sz w:val="32"/>
          <w:szCs w:val="32"/>
        </w:rPr>
        <w:t>事业单位医疗（项）</w:t>
      </w:r>
      <w:r>
        <w:rPr>
          <w:rStyle w:val="14"/>
          <w:rFonts w:hint="eastAsia" w:ascii="仿宋" w:hAnsi="仿宋" w:eastAsia="仿宋"/>
          <w:b w:val="0"/>
          <w:bCs w:val="0"/>
          <w:color w:val="000000"/>
          <w:sz w:val="32"/>
          <w:szCs w:val="32"/>
          <w:lang w:eastAsia="zh-CN"/>
        </w:rPr>
        <w:t>（</w:t>
      </w:r>
      <w:r>
        <w:rPr>
          <w:rStyle w:val="14"/>
          <w:rFonts w:hint="eastAsia" w:ascii="仿宋" w:hAnsi="仿宋" w:eastAsia="仿宋"/>
          <w:b w:val="0"/>
          <w:bCs w:val="0"/>
          <w:color w:val="000000"/>
          <w:sz w:val="32"/>
          <w:szCs w:val="32"/>
          <w:lang w:val="en-US" w:eastAsia="zh-CN"/>
        </w:rPr>
        <w:t>2101102</w:t>
      </w:r>
      <w:r>
        <w:rPr>
          <w:rStyle w:val="14"/>
          <w:rFonts w:hint="eastAsia" w:ascii="仿宋" w:hAnsi="仿宋" w:eastAsia="仿宋"/>
          <w:b w:val="0"/>
          <w:bCs w:val="0"/>
          <w:color w:val="000000"/>
          <w:sz w:val="32"/>
          <w:szCs w:val="32"/>
          <w:lang w:eastAsia="zh-CN"/>
        </w:rPr>
        <w:t>）</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与预算数持平。</w:t>
      </w:r>
    </w:p>
    <w:p>
      <w:pPr>
        <w:spacing w:line="600" w:lineRule="exact"/>
        <w:ind w:firstLine="640" w:firstLineChars="200"/>
        <w:rPr>
          <w:rStyle w:val="14"/>
          <w:rFonts w:hint="eastAsia" w:ascii="仿宋" w:hAnsi="仿宋" w:eastAsia="仿宋"/>
          <w:b w:val="0"/>
          <w:bCs/>
          <w:color w:val="000000"/>
          <w:sz w:val="32"/>
          <w:szCs w:val="32"/>
          <w:lang w:val="en-US" w:eastAsia="zh-CN"/>
        </w:rPr>
      </w:pPr>
      <w:r>
        <w:rPr>
          <w:rStyle w:val="14"/>
          <w:rFonts w:hint="eastAsia" w:ascii="仿宋" w:hAnsi="仿宋" w:eastAsia="仿宋"/>
          <w:b w:val="0"/>
          <w:bCs/>
          <w:color w:val="000000"/>
          <w:sz w:val="32"/>
          <w:szCs w:val="32"/>
          <w:lang w:val="en-US" w:eastAsia="zh-CN"/>
        </w:rPr>
        <w:t>9、</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4"/>
          <w:rFonts w:hint="eastAsia" w:ascii="仿宋" w:hAnsi="仿宋" w:eastAsia="仿宋"/>
          <w:b w:val="0"/>
          <w:bCs w:val="0"/>
          <w:color w:val="000000"/>
          <w:sz w:val="32"/>
          <w:szCs w:val="32"/>
        </w:rPr>
        <w:t>（类）</w:t>
      </w:r>
      <w:r>
        <w:rPr>
          <w:rStyle w:val="14"/>
          <w:rFonts w:hint="eastAsia" w:ascii="仿宋" w:hAnsi="仿宋" w:eastAsia="仿宋"/>
          <w:b w:val="0"/>
          <w:bCs w:val="0"/>
          <w:color w:val="000000"/>
          <w:sz w:val="32"/>
          <w:szCs w:val="32"/>
          <w:lang w:val="en-US" w:eastAsia="zh-CN"/>
        </w:rPr>
        <w:t>(210)</w:t>
      </w:r>
      <w:r>
        <w:rPr>
          <w:rStyle w:val="14"/>
          <w:rFonts w:hint="eastAsia" w:ascii="仿宋" w:hAnsi="仿宋" w:eastAsia="仿宋"/>
          <w:b w:val="0"/>
          <w:bCs w:val="0"/>
          <w:color w:val="000000"/>
          <w:sz w:val="32"/>
          <w:szCs w:val="32"/>
          <w:lang w:eastAsia="zh-CN"/>
        </w:rPr>
        <w:t>行政事业单位医疗</w:t>
      </w:r>
      <w:r>
        <w:rPr>
          <w:rStyle w:val="14"/>
          <w:rFonts w:hint="eastAsia" w:ascii="仿宋" w:hAnsi="仿宋" w:eastAsia="仿宋"/>
          <w:b w:val="0"/>
          <w:bCs w:val="0"/>
          <w:color w:val="000000"/>
          <w:sz w:val="32"/>
          <w:szCs w:val="32"/>
        </w:rPr>
        <w:t>（款）</w:t>
      </w:r>
      <w:r>
        <w:rPr>
          <w:rStyle w:val="14"/>
          <w:rFonts w:hint="eastAsia" w:ascii="仿宋" w:hAnsi="仿宋" w:eastAsia="仿宋"/>
          <w:b w:val="0"/>
          <w:bCs w:val="0"/>
          <w:color w:val="000000"/>
          <w:sz w:val="32"/>
          <w:szCs w:val="32"/>
          <w:lang w:eastAsia="zh-CN"/>
        </w:rPr>
        <w:t>（</w:t>
      </w:r>
      <w:r>
        <w:rPr>
          <w:rStyle w:val="14"/>
          <w:rFonts w:hint="eastAsia" w:ascii="仿宋" w:hAnsi="仿宋" w:eastAsia="仿宋"/>
          <w:b w:val="0"/>
          <w:bCs w:val="0"/>
          <w:color w:val="000000"/>
          <w:sz w:val="32"/>
          <w:szCs w:val="32"/>
          <w:lang w:val="en-US" w:eastAsia="zh-CN"/>
        </w:rPr>
        <w:t>21011</w:t>
      </w:r>
      <w:r>
        <w:rPr>
          <w:rStyle w:val="14"/>
          <w:rFonts w:hint="eastAsia" w:ascii="仿宋" w:hAnsi="仿宋" w:eastAsia="仿宋"/>
          <w:b w:val="0"/>
          <w:bCs w:val="0"/>
          <w:color w:val="000000"/>
          <w:sz w:val="32"/>
          <w:szCs w:val="32"/>
          <w:lang w:eastAsia="zh-CN"/>
        </w:rPr>
        <w:t>）</w:t>
      </w:r>
      <w:r>
        <w:rPr>
          <w:rStyle w:val="14"/>
          <w:rFonts w:hint="eastAsia" w:ascii="仿宋" w:hAnsi="仿宋" w:eastAsia="仿宋"/>
          <w:b w:val="0"/>
          <w:bCs w:val="0"/>
          <w:color w:val="000000"/>
          <w:sz w:val="32"/>
          <w:szCs w:val="32"/>
        </w:rPr>
        <w:t>公务员医疗补助（项）</w:t>
      </w:r>
      <w:r>
        <w:rPr>
          <w:rStyle w:val="14"/>
          <w:rFonts w:hint="eastAsia" w:ascii="仿宋" w:hAnsi="仿宋" w:eastAsia="仿宋"/>
          <w:b w:val="0"/>
          <w:bCs w:val="0"/>
          <w:color w:val="000000"/>
          <w:sz w:val="32"/>
          <w:szCs w:val="32"/>
          <w:lang w:val="en-US" w:eastAsia="zh-CN"/>
        </w:rPr>
        <w:t>(2101103)</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1.</w:t>
      </w:r>
      <w:r>
        <w:rPr>
          <w:rStyle w:val="14"/>
          <w:rFonts w:hint="eastAsia" w:ascii="仿宋" w:hAnsi="仿宋" w:eastAsia="仿宋"/>
          <w:b w:val="0"/>
          <w:bCs/>
          <w:color w:val="000000"/>
          <w:sz w:val="32"/>
          <w:szCs w:val="32"/>
          <w:lang w:val="en-US" w:eastAsia="zh-CN"/>
        </w:rPr>
        <w:t>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与预算数持平。</w:t>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b w:val="0"/>
          <w:bCs/>
          <w:color w:val="000000"/>
          <w:sz w:val="32"/>
          <w:szCs w:val="32"/>
          <w:lang w:val="en-US" w:eastAsia="zh-CN"/>
        </w:rPr>
        <w:t>10、</w:t>
      </w:r>
      <w:r>
        <w:rPr>
          <w:rFonts w:hint="eastAsia" w:ascii="仿宋" w:hAnsi="仿宋" w:eastAsia="仿宋"/>
          <w:b w:val="0"/>
          <w:bCs w:val="0"/>
          <w:color w:val="000000"/>
          <w:sz w:val="32"/>
          <w:szCs w:val="32"/>
        </w:rPr>
        <w:t>住房保障支出</w:t>
      </w:r>
      <w:r>
        <w:rPr>
          <w:rStyle w:val="14"/>
          <w:rFonts w:hint="eastAsia" w:ascii="仿宋" w:hAnsi="仿宋" w:eastAsia="仿宋"/>
          <w:b w:val="0"/>
          <w:bCs/>
          <w:color w:val="000000"/>
          <w:sz w:val="32"/>
          <w:szCs w:val="32"/>
        </w:rPr>
        <w:t>（类）</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lang w:val="en-US" w:eastAsia="zh-CN"/>
        </w:rPr>
        <w:t>221</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rPr>
        <w:t>住房改革支出（款）</w:t>
      </w:r>
      <w:r>
        <w:rPr>
          <w:rStyle w:val="14"/>
          <w:rFonts w:hint="eastAsia" w:ascii="仿宋" w:hAnsi="仿宋" w:eastAsia="仿宋"/>
          <w:b w:val="0"/>
          <w:bCs/>
          <w:color w:val="000000"/>
          <w:sz w:val="32"/>
          <w:szCs w:val="32"/>
          <w:lang w:val="en-US" w:eastAsia="zh-CN"/>
        </w:rPr>
        <w:t>(22102)</w:t>
      </w:r>
      <w:r>
        <w:rPr>
          <w:rStyle w:val="14"/>
          <w:rFonts w:hint="eastAsia" w:ascii="仿宋" w:hAnsi="仿宋" w:eastAsia="仿宋"/>
          <w:b w:val="0"/>
          <w:bCs/>
          <w:color w:val="000000"/>
          <w:sz w:val="32"/>
          <w:szCs w:val="32"/>
        </w:rPr>
        <w:t>住房公积金（项）</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lang w:val="en-US" w:eastAsia="zh-CN"/>
        </w:rPr>
        <w:t>2210201</w:t>
      </w:r>
      <w:r>
        <w:rPr>
          <w:rStyle w:val="14"/>
          <w:rFonts w:hint="eastAsia" w:ascii="仿宋" w:hAnsi="仿宋" w:eastAsia="仿宋"/>
          <w:b w:val="0"/>
          <w:bCs/>
          <w:color w:val="000000"/>
          <w:sz w:val="32"/>
          <w:szCs w:val="32"/>
          <w:lang w:eastAsia="zh-CN"/>
        </w:rPr>
        <w:t>）</w:t>
      </w:r>
      <w:r>
        <w:rPr>
          <w:rFonts w:hint="eastAsia" w:ascii="仿宋" w:hAnsi="仿宋" w:eastAsia="仿宋"/>
          <w:b w:val="0"/>
          <w:bCs w:val="0"/>
          <w:color w:val="000000"/>
          <w:sz w:val="32"/>
          <w:szCs w:val="32"/>
          <w:lang w:eastAsia="zh-CN"/>
        </w:rPr>
        <w:t>：</w:t>
      </w:r>
      <w:r>
        <w:rPr>
          <w:rStyle w:val="14"/>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12.52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与预算数持平</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6"/>
          <w:color w:val="auto"/>
          <w:highlight w:val="none"/>
        </w:rPr>
      </w:pPr>
      <w:bookmarkStart w:id="31" w:name="_Toc15396608"/>
      <w:bookmarkStart w:id="32"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1"/>
      <w:bookmarkEnd w:id="32"/>
      <w:r>
        <w:rPr>
          <w:rStyle w:val="26"/>
          <w:rFonts w:ascii="黑体" w:hAnsi="黑体" w:eastAsia="黑体"/>
          <w:b w:val="0"/>
          <w:color w:val="auto"/>
          <w:highlight w:val="none"/>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156.84</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156.84</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51.12</w:t>
      </w:r>
      <w:r>
        <w:rPr>
          <w:rFonts w:hint="eastAsia" w:ascii="仿宋" w:hAnsi="仿宋" w:eastAsia="仿宋"/>
          <w:color w:val="000000"/>
          <w:sz w:val="32"/>
          <w:szCs w:val="32"/>
        </w:rPr>
        <w:t>万元、津贴补贴</w:t>
      </w:r>
      <w:r>
        <w:rPr>
          <w:rFonts w:hint="eastAsia" w:ascii="仿宋" w:hAnsi="仿宋" w:eastAsia="仿宋"/>
          <w:color w:val="000000"/>
          <w:sz w:val="32"/>
          <w:szCs w:val="32"/>
          <w:lang w:val="en-US" w:eastAsia="zh-CN"/>
        </w:rPr>
        <w:t>35.77</w:t>
      </w:r>
      <w:r>
        <w:rPr>
          <w:rFonts w:hint="eastAsia" w:ascii="仿宋" w:hAnsi="仿宋" w:eastAsia="仿宋"/>
          <w:color w:val="000000"/>
          <w:sz w:val="32"/>
          <w:szCs w:val="32"/>
        </w:rPr>
        <w:t>万元、绩效工资</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万元、机关事业单位基本养老保险缴费</w:t>
      </w:r>
      <w:r>
        <w:rPr>
          <w:rFonts w:hint="eastAsia" w:ascii="仿宋" w:hAnsi="仿宋" w:eastAsia="仿宋"/>
          <w:color w:val="000000"/>
          <w:sz w:val="32"/>
          <w:szCs w:val="32"/>
          <w:lang w:val="en-US" w:eastAsia="zh-CN"/>
        </w:rPr>
        <w:t>12.1</w:t>
      </w:r>
      <w:r>
        <w:rPr>
          <w:rFonts w:hint="eastAsia" w:ascii="仿宋" w:hAnsi="仿宋" w:eastAsia="仿宋"/>
          <w:color w:val="000000"/>
          <w:sz w:val="32"/>
          <w:szCs w:val="32"/>
        </w:rPr>
        <w:t>万元、职工基本医疗保险缴费</w:t>
      </w:r>
      <w:r>
        <w:rPr>
          <w:rFonts w:hint="eastAsia" w:ascii="仿宋" w:hAnsi="仿宋" w:eastAsia="仿宋"/>
          <w:color w:val="000000"/>
          <w:sz w:val="32"/>
          <w:szCs w:val="32"/>
          <w:lang w:val="en-US" w:eastAsia="zh-CN"/>
        </w:rPr>
        <w:t>8.2</w:t>
      </w:r>
      <w:r>
        <w:rPr>
          <w:rFonts w:hint="eastAsia" w:ascii="仿宋" w:hAnsi="仿宋" w:eastAsia="仿宋"/>
          <w:color w:val="000000"/>
          <w:sz w:val="32"/>
          <w:szCs w:val="32"/>
        </w:rPr>
        <w:t>万元、公务员医疗补助缴费1.</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万元、其他社会保障缴费1.</w:t>
      </w:r>
      <w:r>
        <w:rPr>
          <w:rFonts w:hint="eastAsia" w:ascii="仿宋" w:hAnsi="仿宋" w:eastAsia="仿宋"/>
          <w:color w:val="000000"/>
          <w:sz w:val="32"/>
          <w:szCs w:val="32"/>
          <w:lang w:val="en-US" w:eastAsia="zh-CN"/>
        </w:rPr>
        <w:t>34</w:t>
      </w:r>
      <w:r>
        <w:rPr>
          <w:rFonts w:hint="eastAsia" w:ascii="仿宋" w:hAnsi="仿宋" w:eastAsia="仿宋"/>
          <w:color w:val="000000"/>
          <w:sz w:val="32"/>
          <w:szCs w:val="32"/>
        </w:rPr>
        <w:t>万元、住房公积金</w:t>
      </w:r>
      <w:r>
        <w:rPr>
          <w:rFonts w:hint="eastAsia" w:ascii="仿宋" w:hAnsi="仿宋" w:eastAsia="仿宋"/>
          <w:color w:val="000000"/>
          <w:sz w:val="32"/>
          <w:szCs w:val="32"/>
          <w:lang w:val="en-US" w:eastAsia="zh-CN"/>
        </w:rPr>
        <w:t>12.52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医疗费</w:t>
      </w:r>
      <w:r>
        <w:rPr>
          <w:rFonts w:hint="eastAsia" w:ascii="仿宋" w:hAnsi="仿宋" w:eastAsia="仿宋"/>
          <w:color w:val="000000"/>
          <w:sz w:val="32"/>
          <w:szCs w:val="32"/>
          <w:lang w:val="en-US" w:eastAsia="zh-CN"/>
        </w:rPr>
        <w:t>4.22万元、对个人和家庭的</w:t>
      </w:r>
      <w:r>
        <w:rPr>
          <w:rFonts w:hint="eastAsia" w:ascii="仿宋" w:hAnsi="仿宋" w:eastAsia="仿宋"/>
          <w:color w:val="000000"/>
          <w:sz w:val="32"/>
          <w:szCs w:val="32"/>
        </w:rPr>
        <w:t>补助</w:t>
      </w:r>
      <w:r>
        <w:rPr>
          <w:rFonts w:hint="eastAsia" w:ascii="仿宋" w:hAnsi="仿宋" w:eastAsia="仿宋"/>
          <w:color w:val="000000"/>
          <w:sz w:val="32"/>
          <w:szCs w:val="32"/>
          <w:lang w:val="en-US" w:eastAsia="zh-CN"/>
        </w:rPr>
        <w:t>7.47</w:t>
      </w:r>
      <w:r>
        <w:rPr>
          <w:rFonts w:hint="eastAsia" w:ascii="仿宋" w:hAnsi="仿宋" w:eastAsia="仿宋"/>
          <w:color w:val="000000"/>
          <w:sz w:val="32"/>
          <w:szCs w:val="32"/>
        </w:rPr>
        <w:t>万元。</w:t>
      </w:r>
    </w:p>
    <w:p>
      <w:pPr>
        <w:spacing w:beforeLines="0" w:afterLines="0" w:line="576" w:lineRule="exact"/>
        <w:ind w:firstLine="643"/>
        <w:jc w:val="both"/>
        <w:rPr>
          <w:rFonts w:ascii="仿宋" w:hAnsi="仿宋" w:eastAsia="仿宋"/>
          <w:b/>
          <w:color w:val="auto"/>
          <w:sz w:val="32"/>
          <w:szCs w:val="32"/>
          <w:highlight w:val="none"/>
        </w:rPr>
      </w:pPr>
      <w:r>
        <w:rPr>
          <w:rFonts w:hint="eastAsia" w:ascii="仿宋" w:hAnsi="仿宋" w:eastAsia="仿宋"/>
          <w:color w:val="000000"/>
          <w:sz w:val="32"/>
          <w:szCs w:val="32"/>
        </w:rPr>
        <w:t>日常公用经费</w:t>
      </w:r>
      <w:r>
        <w:rPr>
          <w:rFonts w:hint="eastAsia" w:ascii="仿宋" w:hAnsi="仿宋" w:eastAsia="仿宋"/>
          <w:sz w:val="32"/>
          <w:szCs w:val="32"/>
          <w:lang w:val="en-US" w:eastAsia="zh-CN"/>
        </w:rPr>
        <w:t>0</w:t>
      </w:r>
      <w:r>
        <w:rPr>
          <w:rFonts w:hint="eastAsia" w:ascii="仿宋" w:hAnsi="仿宋" w:eastAsia="仿宋"/>
          <w:color w:val="000000"/>
          <w:sz w:val="32"/>
          <w:szCs w:val="32"/>
        </w:rPr>
        <w:t>万元，主要包括：</w:t>
      </w:r>
      <w:r>
        <w:rPr>
          <w:rFonts w:hint="eastAsia" w:ascii="仿宋" w:hAnsi="仿宋" w:eastAsia="仿宋"/>
          <w:color w:val="auto"/>
          <w:kern w:val="2"/>
          <w:sz w:val="32"/>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lang w:val="zh-CN"/>
        </w:rPr>
        <w:t>。</w:t>
      </w:r>
    </w:p>
    <w:p>
      <w:pPr>
        <w:spacing w:line="600" w:lineRule="exact"/>
        <w:outlineLvl w:val="1"/>
        <w:rPr>
          <w:rStyle w:val="26"/>
          <w:rFonts w:ascii="黑体" w:hAnsi="黑体" w:eastAsia="黑体"/>
          <w:b w:val="0"/>
          <w:color w:val="auto"/>
          <w:highlight w:val="none"/>
        </w:rPr>
      </w:pPr>
      <w:bookmarkStart w:id="33" w:name="_Toc15396609"/>
      <w:bookmarkStart w:id="34" w:name="_Toc15377215"/>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33"/>
      <w:bookmarkEnd w:id="34"/>
    </w:p>
    <w:p>
      <w:pPr>
        <w:spacing w:line="600" w:lineRule="exact"/>
        <w:ind w:firstLine="640"/>
        <w:outlineLvl w:val="2"/>
        <w:rPr>
          <w:rFonts w:ascii="仿宋" w:hAnsi="仿宋" w:eastAsia="仿宋"/>
          <w:b/>
          <w:color w:val="auto"/>
          <w:sz w:val="32"/>
          <w:szCs w:val="32"/>
          <w:highlight w:val="none"/>
        </w:rPr>
      </w:pPr>
      <w:bookmarkStart w:id="35" w:name="_Toc15377216"/>
      <w:r>
        <w:rPr>
          <w:rFonts w:hint="eastAsia" w:ascii="仿宋" w:hAnsi="仿宋" w:eastAsia="仿宋"/>
          <w:b/>
          <w:color w:val="auto"/>
          <w:sz w:val="32"/>
          <w:szCs w:val="32"/>
          <w:highlight w:val="none"/>
        </w:rPr>
        <w:t>（一）“三公”经费财政拨款支出决算总体情况说明</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6.42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我单位严格按照“三公”经费预算执行该经费的使用</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auto"/>
          <w:sz w:val="32"/>
          <w:szCs w:val="32"/>
          <w:highlight w:val="none"/>
        </w:rPr>
      </w:pPr>
      <w:bookmarkStart w:id="36" w:name="_Toc15377217"/>
      <w:r>
        <w:rPr>
          <w:rFonts w:hint="eastAsia" w:ascii="仿宋" w:hAnsi="仿宋" w:eastAsia="仿宋"/>
          <w:b/>
          <w:color w:val="auto"/>
          <w:sz w:val="32"/>
          <w:szCs w:val="32"/>
          <w:highlight w:val="none"/>
        </w:rPr>
        <w:t>（二）“三公”经费财政拨款支出决算具体情况说明</w:t>
      </w:r>
      <w:bookmarkEnd w:id="36"/>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6.42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2"/>
        <w:rPr>
          <w:rFonts w:hint="eastAsia" w:ascii="仿宋" w:hAnsi="仿宋" w:eastAsia="仿宋"/>
          <w:color w:val="000000"/>
          <w:sz w:val="32"/>
          <w:szCs w:val="32"/>
        </w:rPr>
      </w:pPr>
      <w:r>
        <w:drawing>
          <wp:anchor distT="0" distB="0" distL="114300" distR="114300" simplePos="0" relativeHeight="251673600" behindDoc="0" locked="0" layoutInCell="1" allowOverlap="1">
            <wp:simplePos x="0" y="0"/>
            <wp:positionH relativeFrom="column">
              <wp:posOffset>120650</wp:posOffset>
            </wp:positionH>
            <wp:positionV relativeFrom="paragraph">
              <wp:posOffset>135255</wp:posOffset>
            </wp:positionV>
            <wp:extent cx="4572000" cy="2365375"/>
            <wp:effectExtent l="5080" t="4445" r="13970" b="11430"/>
            <wp:wrapNone/>
            <wp:docPr id="2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pStyle w:val="2"/>
        <w:rPr>
          <w:rFonts w:hint="eastAsia" w:ascii="仿宋" w:hAnsi="仿宋" w:eastAsia="仿宋"/>
          <w:color w:val="000000"/>
          <w:sz w:val="32"/>
          <w:szCs w:val="32"/>
        </w:rPr>
      </w:pPr>
      <w:r>
        <w:drawing>
          <wp:anchor distT="0" distB="0" distL="114300" distR="114300" simplePos="0" relativeHeight="251672576" behindDoc="0" locked="0" layoutInCell="1" allowOverlap="1">
            <wp:simplePos x="0" y="0"/>
            <wp:positionH relativeFrom="column">
              <wp:posOffset>1725295</wp:posOffset>
            </wp:positionH>
            <wp:positionV relativeFrom="paragraph">
              <wp:posOffset>7459345</wp:posOffset>
            </wp:positionV>
            <wp:extent cx="4572000" cy="2365375"/>
            <wp:effectExtent l="5080" t="4445" r="13970" b="11430"/>
            <wp:wrapNone/>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持平</w:t>
      </w:r>
      <w:r>
        <w:rPr>
          <w:rFonts w:hint="eastAsia" w:ascii="仿宋_GB2312" w:eastAsia="仿宋_GB2312"/>
          <w:color w:val="000000"/>
          <w:sz w:val="32"/>
          <w:szCs w:val="32"/>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000000"/>
          <w:sz w:val="32"/>
          <w:szCs w:val="32"/>
          <w:lang w:val="en-US" w:eastAsia="zh-CN"/>
        </w:rPr>
        <w:t>6.42</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4.62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256.6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hAnsi="仿宋_GB2312" w:eastAsia="仿宋_GB2312"/>
          <w:color w:val="000000"/>
          <w:kern w:val="2"/>
          <w:sz w:val="32"/>
          <w:lang w:val="zh-CN"/>
        </w:rPr>
        <w:t>主要原因是疫情防控用车量增加</w:t>
      </w:r>
      <w:r>
        <w:rPr>
          <w:rFonts w:hint="eastAsia" w:ascii="仿宋_GB2312" w:hAnsi="仿宋_GB2312" w:eastAsia="仿宋_GB2312"/>
          <w:color w:val="000000"/>
          <w:kern w:val="2"/>
          <w:sz w:val="32"/>
          <w:lang w:val="en-US" w:eastAsia="zh-CN"/>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万元，小型载客汽车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ascii="仿宋_GB2312" w:eastAsia="仿宋_GB2312"/>
          <w:color w:val="000000"/>
          <w:sz w:val="32"/>
          <w:szCs w:val="32"/>
        </w:rPr>
        <w:t>**</w:t>
      </w:r>
      <w:r>
        <w:rPr>
          <w:rFonts w:hint="eastAsia" w:ascii="仿宋_GB2312" w:eastAsia="仿宋_GB2312"/>
          <w:color w:val="000000"/>
          <w:sz w:val="32"/>
          <w:szCs w:val="32"/>
        </w:rPr>
        <w:t>万元，大中型载客汽车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万元，其他车型</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辆、小型载客汽车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辆、大中型载客汽车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辆、其他车型</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p>
    <w:p>
      <w:pPr>
        <w:spacing w:line="600" w:lineRule="exact"/>
        <w:ind w:firstLine="643" w:firstLineChars="200"/>
        <w:rPr>
          <w:rFonts w:ascii="仿宋_GB2312" w:eastAsia="仿宋_GB2312"/>
          <w:b/>
          <w:color w:val="auto"/>
          <w:sz w:val="32"/>
          <w:szCs w:val="32"/>
          <w:highlight w:val="none"/>
        </w:rPr>
      </w:pPr>
    </w:p>
    <w:p>
      <w:pPr>
        <w:spacing w:line="600" w:lineRule="exact"/>
        <w:ind w:firstLine="640"/>
        <w:rPr>
          <w:rFonts w:hint="eastAsia" w:ascii="仿宋_GB2312" w:eastAsia="仿宋_GB2312"/>
          <w:color w:val="000000"/>
          <w:sz w:val="32"/>
          <w:szCs w:val="32"/>
        </w:rPr>
      </w:pPr>
      <w:r>
        <w:rPr>
          <w:rFonts w:hint="eastAsia" w:ascii="仿宋_GB2312" w:eastAsia="仿宋_GB2312"/>
          <w:b/>
          <w:color w:val="auto"/>
          <w:sz w:val="32"/>
          <w:szCs w:val="32"/>
          <w:highlight w:val="none"/>
        </w:rPr>
        <w:t>公务用车运行维护费支出</w:t>
      </w:r>
      <w:r>
        <w:rPr>
          <w:rFonts w:hint="eastAsia" w:ascii="仿宋_GB2312" w:eastAsia="仿宋_GB2312"/>
          <w:color w:val="000000"/>
          <w:sz w:val="32"/>
          <w:szCs w:val="32"/>
          <w:lang w:val="en-US" w:eastAsia="zh-CN"/>
        </w:rPr>
        <w:t>6.42</w:t>
      </w:r>
      <w:r>
        <w:rPr>
          <w:rFonts w:hint="eastAsia" w:ascii="仿宋_GB2312" w:eastAsia="仿宋_GB2312"/>
          <w:color w:val="000000"/>
          <w:sz w:val="32"/>
          <w:szCs w:val="32"/>
        </w:rPr>
        <w:t>万元。主要用</w:t>
      </w:r>
      <w:r>
        <w:rPr>
          <w:rFonts w:hint="eastAsia" w:ascii="仿宋_GB2312" w:eastAsia="仿宋_GB2312"/>
          <w:color w:val="000000"/>
          <w:sz w:val="32"/>
          <w:szCs w:val="32"/>
          <w:lang w:val="en-US" w:eastAsia="zh-CN"/>
        </w:rPr>
        <w:t>于</w:t>
      </w:r>
      <w:r>
        <w:rPr>
          <w:rFonts w:hint="eastAsia" w:ascii="仿宋_GB2312" w:eastAsia="仿宋_GB2312"/>
          <w:color w:val="000000"/>
          <w:sz w:val="32"/>
          <w:szCs w:val="32"/>
          <w:lang w:eastAsia="zh-CN"/>
        </w:rPr>
        <w:t>公共卫生下乡体检、新冠疫情防控</w:t>
      </w:r>
      <w:r>
        <w:rPr>
          <w:rFonts w:hint="eastAsia" w:ascii="仿宋_GB2312" w:eastAsia="仿宋_GB2312"/>
          <w:color w:val="000000"/>
          <w:sz w:val="32"/>
          <w:szCs w:val="32"/>
          <w:lang w:val="en-US" w:eastAsia="zh-CN"/>
        </w:rPr>
        <w:t>及核酸转运</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auto"/>
          <w:sz w:val="32"/>
          <w:szCs w:val="32"/>
          <w:highlight w:val="none"/>
        </w:rPr>
      </w:pPr>
    </w:p>
    <w:p>
      <w:pPr>
        <w:spacing w:line="600" w:lineRule="exact"/>
        <w:ind w:firstLine="640"/>
        <w:rPr>
          <w:rFonts w:ascii="仿宋_GB2312" w:eastAsia="仿宋_GB2312"/>
          <w:color w:val="000000"/>
          <w:sz w:val="32"/>
          <w:szCs w:val="32"/>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持平</w:t>
      </w:r>
      <w:r>
        <w:rPr>
          <w:rFonts w:hint="eastAsia" w:ascii="仿宋_GB2312" w:eastAsia="仿宋_GB2312"/>
          <w:color w:val="000000"/>
          <w:sz w:val="32"/>
          <w:szCs w:val="32"/>
        </w:rPr>
        <w:t>。其中：</w:t>
      </w:r>
    </w:p>
    <w:p>
      <w:pPr>
        <w:spacing w:line="600" w:lineRule="exact"/>
        <w:ind w:firstLine="640"/>
        <w:rPr>
          <w:rFonts w:ascii="仿宋_GB2312" w:eastAsia="仿宋_GB2312"/>
          <w:color w:val="auto"/>
          <w:sz w:val="32"/>
          <w:szCs w:val="32"/>
          <w:highlight w:val="none"/>
        </w:rPr>
      </w:pPr>
    </w:p>
    <w:p>
      <w:pPr>
        <w:spacing w:line="600" w:lineRule="exact"/>
        <w:ind w:firstLine="64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3" w:firstLineChars="20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0"/>
        <w:outlineLvl w:val="1"/>
        <w:rPr>
          <w:rFonts w:ascii="黑体" w:eastAsia="黑体"/>
          <w:color w:val="auto"/>
          <w:sz w:val="32"/>
          <w:szCs w:val="32"/>
          <w:highlight w:val="none"/>
        </w:rPr>
      </w:pPr>
      <w:bookmarkStart w:id="37" w:name="_Toc15377218"/>
      <w:bookmarkStart w:id="38" w:name="_Toc15396610"/>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37"/>
      <w:bookmarkEnd w:id="38"/>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0.6</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3"/>
        </w:numPr>
        <w:spacing w:line="600" w:lineRule="exact"/>
        <w:ind w:firstLine="640"/>
        <w:outlineLvl w:val="1"/>
        <w:rPr>
          <w:rStyle w:val="26"/>
          <w:rFonts w:ascii="黑体" w:hAnsi="黑体" w:eastAsia="黑体"/>
          <w:b w:val="0"/>
          <w:color w:val="auto"/>
          <w:highlight w:val="none"/>
        </w:rPr>
      </w:pPr>
      <w:bookmarkStart w:id="39" w:name="_Toc15396611"/>
      <w:bookmarkStart w:id="40" w:name="_Toc15377219"/>
      <w:r>
        <w:rPr>
          <w:rStyle w:val="26"/>
          <w:rFonts w:hint="eastAsia" w:ascii="黑体" w:hAnsi="黑体" w:eastAsia="黑体"/>
          <w:b w:val="0"/>
          <w:color w:val="auto"/>
          <w:highlight w:val="none"/>
        </w:rPr>
        <w:t>国有资本经营预算支出决算情况说明</w:t>
      </w:r>
      <w:bookmarkEnd w:id="39"/>
      <w:bookmarkEnd w:id="40"/>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3"/>
        </w:numPr>
        <w:spacing w:line="600" w:lineRule="exact"/>
        <w:ind w:firstLine="640"/>
        <w:outlineLvl w:val="1"/>
        <w:rPr>
          <w:rStyle w:val="26"/>
          <w:rFonts w:hint="eastAsia" w:ascii="黑体" w:hAnsi="黑体" w:eastAsia="黑体"/>
          <w:b w:val="0"/>
          <w:color w:val="auto"/>
          <w:highlight w:val="none"/>
        </w:rPr>
      </w:pPr>
      <w:bookmarkStart w:id="41" w:name="_Toc15396612"/>
      <w:bookmarkStart w:id="42" w:name="_Toc15377221"/>
      <w:r>
        <w:rPr>
          <w:rStyle w:val="26"/>
          <w:rFonts w:hint="eastAsia" w:ascii="黑体" w:hAnsi="黑体" w:eastAsia="黑体"/>
          <w:b w:val="0"/>
          <w:color w:val="auto"/>
          <w:highlight w:val="none"/>
        </w:rPr>
        <w:t>其他重要事项的情况说明</w:t>
      </w:r>
      <w:bookmarkEnd w:id="41"/>
      <w:bookmarkEnd w:id="42"/>
    </w:p>
    <w:p>
      <w:pPr>
        <w:spacing w:line="600" w:lineRule="exact"/>
        <w:ind w:firstLine="643" w:firstLineChars="200"/>
        <w:outlineLvl w:val="2"/>
        <w:rPr>
          <w:rFonts w:ascii="仿宋" w:hAnsi="仿宋" w:eastAsia="仿宋"/>
          <w:color w:val="auto"/>
          <w:sz w:val="32"/>
          <w:szCs w:val="32"/>
          <w:highlight w:val="none"/>
        </w:rPr>
      </w:pPr>
      <w:bookmarkStart w:id="43" w:name="_Toc15377222"/>
      <w:r>
        <w:rPr>
          <w:rFonts w:hint="eastAsia" w:ascii="仿宋" w:hAnsi="仿宋" w:eastAsia="仿宋"/>
          <w:b/>
          <w:color w:val="auto"/>
          <w:sz w:val="32"/>
          <w:szCs w:val="32"/>
          <w:highlight w:val="none"/>
        </w:rPr>
        <w:t>（一）机关运行经费支出情况</w:t>
      </w:r>
      <w:bookmarkEnd w:id="43"/>
    </w:p>
    <w:p>
      <w:pPr>
        <w:spacing w:line="600" w:lineRule="exact"/>
        <w:ind w:firstLine="640"/>
        <w:rPr>
          <w:rFonts w:hint="eastAsia" w:ascii="仿宋" w:hAnsi="仿宋" w:eastAsia="仿宋"/>
          <w:i/>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仁和区前进镇卫生院属于财政补助的事业单位，无机关运行经费。</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4" w:name="_Toc15377223"/>
      <w:r>
        <w:rPr>
          <w:rFonts w:hint="eastAsia" w:ascii="仿宋" w:hAnsi="仿宋" w:eastAsia="仿宋"/>
          <w:b/>
          <w:color w:val="auto"/>
          <w:sz w:val="32"/>
          <w:szCs w:val="32"/>
          <w:highlight w:val="none"/>
        </w:rPr>
        <w:t>（二）政府采购支出情况</w:t>
      </w:r>
      <w:bookmarkEnd w:id="44"/>
    </w:p>
    <w:p>
      <w:pPr>
        <w:spacing w:line="600" w:lineRule="exact"/>
        <w:ind w:firstLine="640" w:firstLineChars="200"/>
        <w:rPr>
          <w:rFonts w:hint="default" w:ascii="仿宋_GB2312" w:eastAsia="仿宋_GB2312"/>
          <w:color w:val="000000"/>
          <w:sz w:val="32"/>
          <w:szCs w:val="32"/>
          <w:lang w:val="en-US" w:eastAsia="zh-CN"/>
        </w:rPr>
      </w:pP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仁和区前进镇卫生院未发生政府采购支出。</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5" w:name="_Toc15377224"/>
      <w:r>
        <w:rPr>
          <w:rFonts w:hint="eastAsia" w:ascii="仿宋" w:hAnsi="仿宋" w:eastAsia="仿宋"/>
          <w:b/>
          <w:color w:val="auto"/>
          <w:sz w:val="32"/>
          <w:szCs w:val="32"/>
          <w:highlight w:val="none"/>
        </w:rPr>
        <w:t>（三）国有资产占有使用情况</w:t>
      </w:r>
      <w:bookmarkEnd w:id="45"/>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仁和区前进镇卫生院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辆，其中：副部（省）级及以上领导用车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辆、离退休干部用车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辆。其中：其他用车主要是用于其他用车主要是用于用于</w:t>
      </w:r>
      <w:r>
        <w:rPr>
          <w:rFonts w:hint="eastAsia" w:ascii="仿宋_GB2312" w:eastAsia="仿宋_GB2312"/>
          <w:color w:val="000000"/>
          <w:sz w:val="32"/>
          <w:szCs w:val="32"/>
          <w:lang w:val="en-US" w:eastAsia="zh-CN"/>
        </w:rPr>
        <w:t>医院基本公共卫生服务下乡体检、入户随访及疫情防控相关工作所用</w:t>
      </w:r>
      <w:r>
        <w:rPr>
          <w:rFonts w:hint="eastAsia" w:ascii="仿宋_GB2312" w:eastAsia="仿宋_GB2312"/>
          <w:color w:val="000000"/>
          <w:sz w:val="32"/>
          <w:szCs w:val="32"/>
        </w:rPr>
        <w:t>。</w:t>
      </w:r>
    </w:p>
    <w:p>
      <w:pPr>
        <w:autoSpaceDE w:val="0"/>
        <w:autoSpaceDN w:val="0"/>
        <w:adjustRightInd w:val="0"/>
        <w:spacing w:line="600" w:lineRule="exact"/>
        <w:ind w:firstLine="640" w:firstLineChars="200"/>
        <w:jc w:val="left"/>
        <w:rPr>
          <w:rFonts w:hint="eastAsia" w:ascii="仿宋" w:hAnsi="仿宋" w:eastAsia="仿宋_GB2312"/>
          <w:b/>
          <w:color w:val="FF0000"/>
          <w:sz w:val="32"/>
          <w:szCs w:val="32"/>
          <w:lang w:val="en-US" w:eastAsia="zh-CN"/>
        </w:rPr>
      </w:pP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adjustRightInd w:val="0"/>
        <w:snapToGrid w:val="0"/>
        <w:spacing w:line="560" w:lineRule="exact"/>
        <w:ind w:firstLine="720"/>
        <w:rPr>
          <w:rFonts w:ascii="仿宋_GB2312" w:hAnsi="仿宋" w:eastAsia="仿宋_GB2312" w:cs="仿宋_GB2312"/>
          <w:sz w:val="32"/>
          <w:szCs w:val="32"/>
        </w:rPr>
      </w:pPr>
      <w:r>
        <w:rPr>
          <w:rFonts w:hint="eastAsia" w:ascii="仿宋_GB2312" w:hAnsi="仿宋" w:eastAsia="仿宋_GB2312" w:cs="仿宋_GB2312"/>
          <w:sz w:val="32"/>
          <w:szCs w:val="32"/>
        </w:rPr>
        <w:t>根据预算绩效管理要求，本单位在2022年度预算编制阶段，组织对1项目（</w:t>
      </w:r>
      <w:r>
        <w:rPr>
          <w:rFonts w:hint="eastAsia" w:ascii="仿宋_GB2312" w:hAnsi="仿宋" w:eastAsia="仿宋_GB2312"/>
          <w:sz w:val="32"/>
          <w:szCs w:val="32"/>
          <w:lang w:val="zh-CN"/>
        </w:rPr>
        <w:t>医疗卫生管理经费</w:t>
      </w:r>
      <w:r>
        <w:rPr>
          <w:rFonts w:hint="eastAsia" w:ascii="仿宋_GB2312" w:hAnsi="仿宋" w:eastAsia="仿宋_GB2312" w:cs="仿宋_GB2312"/>
          <w:sz w:val="32"/>
          <w:szCs w:val="32"/>
        </w:rPr>
        <w:t>）</w:t>
      </w:r>
      <w:r>
        <w:rPr>
          <w:rFonts w:hint="eastAsia" w:ascii="仿宋_GB2312" w:hAnsi="仿宋" w:eastAsia="仿宋_GB2312"/>
          <w:sz w:val="32"/>
        </w:rPr>
        <w:t>编制了绩效目标，预算执行过程中，选取</w:t>
      </w:r>
      <w:r>
        <w:rPr>
          <w:rFonts w:hint="eastAsia" w:ascii="仿宋_GB2312" w:hAnsi="仿宋" w:eastAsia="仿宋_GB2312" w:cs="仿宋_GB2312"/>
          <w:sz w:val="32"/>
          <w:szCs w:val="32"/>
        </w:rPr>
        <w:t>1个项目开展了绩效监控。</w:t>
      </w:r>
    </w:p>
    <w:p>
      <w:pPr>
        <w:widowControl/>
        <w:shd w:val="clear" w:color="auto" w:fill="FFFFFF"/>
        <w:spacing w:line="560" w:lineRule="exact"/>
        <w:ind w:firstLine="640"/>
        <w:rPr>
          <w:rFonts w:ascii="仿宋_GB2312" w:hAnsi="仿宋" w:eastAsia="仿宋_GB2312" w:cs="仿宋_GB2312"/>
          <w:sz w:val="32"/>
          <w:szCs w:val="32"/>
        </w:rPr>
      </w:pPr>
      <w:r>
        <w:rPr>
          <w:rFonts w:hint="eastAsia" w:ascii="仿宋_GB2312" w:hAnsi="仿宋" w:eastAsia="仿宋_GB2312"/>
          <w:sz w:val="32"/>
        </w:rPr>
        <w:t>组织对2022年度医疗卫生管理经费全面开展绩效自评，形成卫卫生院整体绩效自评报告、其中，卫生卫生院整体绩效自评得分为81.9分，绩效自评综述：</w:t>
      </w:r>
      <w:r>
        <w:rPr>
          <w:rFonts w:hint="eastAsia" w:ascii="仿宋_GB2312" w:hAnsi="仿宋" w:eastAsia="仿宋_GB2312" w:cs="仿宋_GB2312"/>
          <w:sz w:val="32"/>
          <w:szCs w:val="32"/>
        </w:rPr>
        <w:t>围绕基本职能和工作目标任务，</w:t>
      </w:r>
      <w:r>
        <w:rPr>
          <w:rFonts w:hint="eastAsia" w:ascii="仿宋_GB2312" w:hAnsi="仿宋" w:eastAsia="仿宋_GB2312" w:cs="仿宋"/>
          <w:sz w:val="32"/>
          <w:szCs w:val="32"/>
        </w:rPr>
        <w:t>完成年内项目组织管理任务，做好各类项目执行的全过程监督管理工作，确保各类项目按计划有效实施，体现了政策导向，长期保障工作平稳进行。</w:t>
      </w:r>
      <w:r>
        <w:rPr>
          <w:rFonts w:hint="eastAsia" w:ascii="仿宋_GB2312" w:hAnsi="仿宋" w:eastAsia="仿宋_GB2312"/>
          <w:color w:val="000000"/>
          <w:sz w:val="32"/>
        </w:rPr>
        <w:t>2022</w:t>
      </w:r>
      <w:r>
        <w:rPr>
          <w:rFonts w:hint="eastAsia" w:ascii="仿宋_GB2312" w:hAnsi="仿宋" w:eastAsia="仿宋_GB2312" w:cs="宋体"/>
          <w:color w:val="000000"/>
          <w:sz w:val="32"/>
          <w:szCs w:val="32"/>
        </w:rPr>
        <w:t>年医疗卫生管理经费总体运行良好，个别指标达到上级要求、仍存在差距，仍需进一步加强和改进工作。</w:t>
      </w:r>
      <w:r>
        <w:rPr>
          <w:rFonts w:hint="eastAsia" w:ascii="仿宋_GB2312" w:hAnsi="仿宋" w:eastAsia="仿宋_GB2312" w:cs="仿宋_GB2312"/>
          <w:sz w:val="32"/>
          <w:szCs w:val="32"/>
        </w:rPr>
        <w:t>绩效自评表详见第四部分附件。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5"/>
          <w:rFonts w:ascii="黑体" w:hAnsi="黑体" w:eastAsia="黑体"/>
          <w:b w:val="0"/>
          <w:color w:val="auto"/>
          <w:highlight w:val="none"/>
        </w:rPr>
      </w:pPr>
      <w:bookmarkStart w:id="46" w:name="_Toc15377225"/>
      <w:bookmarkStart w:id="47"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6"/>
      <w:bookmarkEnd w:id="47"/>
    </w:p>
    <w:p>
      <w:pPr>
        <w:spacing w:line="600" w:lineRule="exact"/>
        <w:jc w:val="left"/>
        <w:rPr>
          <w:rFonts w:ascii="宋体"/>
          <w:b/>
          <w:color w:val="auto"/>
          <w:sz w:val="44"/>
          <w:szCs w:val="44"/>
          <w:highlight w:val="none"/>
        </w:rPr>
      </w:pP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10.</w:t>
      </w:r>
      <w:r>
        <w:rPr>
          <w:rFonts w:hint="eastAsia" w:ascii="仿宋_GB2312" w:eastAsia="仿宋_GB2312"/>
          <w:color w:val="auto"/>
          <w:sz w:val="32"/>
          <w:szCs w:val="32"/>
          <w:highlight w:val="none"/>
        </w:rPr>
        <w:t>外交（类）…（款）…（项）：指……。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公共安全（类）…（款）…（项）：指……。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_GB2312" w:eastAsia="仿宋_GB2312"/>
          <w:color w:val="auto"/>
          <w:sz w:val="32"/>
          <w:szCs w:val="32"/>
          <w:highlight w:val="none"/>
        </w:rPr>
        <w:t>教育（类）…（款）…（项）：指……。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13.</w:t>
      </w:r>
      <w:r>
        <w:rPr>
          <w:rFonts w:hint="eastAsia" w:ascii="仿宋_GB2312" w:eastAsia="仿宋_GB2312"/>
          <w:color w:val="auto"/>
          <w:sz w:val="32"/>
          <w:szCs w:val="32"/>
          <w:highlight w:val="none"/>
        </w:rPr>
        <w:t>科学技术（类）…（款）…（项）：指……。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14.</w:t>
      </w:r>
      <w:r>
        <w:rPr>
          <w:rFonts w:hint="eastAsia" w:ascii="仿宋_GB2312" w:eastAsia="仿宋_GB2312"/>
          <w:color w:val="auto"/>
          <w:sz w:val="32"/>
          <w:szCs w:val="32"/>
          <w:highlight w:val="none"/>
        </w:rPr>
        <w:t>文化</w:t>
      </w:r>
      <w:r>
        <w:rPr>
          <w:rFonts w:hint="eastAsia" w:ascii="仿宋_GB2312" w:eastAsia="仿宋_GB2312"/>
          <w:color w:val="auto"/>
          <w:sz w:val="32"/>
          <w:szCs w:val="32"/>
          <w:highlight w:val="none"/>
          <w:lang w:eastAsia="zh-CN"/>
        </w:rPr>
        <w:t>旅游</w:t>
      </w:r>
      <w:r>
        <w:rPr>
          <w:rFonts w:hint="eastAsia" w:ascii="仿宋_GB2312" w:eastAsia="仿宋_GB2312"/>
          <w:color w:val="auto"/>
          <w:sz w:val="32"/>
          <w:szCs w:val="32"/>
          <w:highlight w:val="none"/>
        </w:rPr>
        <w:t>体育与传媒（类）…（款）…（项）：指……。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15.</w:t>
      </w:r>
      <w:r>
        <w:rPr>
          <w:rFonts w:hint="eastAsia" w:ascii="仿宋_GB2312" w:eastAsia="仿宋_GB2312"/>
          <w:color w:val="auto"/>
          <w:sz w:val="32"/>
          <w:szCs w:val="32"/>
          <w:highlight w:val="none"/>
        </w:rPr>
        <w:t>社会保障和就业（类）…（款）…（项）：指……。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16.</w:t>
      </w:r>
      <w:r>
        <w:rPr>
          <w:rFonts w:hint="eastAsia" w:ascii="仿宋_GB2312" w:eastAsia="仿宋_GB2312"/>
          <w:color w:val="auto"/>
          <w:sz w:val="32"/>
          <w:szCs w:val="32"/>
          <w:highlight w:val="none"/>
          <w:lang w:eastAsia="zh-CN"/>
        </w:rPr>
        <w:t>卫生健康</w:t>
      </w:r>
      <w:r>
        <w:rPr>
          <w:rFonts w:hint="eastAsia" w:ascii="仿宋_GB2312" w:eastAsia="仿宋_GB2312"/>
          <w:color w:val="auto"/>
          <w:sz w:val="32"/>
          <w:szCs w:val="32"/>
          <w:highlight w:val="none"/>
        </w:rPr>
        <w:t>（类）…（款）…（项）：指……。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17.</w:t>
      </w:r>
      <w:r>
        <w:rPr>
          <w:rFonts w:hint="eastAsia" w:ascii="仿宋_GB2312" w:eastAsia="仿宋_GB2312"/>
          <w:color w:val="auto"/>
          <w:sz w:val="32"/>
          <w:szCs w:val="32"/>
          <w:highlight w:val="none"/>
        </w:rPr>
        <w:t>节能环保（类）…（款）…（项）：指……。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18.</w:t>
      </w:r>
      <w:r>
        <w:rPr>
          <w:rFonts w:hint="eastAsia" w:ascii="仿宋_GB2312" w:eastAsia="仿宋_GB2312"/>
          <w:color w:val="auto"/>
          <w:sz w:val="32"/>
          <w:szCs w:val="32"/>
          <w:highlight w:val="none"/>
        </w:rPr>
        <w:t>城乡社区（类）…（款）…（项）：指……。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19.</w:t>
      </w:r>
      <w:r>
        <w:rPr>
          <w:rFonts w:hint="eastAsia" w:ascii="仿宋_GB2312" w:eastAsia="仿宋_GB2312"/>
          <w:color w:val="auto"/>
          <w:sz w:val="32"/>
          <w:szCs w:val="32"/>
          <w:highlight w:val="none"/>
        </w:rPr>
        <w:t>农林水（类）…（款）…（项）：指……。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交通运输（类）…（款）…（项）：指……。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21.</w:t>
      </w:r>
      <w:r>
        <w:rPr>
          <w:rFonts w:hint="eastAsia" w:ascii="仿宋_GB2312" w:eastAsia="仿宋_GB2312"/>
          <w:color w:val="auto"/>
          <w:sz w:val="32"/>
          <w:szCs w:val="32"/>
          <w:highlight w:val="none"/>
        </w:rPr>
        <w:t>资源勘探</w:t>
      </w:r>
      <w:r>
        <w:rPr>
          <w:rFonts w:hint="eastAsia" w:ascii="仿宋_GB2312" w:eastAsia="仿宋_GB2312"/>
          <w:color w:val="auto"/>
          <w:sz w:val="32"/>
          <w:szCs w:val="32"/>
          <w:highlight w:val="none"/>
          <w:lang w:eastAsia="zh-CN"/>
        </w:rPr>
        <w:t>工业</w:t>
      </w:r>
      <w:r>
        <w:rPr>
          <w:rFonts w:hint="eastAsia" w:ascii="仿宋_GB2312" w:eastAsia="仿宋_GB2312"/>
          <w:color w:val="auto"/>
          <w:sz w:val="32"/>
          <w:szCs w:val="32"/>
          <w:highlight w:val="none"/>
        </w:rPr>
        <w:t>信息等（类）…（款）…（项）：指……。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22.</w:t>
      </w:r>
      <w:r>
        <w:rPr>
          <w:rFonts w:hint="eastAsia" w:ascii="仿宋_GB2312" w:eastAsia="仿宋_GB2312"/>
          <w:color w:val="auto"/>
          <w:sz w:val="32"/>
          <w:szCs w:val="32"/>
          <w:highlight w:val="none"/>
        </w:rPr>
        <w:t>商业服务业（类）…（款）…（项）：指……。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23.</w:t>
      </w:r>
      <w:r>
        <w:rPr>
          <w:rFonts w:hint="eastAsia" w:ascii="仿宋_GB2312" w:eastAsia="仿宋_GB2312"/>
          <w:color w:val="auto"/>
          <w:sz w:val="32"/>
          <w:szCs w:val="32"/>
          <w:highlight w:val="none"/>
        </w:rPr>
        <w:t>金融（类）…（款）…（项）：指……。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24.</w:t>
      </w:r>
      <w:r>
        <w:rPr>
          <w:rFonts w:hint="eastAsia" w:ascii="仿宋_GB2312" w:eastAsia="仿宋_GB2312"/>
          <w:color w:val="auto"/>
          <w:sz w:val="32"/>
          <w:szCs w:val="32"/>
          <w:highlight w:val="none"/>
          <w:lang w:eastAsia="zh-CN"/>
        </w:rPr>
        <w:t>自然资源</w:t>
      </w:r>
      <w:r>
        <w:rPr>
          <w:rFonts w:hint="eastAsia" w:ascii="仿宋_GB2312" w:eastAsia="仿宋_GB2312"/>
          <w:color w:val="auto"/>
          <w:sz w:val="32"/>
          <w:szCs w:val="32"/>
          <w:highlight w:val="none"/>
        </w:rPr>
        <w:t>海洋气象等（类）…（款）…（项）：指……。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25.</w:t>
      </w:r>
      <w:r>
        <w:rPr>
          <w:rFonts w:hint="eastAsia" w:ascii="仿宋_GB2312" w:eastAsia="仿宋_GB2312"/>
          <w:color w:val="auto"/>
          <w:sz w:val="32"/>
          <w:szCs w:val="32"/>
          <w:highlight w:val="none"/>
        </w:rPr>
        <w:t>住房保障（类）…（款）…（项）：指……。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26.</w:t>
      </w:r>
      <w:r>
        <w:rPr>
          <w:rFonts w:hint="eastAsia" w:ascii="仿宋_GB2312" w:eastAsia="仿宋_GB2312"/>
          <w:color w:val="auto"/>
          <w:sz w:val="32"/>
          <w:szCs w:val="32"/>
          <w:highlight w:val="none"/>
        </w:rPr>
        <w:t>粮油物资储备（类）…（款）…（项）：指……。</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年政府收支分类科目》增减内容。）</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27.</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29.</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30.</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31.</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32.</w:t>
      </w:r>
      <w:r>
        <w:rPr>
          <w:rFonts w:hint="eastAsia" w:ascii="仿宋_GB2312" w:eastAsia="仿宋_GB2312"/>
          <w:color w:val="auto"/>
          <w:sz w:val="32"/>
          <w:szCs w:val="32"/>
          <w:highlight w:val="none"/>
        </w:rPr>
        <w:t>……。</w:t>
      </w:r>
    </w:p>
    <w:p>
      <w:pPr>
        <w:pStyle w:val="23"/>
        <w:spacing w:line="560" w:lineRule="exact"/>
        <w:ind w:firstLine="640" w:firstLineChars="200"/>
        <w:rPr>
          <w:rFonts w:ascii="仿宋_GB2312" w:eastAsia="仿宋_GB2312" w:cs="黑体"/>
          <w:color w:val="auto"/>
          <w:sz w:val="32"/>
          <w:szCs w:val="32"/>
          <w:highlight w:val="none"/>
        </w:rPr>
      </w:pPr>
    </w:p>
    <w:p>
      <w:pPr>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实际列支情况罗列，并根据本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职责职能增减名词解释内容。）</w:t>
      </w:r>
    </w:p>
    <w:p>
      <w:pPr>
        <w:spacing w:line="600" w:lineRule="exact"/>
        <w:jc w:val="center"/>
        <w:outlineLvl w:val="0"/>
        <w:rPr>
          <w:rStyle w:val="25"/>
          <w:rFonts w:ascii="黑体" w:hAnsi="黑体" w:eastAsia="黑体"/>
          <w:b w:val="0"/>
          <w:color w:val="auto"/>
          <w:highlight w:val="none"/>
        </w:rPr>
      </w:pPr>
      <w:bookmarkStart w:id="48" w:name="_Toc15377226"/>
      <w:r>
        <w:rPr>
          <w:rFonts w:ascii="宋体"/>
          <w:b/>
          <w:color w:val="auto"/>
          <w:sz w:val="44"/>
          <w:szCs w:val="44"/>
          <w:highlight w:val="none"/>
        </w:rPr>
        <w:br w:type="page"/>
      </w:r>
      <w:bookmarkStart w:id="49"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49"/>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bookmarkStart w:id="50" w:name="_Toc15396618"/>
      <w:r>
        <w:rPr>
          <w:rFonts w:hint="eastAsia" w:ascii="宋体" w:hAnsi="宋体" w:eastAsia="宋体" w:cs="宋体"/>
          <w:color w:val="auto"/>
          <w:kern w:val="0"/>
          <w:sz w:val="32"/>
          <w:szCs w:val="32"/>
          <w:highlight w:val="none"/>
          <w:lang w:val="en-US" w:eastAsia="zh-CN" w:bidi="ar-SA"/>
        </w:rPr>
        <w:t>部门预算项目支出绩效自评表（2022年度）</w:t>
      </w:r>
    </w:p>
    <w:p>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pPr>
        <w:spacing w:line="600" w:lineRule="exact"/>
        <w:ind w:firstLine="640" w:firstLineChars="200"/>
        <w:jc w:val="left"/>
        <w:outlineLvl w:val="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（备注：按照绩效自评工作安排，各单位可在预算管理一体化系统—综合报表查询—预算绩效报表模块中下载本单位“部门预算项目支出绩效自评表（2022年度）”，该表格应作为附件予以公开。）</w:t>
      </w: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48"/>
      <w:bookmarkEnd w:id="50"/>
      <w:bookmarkStart w:id="51"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1"/>
    </w:p>
    <w:p>
      <w:pPr>
        <w:pStyle w:val="4"/>
        <w:rPr>
          <w:rFonts w:ascii="仿宋" w:hAnsi="仿宋" w:eastAsia="仿宋"/>
          <w:color w:val="auto"/>
          <w:highlight w:val="none"/>
        </w:rPr>
      </w:pPr>
      <w:bookmarkStart w:id="52"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2"/>
    </w:p>
    <w:p>
      <w:pPr>
        <w:pStyle w:val="4"/>
        <w:rPr>
          <w:rFonts w:ascii="仿宋" w:hAnsi="仿宋" w:eastAsia="仿宋"/>
          <w:color w:val="auto"/>
          <w:highlight w:val="none"/>
        </w:rPr>
      </w:pPr>
      <w:bookmarkStart w:id="53"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3"/>
    </w:p>
    <w:p>
      <w:pPr>
        <w:pStyle w:val="4"/>
        <w:rPr>
          <w:rFonts w:ascii="仿宋" w:hAnsi="仿宋" w:eastAsia="仿宋"/>
          <w:b w:val="0"/>
          <w:color w:val="auto"/>
          <w:highlight w:val="none"/>
        </w:rPr>
      </w:pPr>
      <w:bookmarkStart w:id="54"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4"/>
    </w:p>
    <w:p>
      <w:pPr>
        <w:pStyle w:val="4"/>
        <w:rPr>
          <w:rStyle w:val="26"/>
          <w:rFonts w:ascii="仿宋" w:hAnsi="仿宋" w:eastAsia="仿宋"/>
          <w:b w:val="0"/>
          <w:bCs w:val="0"/>
          <w:color w:val="auto"/>
          <w:highlight w:val="none"/>
        </w:rPr>
      </w:pPr>
      <w:bookmarkStart w:id="55"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5"/>
      <w:bookmarkStart w:id="56" w:name="_Toc15396624"/>
    </w:p>
    <w:p>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6"/>
    </w:p>
    <w:p>
      <w:pPr>
        <w:pStyle w:val="4"/>
        <w:rPr>
          <w:rFonts w:ascii="仿宋" w:hAnsi="仿宋" w:eastAsia="仿宋"/>
          <w:color w:val="auto"/>
          <w:highlight w:val="none"/>
        </w:rPr>
      </w:pPr>
      <w:bookmarkStart w:id="57"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57"/>
    </w:p>
    <w:p>
      <w:pPr>
        <w:pStyle w:val="4"/>
        <w:rPr>
          <w:rFonts w:ascii="仿宋" w:hAnsi="仿宋" w:eastAsia="仿宋"/>
          <w:color w:val="auto"/>
          <w:highlight w:val="none"/>
        </w:rPr>
      </w:pPr>
      <w:bookmarkStart w:id="58"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58"/>
    </w:p>
    <w:p>
      <w:pPr>
        <w:pStyle w:val="4"/>
        <w:rPr>
          <w:rFonts w:ascii="仿宋" w:hAnsi="仿宋" w:eastAsia="仿宋"/>
          <w:color w:val="auto"/>
          <w:highlight w:val="none"/>
        </w:rPr>
      </w:pPr>
      <w:bookmarkStart w:id="59"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59"/>
    </w:p>
    <w:p>
      <w:pPr>
        <w:pStyle w:val="4"/>
        <w:rPr>
          <w:rFonts w:ascii="仿宋" w:hAnsi="仿宋" w:eastAsia="仿宋"/>
          <w:color w:val="auto"/>
          <w:highlight w:val="none"/>
        </w:rPr>
      </w:pPr>
      <w:bookmarkStart w:id="60" w:name="_Toc15396628"/>
      <w:r>
        <w:rPr>
          <w:rStyle w:val="26"/>
          <w:rFonts w:hint="eastAsia" w:ascii="仿宋" w:hAnsi="仿宋" w:eastAsia="仿宋"/>
          <w:b w:val="0"/>
          <w:bCs w:val="0"/>
          <w:color w:val="auto"/>
          <w:highlight w:val="none"/>
        </w:rPr>
        <w:t>十、</w:t>
      </w:r>
      <w:bookmarkEnd w:id="60"/>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1" w:name="_Toc15396629"/>
      <w:r>
        <w:rPr>
          <w:rStyle w:val="26"/>
          <w:rFonts w:hint="eastAsia" w:ascii="仿宋" w:hAnsi="仿宋" w:eastAsia="仿宋"/>
          <w:b w:val="0"/>
          <w:bCs w:val="0"/>
          <w:color w:val="auto"/>
          <w:highlight w:val="none"/>
        </w:rPr>
        <w:t>十一、</w:t>
      </w:r>
      <w:bookmarkEnd w:id="61"/>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2" w:name="_Toc15396630"/>
      <w:r>
        <w:rPr>
          <w:rStyle w:val="26"/>
          <w:rFonts w:hint="eastAsia" w:ascii="仿宋" w:hAnsi="仿宋" w:eastAsia="仿宋"/>
          <w:b w:val="0"/>
          <w:bCs w:val="0"/>
          <w:color w:val="auto"/>
          <w:highlight w:val="none"/>
        </w:rPr>
        <w:t>十二、</w:t>
      </w:r>
      <w:bookmarkEnd w:id="62"/>
      <w:r>
        <w:rPr>
          <w:rStyle w:val="26"/>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3" w:name="_Toc15396631"/>
      <w:r>
        <w:rPr>
          <w:rStyle w:val="26"/>
          <w:rFonts w:hint="eastAsia" w:ascii="仿宋" w:hAnsi="仿宋" w:eastAsia="仿宋"/>
          <w:b w:val="0"/>
          <w:bCs w:val="0"/>
          <w:color w:val="auto"/>
          <w:highlight w:val="none"/>
        </w:rPr>
        <w:t>十三、</w:t>
      </w:r>
      <w:bookmarkEnd w:id="63"/>
      <w:r>
        <w:rPr>
          <w:rStyle w:val="26"/>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DE250CF"/>
    <w:rsid w:val="2EFA178C"/>
    <w:rsid w:val="30B46D73"/>
    <w:rsid w:val="319F7F4E"/>
    <w:rsid w:val="383D272C"/>
    <w:rsid w:val="39AE70AB"/>
    <w:rsid w:val="3C0C0783"/>
    <w:rsid w:val="3F9F3A96"/>
    <w:rsid w:val="47E91488"/>
    <w:rsid w:val="48BF60AB"/>
    <w:rsid w:val="493C27E9"/>
    <w:rsid w:val="496F39ED"/>
    <w:rsid w:val="49FF41D3"/>
    <w:rsid w:val="4BE068DB"/>
    <w:rsid w:val="4BF6002B"/>
    <w:rsid w:val="4D9F6470"/>
    <w:rsid w:val="4ECE2238"/>
    <w:rsid w:val="51DB4B86"/>
    <w:rsid w:val="55333C3E"/>
    <w:rsid w:val="64CA39A1"/>
    <w:rsid w:val="69630ADE"/>
    <w:rsid w:val="6C4A05C8"/>
    <w:rsid w:val="6D3B1A89"/>
    <w:rsid w:val="71BF4EC2"/>
    <w:rsid w:val="72734D90"/>
    <w:rsid w:val="7412278C"/>
    <w:rsid w:val="74777A7A"/>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3"/>
    <w:qFormat/>
    <w:uiPriority w:val="9"/>
    <w:rPr>
      <w:rFonts w:ascii="Times New Roman" w:hAnsi="Times New Roman"/>
      <w:b/>
      <w:bCs/>
      <w:kern w:val="44"/>
      <w:sz w:val="44"/>
      <w:szCs w:val="44"/>
    </w:rPr>
  </w:style>
  <w:style w:type="character" w:customStyle="1" w:styleId="26">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15.xml"/><Relationship Id="rId2" Type="http://schemas.openxmlformats.org/officeDocument/2006/relationships/settings" Target="settings.xml"/><Relationship Id="rId19" Type="http://schemas.openxmlformats.org/officeDocument/2006/relationships/chart" Target="charts/chart14.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I:\2020&#24180;&#36130;&#21153;&#36164;&#26009;\2019&#24180;&#20915;&#31639;&#20844;&#24320;\&#26032;&#20570;&#22270;&#34920;%20Microsoft%20Excel%2097-2003%20&#24037;&#20316;&#34920;%20(2).xls"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570;&#22270;&#34920;%20Microsoft%20Excel%2097-2003%20&#24037;&#20316;&#34920;%20(2).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istrator\Desktop\&#20570;&#22270;&#34920;%20Microsoft%20Excel%2097-2003%20&#24037;&#20316;&#34920;%20(2).xls"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dministrator\Desktop\&#20570;&#22270;&#34920;%20Microsoft%20Excel%2097-2003%20&#24037;&#20316;&#34920;%20(2).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istrator\Desktop\&#20570;&#22270;&#34920;%20Microsoft%20Excel%2097-2003%20&#24037;&#20316;&#34920;%20(2).xls"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570;&#22270;&#34920;%20Microsoft%20Excel%2097-2003%20&#24037;&#20316;&#34920;%20(2).xls"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Administrator\Desktop\&#20570;&#22270;&#34920;%20Microsoft%20Excel%2097-2003%20&#24037;&#20316;&#34920;%20(2).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570;&#22270;&#34920;%20Microsoft%20Excel%2097-2003%20&#24037;&#20316;&#34920;%20(2).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570;&#22270;&#34920;%20Microsoft%20Excel%2097-2003%20&#24037;&#20316;&#34920;%20(2).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570;&#22270;&#34920;%20Microsoft%20Excel%2097-2003%20&#24037;&#20316;&#34920;%20(2).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570;&#22270;&#34920;%20Microsoft%20Excel%2097-2003%20&#24037;&#20316;&#34920;%20(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570;&#22270;&#34920;%20Microsoft%20Excel%2097-2003%20&#24037;&#20316;&#34920;%20(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570;&#22270;&#34920;%20Microsoft%20Excel%2097-2003%20&#24037;&#20316;&#34920;%20(2).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esktop\&#20570;&#22270;&#34920;%20Microsoft%20Excel%2097-2003%20&#24037;&#20316;&#34920;%20(2).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esktop\&#20570;&#22270;&#34920;%20Microsoft%20Excel%2097-2003%20&#24037;&#20316;&#34920;%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前进镇卫生院财政拨款收入支出决算总计变动图</a:t>
            </a:r>
          </a:p>
        </c:rich>
      </c:tx>
      <c:layout>
        <c:manualLayout>
          <c:xMode val="edge"/>
          <c:yMode val="edge"/>
          <c:x val="0.116666666666667"/>
          <c:y val="0.00694444444444444"/>
        </c:manualLayout>
      </c:layout>
      <c:overlay val="0"/>
      <c:spPr>
        <a:noFill/>
        <a:ln>
          <a:noFill/>
        </a:ln>
        <a:effectLst/>
      </c:spPr>
    </c:title>
    <c:autoTitleDeleted val="0"/>
    <c:plotArea>
      <c:layout>
        <c:manualLayout>
          <c:layoutTarget val="inner"/>
          <c:xMode val="edge"/>
          <c:yMode val="edge"/>
          <c:x val="0.1285"/>
          <c:y val="0.1975"/>
          <c:w val="0.8405"/>
          <c:h val="0.443"/>
        </c:manualLayout>
      </c:layout>
      <c:barChart>
        <c:barDir val="col"/>
        <c:grouping val="clustered"/>
        <c:varyColors val="0"/>
        <c:ser>
          <c:idx val="0"/>
          <c:order val="0"/>
          <c:tx>
            <c:strRef>
              <c:f>'[新做图表 Microsoft Excel 97-2003 工作表 (2).xls]Sheet1'!$A$29</c:f>
              <c:strCache>
                <c:ptCount val="1"/>
                <c:pt idx="0">
                  <c:v>财政拨款收入</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trendline>
            <c:spPr>
              <a:ln w="19050" cap="rnd">
                <a:solidFill>
                  <a:schemeClr val="accent1"/>
                </a:solidFill>
              </a:ln>
              <a:effectLst/>
            </c:spPr>
            <c:trendlineType val="linear"/>
            <c:forward val="0"/>
            <c:backward val="0"/>
            <c:dispRSqr val="0"/>
            <c:dispEq val="0"/>
          </c:trendline>
          <c:cat>
            <c:multiLvlStrRef>
              <c:f>'[新做图表 Microsoft Excel 97-2003 工作表 (2).xls]Sheet1'!$B$27:$C$28</c:f>
              <c:multiLvlStrCache>
                <c:ptCount val="2"/>
                <c:lvl>
                  <c:pt idx="0">
                    <c:v>2021年</c:v>
                  </c:pt>
                  <c:pt idx="1">
                    <c:v>2022年</c:v>
                  </c:pt>
                </c:lvl>
                <c:lvl/>
              </c:multiLvlStrCache>
            </c:multiLvlStrRef>
          </c:cat>
          <c:val>
            <c:numRef>
              <c:f>'[新做图表 Microsoft Excel 97-2003 工作表 (2).xls]Sheet1'!$B$29:$C$29</c:f>
              <c:numCache>
                <c:formatCode>General</c:formatCode>
                <c:ptCount val="2"/>
                <c:pt idx="0">
                  <c:v>384.01</c:v>
                </c:pt>
                <c:pt idx="1">
                  <c:v>394.87</c:v>
                </c:pt>
              </c:numCache>
            </c:numRef>
          </c:val>
        </c:ser>
        <c:ser>
          <c:idx val="1"/>
          <c:order val="1"/>
          <c:tx>
            <c:strRef>
              <c:f>'[新做图表 Microsoft Excel 97-2003 工作表 (2).xls]Sheet1'!$A$30</c:f>
              <c:strCache>
                <c:ptCount val="1"/>
                <c:pt idx="0">
                  <c:v>财政拨款支出</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trendline>
            <c:spPr>
              <a:ln w="19050" cap="rnd">
                <a:solidFill>
                  <a:schemeClr val="accent2"/>
                </a:solidFill>
              </a:ln>
              <a:effectLst/>
            </c:spPr>
            <c:trendlineType val="linear"/>
            <c:forward val="0"/>
            <c:backward val="0"/>
            <c:dispRSqr val="0"/>
            <c:dispEq val="0"/>
          </c:trendline>
          <c:cat>
            <c:multiLvlStrRef>
              <c:f>'[新做图表 Microsoft Excel 97-2003 工作表 (2).xls]Sheet1'!$B$27:$C$28</c:f>
              <c:multiLvlStrCache>
                <c:ptCount val="2"/>
                <c:lvl>
                  <c:pt idx="0">
                    <c:v>2021年</c:v>
                  </c:pt>
                  <c:pt idx="1">
                    <c:v>2022年</c:v>
                  </c:pt>
                </c:lvl>
                <c:lvl/>
              </c:multiLvlStrCache>
            </c:multiLvlStrRef>
          </c:cat>
          <c:val>
            <c:numRef>
              <c:f>'[新做图表 Microsoft Excel 97-2003 工作表 (2).xls]Sheet1'!$B$30:$C$30</c:f>
              <c:numCache>
                <c:formatCode>General</c:formatCode>
                <c:ptCount val="2"/>
                <c:pt idx="0">
                  <c:v>384.01</c:v>
                </c:pt>
                <c:pt idx="1">
                  <c:v>394.87</c:v>
                </c:pt>
              </c:numCache>
            </c:numRef>
          </c:val>
        </c:ser>
        <c:dLbls>
          <c:showLegendKey val="0"/>
          <c:showVal val="1"/>
          <c:showCatName val="0"/>
          <c:showSerName val="0"/>
          <c:showPercent val="0"/>
          <c:showBubbleSize val="0"/>
        </c:dLbls>
        <c:gapWidth val="65"/>
        <c:overlap val="0"/>
        <c:axId val="831087269"/>
        <c:axId val="130652616"/>
      </c:barChart>
      <c:catAx>
        <c:axId val="831087269"/>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130652616"/>
        <c:crosses val="autoZero"/>
        <c:auto val="1"/>
        <c:lblAlgn val="ctr"/>
        <c:lblOffset val="100"/>
        <c:tickLblSkip val="1"/>
        <c:noMultiLvlLbl val="0"/>
      </c:catAx>
      <c:valAx>
        <c:axId val="1306526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831087269"/>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wrap="square"/>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2022年一般公共预算财政拨款支出决算构成图</a:t>
            </a:r>
          </a:p>
        </c:rich>
      </c:tx>
      <c:layout>
        <c:manualLayout>
          <c:xMode val="edge"/>
          <c:yMode val="edge"/>
          <c:x val="0.14989754659046"/>
          <c:y val="0.0264810698135029"/>
        </c:manualLayout>
      </c:layout>
      <c:overlay val="0"/>
      <c:spPr>
        <a:noFill/>
        <a:ln>
          <a:noFill/>
        </a:ln>
        <a:effectLst/>
      </c:spPr>
    </c:title>
    <c:autoTitleDeleted val="0"/>
    <c:plotArea>
      <c:layout>
        <c:manualLayout>
          <c:layoutTarget val="inner"/>
          <c:xMode val="edge"/>
          <c:yMode val="edge"/>
          <c:x val="0.305019305019305"/>
          <c:y val="0.390501822360733"/>
          <c:w val="0.297297297297297"/>
          <c:h val="0.406332977321304"/>
        </c:manualLayout>
      </c:layout>
      <c:pieChart>
        <c:varyColors val="1"/>
        <c:ser>
          <c:idx val="0"/>
          <c:order val="0"/>
          <c:spPr/>
          <c:explosion val="0"/>
          <c:dPt>
            <c:idx val="0"/>
            <c:bubble3D val="0"/>
            <c:explosion val="0"/>
            <c:spPr>
              <a:solidFill>
                <a:schemeClr val="accent1">
                  <a:shade val="76667"/>
                </a:schemeClr>
              </a:solidFill>
              <a:ln>
                <a:noFill/>
              </a:ln>
              <a:effectLst>
                <a:outerShdw blurRad="254000" sx="102000" sy="102000" algn="ctr" rotWithShape="0">
                  <a:prstClr val="black">
                    <a:alpha val="20000"/>
                  </a:prstClr>
                </a:outerShdw>
              </a:effectLst>
            </c:spPr>
          </c:dPt>
          <c:dPt>
            <c:idx val="1"/>
            <c:bubble3D val="0"/>
            <c:explosion val="0"/>
            <c:spPr>
              <a:solidFill>
                <a:schemeClr val="accent2">
                  <a:shade val="76667"/>
                </a:schemeClr>
              </a:solidFill>
              <a:ln>
                <a:noFill/>
              </a:ln>
              <a:effectLst>
                <a:outerShdw blurRad="254000" sx="102000" sy="102000" algn="ctr" rotWithShape="0">
                  <a:prstClr val="black">
                    <a:alpha val="20000"/>
                  </a:prstClr>
                </a:outerShdw>
              </a:effectLst>
            </c:spPr>
          </c:dPt>
          <c:dPt>
            <c:idx val="2"/>
            <c:bubble3D val="0"/>
            <c:explosion val="0"/>
            <c:spPr>
              <a:solidFill>
                <a:schemeClr val="accent3">
                  <a:shade val="76667"/>
                </a:schemeClr>
              </a:solidFill>
              <a:ln>
                <a:noFill/>
              </a:ln>
              <a:effectLst>
                <a:outerShdw blurRad="254000" sx="102000" sy="102000" algn="ctr" rotWithShape="0">
                  <a:prstClr val="black">
                    <a:alpha val="20000"/>
                  </a:prstClr>
                </a:outerShdw>
              </a:effectLst>
            </c:spPr>
          </c:dPt>
          <c:dPt>
            <c:idx val="3"/>
            <c:bubble3D val="0"/>
            <c:explosion val="0"/>
            <c:spPr>
              <a:solidFill>
                <a:schemeClr val="accent4">
                  <a:shade val="76667"/>
                </a:schemeClr>
              </a:solidFill>
              <a:ln>
                <a:noFill/>
              </a:ln>
              <a:effectLst>
                <a:outerShdw blurRad="254000" sx="102000" sy="102000" algn="ctr" rotWithShape="0">
                  <a:prstClr val="black">
                    <a:alpha val="20000"/>
                  </a:prstClr>
                </a:outerShdw>
              </a:effectLst>
            </c:spPr>
          </c:dPt>
          <c:dPt>
            <c:idx val="4"/>
            <c:bubble3D val="0"/>
            <c:explosion val="0"/>
            <c:spPr>
              <a:solidFill>
                <a:schemeClr val="accent5">
                  <a:shade val="76667"/>
                </a:schemeClr>
              </a:solidFill>
              <a:ln>
                <a:noFill/>
              </a:ln>
              <a:effectLst>
                <a:outerShdw blurRad="254000" sx="102000" sy="102000" algn="ctr" rotWithShape="0">
                  <a:prstClr val="black">
                    <a:alpha val="20000"/>
                  </a:prstClr>
                </a:outerShdw>
              </a:effectLst>
            </c:spPr>
          </c:dPt>
          <c:dPt>
            <c:idx val="5"/>
            <c:bubble3D val="0"/>
            <c:explosion val="0"/>
            <c:spPr>
              <a:solidFill>
                <a:schemeClr val="accent6">
                  <a:shade val="76667"/>
                </a:schemeClr>
              </a:solidFill>
              <a:ln>
                <a:noFill/>
              </a:ln>
              <a:effectLst>
                <a:outerShdw blurRad="254000" sx="102000" sy="102000" algn="ctr" rotWithShape="0">
                  <a:prstClr val="black">
                    <a:alpha val="20000"/>
                  </a:prstClr>
                </a:outerShdw>
              </a:effectLst>
            </c:spPr>
          </c:dPt>
          <c:dPt>
            <c:idx val="6"/>
            <c:bubble3D val="0"/>
            <c:explosion val="0"/>
            <c:spPr>
              <a:solidFill>
                <a:schemeClr val="accent1">
                  <a:tint val="76667"/>
                </a:schemeClr>
              </a:solidFill>
              <a:ln>
                <a:noFill/>
              </a:ln>
              <a:effectLst>
                <a:outerShdw blurRad="254000" sx="102000" sy="102000" algn="ctr" rotWithShape="0">
                  <a:prstClr val="black">
                    <a:alpha val="20000"/>
                  </a:prstClr>
                </a:outerShdw>
              </a:effectLst>
            </c:spPr>
          </c:dPt>
          <c:dPt>
            <c:idx val="7"/>
            <c:bubble3D val="0"/>
            <c:explosion val="0"/>
            <c:spPr>
              <a:solidFill>
                <a:schemeClr val="accent2">
                  <a:tint val="76667"/>
                </a:schemeClr>
              </a:solidFill>
              <a:ln>
                <a:noFill/>
              </a:ln>
              <a:effectLst>
                <a:outerShdw blurRad="254000" sx="102000" sy="102000" algn="ctr" rotWithShape="0">
                  <a:prstClr val="black">
                    <a:alpha val="20000"/>
                  </a:prstClr>
                </a:outerShdw>
              </a:effectLst>
            </c:spPr>
          </c:dPt>
          <c:dLbls>
            <c:dLbl>
              <c:idx val="2"/>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extLst>
                <c:ext xmlns:c15="http://schemas.microsoft.com/office/drawing/2012/chart" uri="{CE6537A1-D6FC-4f65-9D91-7224C49458BB}"/>
              </c:extLst>
            </c:dLbl>
            <c:dLbl>
              <c:idx val="3"/>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extLst>
                <c:ext xmlns:c15="http://schemas.microsoft.com/office/drawing/2012/chart" uri="{CE6537A1-D6FC-4f65-9D91-7224C49458BB}"/>
              </c:extLst>
            </c:dLbl>
            <c:dLbl>
              <c:idx val="4"/>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extLst>
                <c:ext xmlns:c15="http://schemas.microsoft.com/office/drawing/2012/chart" uri="{CE6537A1-D6FC-4f65-9D91-7224C49458BB}"/>
              </c:extLst>
            </c:dLbl>
            <c:dLbl>
              <c:idx val="5"/>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extLst>
                <c:ext xmlns:c15="http://schemas.microsoft.com/office/drawing/2012/chart" uri="{CE6537A1-D6FC-4f65-9D91-7224C49458BB}"/>
              </c:extLst>
            </c:dLbl>
            <c:dLbl>
              <c:idx val="6"/>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extLst>
                <c:ext xmlns:c15="http://schemas.microsoft.com/office/drawing/2012/chart" uri="{CE6537A1-D6FC-4f65-9D91-7224C49458BB}"/>
              </c:extLst>
            </c:dLbl>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(2).xls]Sheet1'!$B$4:$B$11</c:f>
              <c:numCache>
                <c:formatCode>General</c:formatCode>
                <c:ptCount val="8"/>
                <c:pt idx="2">
                  <c:v>19.57</c:v>
                </c:pt>
                <c:pt idx="3">
                  <c:v>288.93</c:v>
                </c:pt>
                <c:pt idx="4">
                  <c:v>12.52</c:v>
                </c:pt>
              </c:numCache>
            </c:numRef>
          </c:val>
        </c:ser>
        <c:ser>
          <c:idx val="1"/>
          <c:order val="1"/>
          <c:spPr/>
          <c:explosion val="0"/>
          <c:dPt>
            <c:idx val="0"/>
            <c:bubble3D val="0"/>
            <c:explosion val="0"/>
            <c:spPr>
              <a:solidFill>
                <a:schemeClr val="accent1"/>
              </a:solidFill>
              <a:ln>
                <a:noFill/>
              </a:ln>
              <a:effectLst>
                <a:outerShdw blurRad="254000" sx="102000" sy="102000" algn="ctr" rotWithShape="0">
                  <a:prstClr val="black">
                    <a:alpha val="20000"/>
                  </a:prstClr>
                </a:outerShdw>
              </a:effectLst>
            </c:spPr>
          </c:dPt>
          <c:dLbls>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(2).xls]Sheet1'!#REF!</c:f>
              <c:numCache>
                <c:formatCode>General</c:formatCode>
                <c:ptCount val="1"/>
              </c:numCache>
            </c:numRef>
          </c:val>
        </c:ser>
        <c:ser>
          <c:idx val="2"/>
          <c:order val="2"/>
          <c:spPr/>
          <c:explosion val="0"/>
          <c:dPt>
            <c:idx val="0"/>
            <c:bubble3D val="0"/>
            <c:explosion val="0"/>
            <c:spPr>
              <a:solidFill>
                <a:schemeClr val="accent1">
                  <a:shade val="76667"/>
                </a:schemeClr>
              </a:solidFill>
              <a:ln>
                <a:noFill/>
              </a:ln>
              <a:effectLst>
                <a:outerShdw blurRad="254000" sx="102000" sy="102000" algn="ctr" rotWithShape="0">
                  <a:prstClr val="black">
                    <a:alpha val="20000"/>
                  </a:prstClr>
                </a:outerShdw>
              </a:effectLst>
            </c:spPr>
          </c:dPt>
          <c:dPt>
            <c:idx val="1"/>
            <c:bubble3D val="0"/>
            <c:explosion val="0"/>
            <c:spPr>
              <a:solidFill>
                <a:schemeClr val="accent2">
                  <a:shade val="76667"/>
                </a:schemeClr>
              </a:solidFill>
              <a:ln>
                <a:noFill/>
              </a:ln>
              <a:effectLst>
                <a:outerShdw blurRad="254000" sx="102000" sy="102000" algn="ctr" rotWithShape="0">
                  <a:prstClr val="black">
                    <a:alpha val="20000"/>
                  </a:prstClr>
                </a:outerShdw>
              </a:effectLst>
            </c:spPr>
          </c:dPt>
          <c:dPt>
            <c:idx val="2"/>
            <c:bubble3D val="0"/>
            <c:explosion val="0"/>
            <c:spPr>
              <a:solidFill>
                <a:schemeClr val="accent3">
                  <a:shade val="76667"/>
                </a:schemeClr>
              </a:solidFill>
              <a:ln>
                <a:noFill/>
              </a:ln>
              <a:effectLst>
                <a:outerShdw blurRad="254000" sx="102000" sy="102000" algn="ctr" rotWithShape="0">
                  <a:prstClr val="black">
                    <a:alpha val="20000"/>
                  </a:prstClr>
                </a:outerShdw>
              </a:effectLst>
            </c:spPr>
          </c:dPt>
          <c:dPt>
            <c:idx val="3"/>
            <c:bubble3D val="0"/>
            <c:explosion val="0"/>
            <c:spPr>
              <a:solidFill>
                <a:schemeClr val="accent4">
                  <a:shade val="76667"/>
                </a:schemeClr>
              </a:solidFill>
              <a:ln>
                <a:noFill/>
              </a:ln>
              <a:effectLst>
                <a:outerShdw blurRad="254000" sx="102000" sy="102000" algn="ctr" rotWithShape="0">
                  <a:prstClr val="black">
                    <a:alpha val="20000"/>
                  </a:prstClr>
                </a:outerShdw>
              </a:effectLst>
            </c:spPr>
          </c:dPt>
          <c:dPt>
            <c:idx val="4"/>
            <c:bubble3D val="0"/>
            <c:explosion val="0"/>
            <c:spPr>
              <a:solidFill>
                <a:schemeClr val="accent5">
                  <a:shade val="76667"/>
                </a:schemeClr>
              </a:solidFill>
              <a:ln>
                <a:noFill/>
              </a:ln>
              <a:effectLst>
                <a:outerShdw blurRad="254000" sx="102000" sy="102000" algn="ctr" rotWithShape="0">
                  <a:prstClr val="black">
                    <a:alpha val="20000"/>
                  </a:prstClr>
                </a:outerShdw>
              </a:effectLst>
            </c:spPr>
          </c:dPt>
          <c:dPt>
            <c:idx val="5"/>
            <c:bubble3D val="0"/>
            <c:explosion val="0"/>
            <c:spPr>
              <a:solidFill>
                <a:schemeClr val="accent6">
                  <a:shade val="76667"/>
                </a:schemeClr>
              </a:solidFill>
              <a:ln>
                <a:noFill/>
              </a:ln>
              <a:effectLst>
                <a:outerShdw blurRad="254000" sx="102000" sy="102000" algn="ctr" rotWithShape="0">
                  <a:prstClr val="black">
                    <a:alpha val="20000"/>
                  </a:prstClr>
                </a:outerShdw>
              </a:effectLst>
            </c:spPr>
          </c:dPt>
          <c:dPt>
            <c:idx val="6"/>
            <c:bubble3D val="0"/>
            <c:explosion val="0"/>
            <c:spPr>
              <a:solidFill>
                <a:schemeClr val="accent1">
                  <a:tint val="76667"/>
                </a:schemeClr>
              </a:solidFill>
              <a:ln>
                <a:noFill/>
              </a:ln>
              <a:effectLst>
                <a:outerShdw blurRad="254000" sx="102000" sy="102000" algn="ctr" rotWithShape="0">
                  <a:prstClr val="black">
                    <a:alpha val="20000"/>
                  </a:prstClr>
                </a:outerShdw>
              </a:effectLst>
            </c:spPr>
          </c:dPt>
          <c:dPt>
            <c:idx val="7"/>
            <c:bubble3D val="0"/>
            <c:explosion val="0"/>
            <c:spPr>
              <a:solidFill>
                <a:schemeClr val="accent2">
                  <a:tint val="76667"/>
                </a:schemeClr>
              </a:solidFill>
              <a:ln>
                <a:noFill/>
              </a:ln>
              <a:effectLst>
                <a:outerShdw blurRad="254000" sx="102000" sy="102000" algn="ctr" rotWithShape="0">
                  <a:prstClr val="black">
                    <a:alpha val="20000"/>
                  </a:prstClr>
                </a:outerShdw>
              </a:effectLst>
            </c:spPr>
          </c:dPt>
          <c:dLbls>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(2).xls]Sheet1'!$C$4:$C$11</c:f>
              <c:numCache>
                <c:formatCode>General</c:formatCode>
                <c:ptCount val="8"/>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wrap="square"/>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1" i="0" u="none" strike="noStrike" baseline="0">
                <a:solidFill>
                  <a:srgbClr val="333333"/>
                </a:solidFill>
                <a:latin typeface="Calibri" panose="020F0502020204030204" charset="-122"/>
                <a:ea typeface="Calibri" panose="020F0502020204030204" charset="-122"/>
                <a:cs typeface="Calibri" panose="020F0502020204030204" charset="-122"/>
              </a:rPr>
              <a:t>202</a:t>
            </a:r>
            <a:r>
              <a:rPr lang="en-US" altLang="zh-CN" sz="1400" b="1" i="0" u="none" strike="noStrike" baseline="0">
                <a:solidFill>
                  <a:srgbClr val="333333"/>
                </a:solidFill>
                <a:latin typeface="Calibri" panose="020F0502020204030204" charset="-122"/>
                <a:ea typeface="Calibri" panose="020F0502020204030204" charset="-122"/>
                <a:cs typeface="Calibri" panose="020F0502020204030204" charset="-122"/>
              </a:rPr>
              <a:t>2</a:t>
            </a:r>
            <a:r>
              <a:rPr sz="1400" b="1" i="0" u="none" strike="noStrike" baseline="0">
                <a:solidFill>
                  <a:srgbClr val="333333"/>
                </a:solidFill>
                <a:latin typeface="宋体" panose="02010600030101010101" charset="-122"/>
                <a:ea typeface="宋体" panose="02010600030101010101" charset="-122"/>
                <a:cs typeface="宋体" panose="02010600030101010101" charset="-122"/>
              </a:rPr>
              <a:t>年一般公共预算财政拨款支出决算构成图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4989754659046"/>
          <c:y val="0.0264810698135029"/>
        </c:manualLayout>
      </c:layout>
      <c:overlay val="0"/>
      <c:spPr>
        <a:noFill/>
        <a:ln w="3175">
          <a:noFill/>
        </a:ln>
      </c:spPr>
    </c:title>
    <c:autoTitleDeleted val="0"/>
    <c:plotArea>
      <c:layout>
        <c:manualLayout>
          <c:layoutTarget val="inner"/>
          <c:xMode val="edge"/>
          <c:yMode val="edge"/>
          <c:x val="0.305019305019305"/>
          <c:y val="0.390501822360733"/>
          <c:w val="0.297297297297297"/>
          <c:h val="0.406332977321304"/>
        </c:manualLayout>
      </c:layout>
      <c:pieChart>
        <c:varyColors val="1"/>
        <c:ser>
          <c:idx val="0"/>
          <c:order val="0"/>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Pt>
            <c:idx val="5"/>
            <c:bubble3D val="0"/>
            <c:explosion val="0"/>
            <c:spPr>
              <a:solidFill>
                <a:srgbClr val="70AD47">
                  <a:alpha val="100000"/>
                </a:srgbClr>
              </a:solidFill>
              <a:ln w="19050">
                <a:solidFill>
                  <a:srgbClr val="FFFFFF">
                    <a:alpha val="100000"/>
                  </a:srgbClr>
                </a:solidFill>
                <a:prstDash val="solid"/>
              </a:ln>
            </c:spPr>
          </c:dPt>
          <c:dPt>
            <c:idx val="6"/>
            <c:bubble3D val="0"/>
            <c:explosion val="0"/>
            <c:spPr>
              <a:solidFill>
                <a:srgbClr val="2C4D75">
                  <a:lumMod val="60000"/>
                </a:srgbClr>
              </a:solidFill>
              <a:ln w="19050">
                <a:solidFill>
                  <a:srgbClr val="FFFFFF"/>
                </a:solidFill>
              </a:ln>
              <a:effectLst/>
            </c:spPr>
          </c:dPt>
          <c:dPt>
            <c:idx val="7"/>
            <c:bubble3D val="0"/>
            <c:explosion val="0"/>
            <c:spPr>
              <a:solidFill>
                <a:srgbClr val="772C2A">
                  <a:lumMod val="60000"/>
                </a:srgbClr>
              </a:solidFill>
              <a:ln w="19050">
                <a:solidFill>
                  <a:srgbClr val="FFFFFF"/>
                </a:solidFill>
              </a:ln>
              <a:effectLst/>
            </c:spPr>
          </c:dPt>
          <c:dLbls>
            <c:dLbl>
              <c:idx val="2"/>
              <c:layout>
                <c:manualLayout>
                  <c:x val="0.0506448254422858"/>
                  <c:y val="-0.10048508749684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355942901953"/>
                  <c:y val="-0.040857951928188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89953114132208"/>
                  <c:y val="0.00491321878713943"/>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649064894162624"/>
                  <c:y val="-0.103619574602444"/>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45579750609085"/>
                  <c:y val="-0.0729175875469411"/>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(2).xls]Sheet1'!$B$4:$B$11</c:f>
              <c:numCache>
                <c:formatCode>General</c:formatCode>
                <c:ptCount val="8"/>
                <c:pt idx="2">
                  <c:v>19.57</c:v>
                </c:pt>
                <c:pt idx="3">
                  <c:v>288.93</c:v>
                </c:pt>
                <c:pt idx="4">
                  <c:v>12.52</c:v>
                </c:pt>
              </c:numCache>
            </c:numRef>
          </c:val>
        </c:ser>
        <c:ser>
          <c:idx val="1"/>
          <c:order val="1"/>
          <c:explosion val="0"/>
          <c:dPt>
            <c:idx val="0"/>
            <c:bubble3D val="0"/>
            <c:explosion val="0"/>
            <c:spPr>
              <a:solidFill>
                <a:srgbClr val="5B9BD5">
                  <a:alpha val="100000"/>
                </a:srgbClr>
              </a:solidFill>
              <a:ln w="19050">
                <a:solidFill>
                  <a:srgbClr val="FFFFFF">
                    <a:alpha val="100000"/>
                  </a:srgbClr>
                </a:solidFill>
                <a:prstDash val="solid"/>
              </a:ln>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(2).xls]Sheet1'!#REF!</c:f>
              <c:numCache>
                <c:formatCode>General</c:formatCode>
                <c:ptCount val="1"/>
              </c:numCache>
            </c:numRef>
          </c:val>
        </c:ser>
        <c:ser>
          <c:idx val="2"/>
          <c:order val="2"/>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Pt>
            <c:idx val="5"/>
            <c:bubble3D val="0"/>
            <c:explosion val="0"/>
            <c:spPr>
              <a:solidFill>
                <a:srgbClr val="70AD47">
                  <a:alpha val="100000"/>
                </a:srgbClr>
              </a:solidFill>
              <a:ln w="19050">
                <a:solidFill>
                  <a:srgbClr val="FFFFFF">
                    <a:alpha val="100000"/>
                  </a:srgbClr>
                </a:solidFill>
                <a:prstDash val="solid"/>
              </a:ln>
            </c:spPr>
          </c:dPt>
          <c:dPt>
            <c:idx val="6"/>
            <c:bubble3D val="0"/>
            <c:explosion val="0"/>
            <c:spPr>
              <a:solidFill>
                <a:srgbClr val="2C4D75">
                  <a:lumMod val="60000"/>
                </a:srgbClr>
              </a:solidFill>
              <a:ln w="19050">
                <a:solidFill>
                  <a:srgbClr val="FFFFFF"/>
                </a:solidFill>
              </a:ln>
              <a:effectLst/>
            </c:spPr>
          </c:dPt>
          <c:dPt>
            <c:idx val="7"/>
            <c:bubble3D val="0"/>
            <c:explosion val="0"/>
            <c:spPr>
              <a:solidFill>
                <a:srgbClr val="772C2A">
                  <a:lumMod val="60000"/>
                </a:srgbClr>
              </a:solidFill>
              <a:ln w="19050">
                <a:solidFill>
                  <a:srgbClr val="FFFFFF"/>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(2).xls]Sheet1'!$C$4:$C$11</c:f>
              <c:numCache>
                <c:formatCode>General</c:formatCode>
                <c:ptCount val="8"/>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0" vertOverflow="ellipsis" vert="horz" wrap="square" anchor="ctr" anchorCtr="1"/>
        <a:lstStyle/>
        <a:p>
          <a:pPr>
            <a:defRPr lang="zh-CN" sz="75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2022年一般公共预算财政拨款支出决算构成图</a:t>
            </a:r>
          </a:p>
        </c:rich>
      </c:tx>
      <c:layout>
        <c:manualLayout>
          <c:xMode val="edge"/>
          <c:yMode val="edge"/>
          <c:x val="0.14989754659046"/>
          <c:y val="0.0264810698135029"/>
        </c:manualLayout>
      </c:layout>
      <c:overlay val="0"/>
      <c:spPr>
        <a:noFill/>
        <a:ln>
          <a:noFill/>
        </a:ln>
        <a:effectLst/>
      </c:spPr>
    </c:title>
    <c:autoTitleDeleted val="0"/>
    <c:plotArea>
      <c:layout>
        <c:manualLayout>
          <c:layoutTarget val="inner"/>
          <c:xMode val="edge"/>
          <c:yMode val="edge"/>
          <c:x val="0.305019305019305"/>
          <c:y val="0.390501822360733"/>
          <c:w val="0.297297297297297"/>
          <c:h val="0.406332977321304"/>
        </c:manualLayout>
      </c:layout>
      <c:pieChart>
        <c:varyColors val="1"/>
        <c:ser>
          <c:idx val="0"/>
          <c:order val="0"/>
          <c:spPr/>
          <c:explosion val="0"/>
          <c:dPt>
            <c:idx val="0"/>
            <c:bubble3D val="0"/>
            <c:explosion val="0"/>
            <c:spPr>
              <a:solidFill>
                <a:schemeClr val="accent1">
                  <a:shade val="76667"/>
                </a:schemeClr>
              </a:solidFill>
              <a:ln>
                <a:noFill/>
              </a:ln>
              <a:effectLst>
                <a:outerShdw blurRad="254000" sx="102000" sy="102000" algn="ctr" rotWithShape="0">
                  <a:prstClr val="black">
                    <a:alpha val="20000"/>
                  </a:prstClr>
                </a:outerShdw>
              </a:effectLst>
            </c:spPr>
          </c:dPt>
          <c:dPt>
            <c:idx val="1"/>
            <c:bubble3D val="0"/>
            <c:explosion val="0"/>
            <c:spPr>
              <a:solidFill>
                <a:schemeClr val="accent2">
                  <a:shade val="76667"/>
                </a:schemeClr>
              </a:solidFill>
              <a:ln>
                <a:noFill/>
              </a:ln>
              <a:effectLst>
                <a:outerShdw blurRad="254000" sx="102000" sy="102000" algn="ctr" rotWithShape="0">
                  <a:prstClr val="black">
                    <a:alpha val="20000"/>
                  </a:prstClr>
                </a:outerShdw>
              </a:effectLst>
            </c:spPr>
          </c:dPt>
          <c:dPt>
            <c:idx val="2"/>
            <c:bubble3D val="0"/>
            <c:explosion val="0"/>
            <c:spPr>
              <a:solidFill>
                <a:schemeClr val="accent3">
                  <a:shade val="76667"/>
                </a:schemeClr>
              </a:solidFill>
              <a:ln>
                <a:noFill/>
              </a:ln>
              <a:effectLst>
                <a:outerShdw blurRad="254000" sx="102000" sy="102000" algn="ctr" rotWithShape="0">
                  <a:prstClr val="black">
                    <a:alpha val="20000"/>
                  </a:prstClr>
                </a:outerShdw>
              </a:effectLst>
            </c:spPr>
          </c:dPt>
          <c:dPt>
            <c:idx val="3"/>
            <c:bubble3D val="0"/>
            <c:explosion val="0"/>
            <c:spPr>
              <a:solidFill>
                <a:schemeClr val="accent4">
                  <a:shade val="76667"/>
                </a:schemeClr>
              </a:solidFill>
              <a:ln>
                <a:noFill/>
              </a:ln>
              <a:effectLst>
                <a:outerShdw blurRad="254000" sx="102000" sy="102000" algn="ctr" rotWithShape="0">
                  <a:prstClr val="black">
                    <a:alpha val="20000"/>
                  </a:prstClr>
                </a:outerShdw>
              </a:effectLst>
            </c:spPr>
          </c:dPt>
          <c:dPt>
            <c:idx val="4"/>
            <c:bubble3D val="0"/>
            <c:explosion val="0"/>
            <c:spPr>
              <a:solidFill>
                <a:schemeClr val="accent5">
                  <a:shade val="76667"/>
                </a:schemeClr>
              </a:solidFill>
              <a:ln>
                <a:noFill/>
              </a:ln>
              <a:effectLst>
                <a:outerShdw blurRad="254000" sx="102000" sy="102000" algn="ctr" rotWithShape="0">
                  <a:prstClr val="black">
                    <a:alpha val="20000"/>
                  </a:prstClr>
                </a:outerShdw>
              </a:effectLst>
            </c:spPr>
          </c:dPt>
          <c:dPt>
            <c:idx val="5"/>
            <c:bubble3D val="0"/>
            <c:explosion val="0"/>
            <c:spPr>
              <a:solidFill>
                <a:schemeClr val="accent6">
                  <a:shade val="76667"/>
                </a:schemeClr>
              </a:solidFill>
              <a:ln>
                <a:noFill/>
              </a:ln>
              <a:effectLst>
                <a:outerShdw blurRad="254000" sx="102000" sy="102000" algn="ctr" rotWithShape="0">
                  <a:prstClr val="black">
                    <a:alpha val="20000"/>
                  </a:prstClr>
                </a:outerShdw>
              </a:effectLst>
            </c:spPr>
          </c:dPt>
          <c:dPt>
            <c:idx val="6"/>
            <c:bubble3D val="0"/>
            <c:explosion val="0"/>
            <c:spPr>
              <a:solidFill>
                <a:schemeClr val="accent1">
                  <a:tint val="76667"/>
                </a:schemeClr>
              </a:solidFill>
              <a:ln>
                <a:noFill/>
              </a:ln>
              <a:effectLst>
                <a:outerShdw blurRad="254000" sx="102000" sy="102000" algn="ctr" rotWithShape="0">
                  <a:prstClr val="black">
                    <a:alpha val="20000"/>
                  </a:prstClr>
                </a:outerShdw>
              </a:effectLst>
            </c:spPr>
          </c:dPt>
          <c:dPt>
            <c:idx val="7"/>
            <c:bubble3D val="0"/>
            <c:explosion val="0"/>
            <c:spPr>
              <a:solidFill>
                <a:schemeClr val="accent2">
                  <a:tint val="76667"/>
                </a:schemeClr>
              </a:solidFill>
              <a:ln>
                <a:noFill/>
              </a:ln>
              <a:effectLst>
                <a:outerShdw blurRad="254000" sx="102000" sy="102000" algn="ctr" rotWithShape="0">
                  <a:prstClr val="black">
                    <a:alpha val="20000"/>
                  </a:prstClr>
                </a:outerShdw>
              </a:effectLst>
            </c:spPr>
          </c:dPt>
          <c:dLbls>
            <c:dLbl>
              <c:idx val="2"/>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extLst>
                <c:ext xmlns:c15="http://schemas.microsoft.com/office/drawing/2012/chart" uri="{CE6537A1-D6FC-4f65-9D91-7224C49458BB}"/>
              </c:extLst>
            </c:dLbl>
            <c:dLbl>
              <c:idx val="3"/>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extLst>
                <c:ext xmlns:c15="http://schemas.microsoft.com/office/drawing/2012/chart" uri="{CE6537A1-D6FC-4f65-9D91-7224C49458BB}"/>
              </c:extLst>
            </c:dLbl>
            <c:dLbl>
              <c:idx val="4"/>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extLst>
                <c:ext xmlns:c15="http://schemas.microsoft.com/office/drawing/2012/chart" uri="{CE6537A1-D6FC-4f65-9D91-7224C49458BB}"/>
              </c:extLst>
            </c:dLbl>
            <c:dLbl>
              <c:idx val="5"/>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extLst>
                <c:ext xmlns:c15="http://schemas.microsoft.com/office/drawing/2012/chart" uri="{CE6537A1-D6FC-4f65-9D91-7224C49458BB}"/>
              </c:extLst>
            </c:dLbl>
            <c:dLbl>
              <c:idx val="6"/>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extLst>
                <c:ext xmlns:c15="http://schemas.microsoft.com/office/drawing/2012/chart" uri="{CE6537A1-D6FC-4f65-9D91-7224C49458BB}"/>
              </c:extLst>
            </c:dLbl>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(2).xls]Sheet1'!$B$4:$B$11</c:f>
              <c:numCache>
                <c:formatCode>General</c:formatCode>
                <c:ptCount val="8"/>
                <c:pt idx="2">
                  <c:v>19.57</c:v>
                </c:pt>
                <c:pt idx="3">
                  <c:v>288.93</c:v>
                </c:pt>
                <c:pt idx="4">
                  <c:v>12.52</c:v>
                </c:pt>
              </c:numCache>
            </c:numRef>
          </c:val>
        </c:ser>
        <c:ser>
          <c:idx val="1"/>
          <c:order val="1"/>
          <c:spPr/>
          <c:explosion val="0"/>
          <c:dPt>
            <c:idx val="0"/>
            <c:bubble3D val="0"/>
            <c:explosion val="0"/>
            <c:spPr>
              <a:solidFill>
                <a:schemeClr val="accent1"/>
              </a:solidFill>
              <a:ln>
                <a:noFill/>
              </a:ln>
              <a:effectLst>
                <a:outerShdw blurRad="254000" sx="102000" sy="102000" algn="ctr" rotWithShape="0">
                  <a:prstClr val="black">
                    <a:alpha val="20000"/>
                  </a:prstClr>
                </a:outerShdw>
              </a:effectLst>
            </c:spPr>
          </c:dPt>
          <c:dLbls>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(2).xls]Sheet1'!#REF!</c:f>
              <c:numCache>
                <c:formatCode>General</c:formatCode>
                <c:ptCount val="1"/>
              </c:numCache>
            </c:numRef>
          </c:val>
        </c:ser>
        <c:ser>
          <c:idx val="2"/>
          <c:order val="2"/>
          <c:spPr/>
          <c:explosion val="0"/>
          <c:dPt>
            <c:idx val="0"/>
            <c:bubble3D val="0"/>
            <c:explosion val="0"/>
            <c:spPr>
              <a:solidFill>
                <a:schemeClr val="accent1">
                  <a:shade val="76667"/>
                </a:schemeClr>
              </a:solidFill>
              <a:ln>
                <a:noFill/>
              </a:ln>
              <a:effectLst>
                <a:outerShdw blurRad="254000" sx="102000" sy="102000" algn="ctr" rotWithShape="0">
                  <a:prstClr val="black">
                    <a:alpha val="20000"/>
                  </a:prstClr>
                </a:outerShdw>
              </a:effectLst>
            </c:spPr>
          </c:dPt>
          <c:dPt>
            <c:idx val="1"/>
            <c:bubble3D val="0"/>
            <c:explosion val="0"/>
            <c:spPr>
              <a:solidFill>
                <a:schemeClr val="accent2">
                  <a:shade val="76667"/>
                </a:schemeClr>
              </a:solidFill>
              <a:ln>
                <a:noFill/>
              </a:ln>
              <a:effectLst>
                <a:outerShdw blurRad="254000" sx="102000" sy="102000" algn="ctr" rotWithShape="0">
                  <a:prstClr val="black">
                    <a:alpha val="20000"/>
                  </a:prstClr>
                </a:outerShdw>
              </a:effectLst>
            </c:spPr>
          </c:dPt>
          <c:dPt>
            <c:idx val="2"/>
            <c:bubble3D val="0"/>
            <c:explosion val="0"/>
            <c:spPr>
              <a:solidFill>
                <a:schemeClr val="accent3">
                  <a:shade val="76667"/>
                </a:schemeClr>
              </a:solidFill>
              <a:ln>
                <a:noFill/>
              </a:ln>
              <a:effectLst>
                <a:outerShdw blurRad="254000" sx="102000" sy="102000" algn="ctr" rotWithShape="0">
                  <a:prstClr val="black">
                    <a:alpha val="20000"/>
                  </a:prstClr>
                </a:outerShdw>
              </a:effectLst>
            </c:spPr>
          </c:dPt>
          <c:dPt>
            <c:idx val="3"/>
            <c:bubble3D val="0"/>
            <c:explosion val="0"/>
            <c:spPr>
              <a:solidFill>
                <a:schemeClr val="accent4">
                  <a:shade val="76667"/>
                </a:schemeClr>
              </a:solidFill>
              <a:ln>
                <a:noFill/>
              </a:ln>
              <a:effectLst>
                <a:outerShdw blurRad="254000" sx="102000" sy="102000" algn="ctr" rotWithShape="0">
                  <a:prstClr val="black">
                    <a:alpha val="20000"/>
                  </a:prstClr>
                </a:outerShdw>
              </a:effectLst>
            </c:spPr>
          </c:dPt>
          <c:dPt>
            <c:idx val="4"/>
            <c:bubble3D val="0"/>
            <c:explosion val="0"/>
            <c:spPr>
              <a:solidFill>
                <a:schemeClr val="accent5">
                  <a:shade val="76667"/>
                </a:schemeClr>
              </a:solidFill>
              <a:ln>
                <a:noFill/>
              </a:ln>
              <a:effectLst>
                <a:outerShdw blurRad="254000" sx="102000" sy="102000" algn="ctr" rotWithShape="0">
                  <a:prstClr val="black">
                    <a:alpha val="20000"/>
                  </a:prstClr>
                </a:outerShdw>
              </a:effectLst>
            </c:spPr>
          </c:dPt>
          <c:dPt>
            <c:idx val="5"/>
            <c:bubble3D val="0"/>
            <c:explosion val="0"/>
            <c:spPr>
              <a:solidFill>
                <a:schemeClr val="accent6">
                  <a:shade val="76667"/>
                </a:schemeClr>
              </a:solidFill>
              <a:ln>
                <a:noFill/>
              </a:ln>
              <a:effectLst>
                <a:outerShdw blurRad="254000" sx="102000" sy="102000" algn="ctr" rotWithShape="0">
                  <a:prstClr val="black">
                    <a:alpha val="20000"/>
                  </a:prstClr>
                </a:outerShdw>
              </a:effectLst>
            </c:spPr>
          </c:dPt>
          <c:dPt>
            <c:idx val="6"/>
            <c:bubble3D val="0"/>
            <c:explosion val="0"/>
            <c:spPr>
              <a:solidFill>
                <a:schemeClr val="accent1">
                  <a:tint val="76667"/>
                </a:schemeClr>
              </a:solidFill>
              <a:ln>
                <a:noFill/>
              </a:ln>
              <a:effectLst>
                <a:outerShdw blurRad="254000" sx="102000" sy="102000" algn="ctr" rotWithShape="0">
                  <a:prstClr val="black">
                    <a:alpha val="20000"/>
                  </a:prstClr>
                </a:outerShdw>
              </a:effectLst>
            </c:spPr>
          </c:dPt>
          <c:dPt>
            <c:idx val="7"/>
            <c:bubble3D val="0"/>
            <c:explosion val="0"/>
            <c:spPr>
              <a:solidFill>
                <a:schemeClr val="accent2">
                  <a:tint val="76667"/>
                </a:schemeClr>
              </a:solidFill>
              <a:ln>
                <a:noFill/>
              </a:ln>
              <a:effectLst>
                <a:outerShdw blurRad="254000" sx="102000" sy="102000" algn="ctr" rotWithShape="0">
                  <a:prstClr val="black">
                    <a:alpha val="20000"/>
                  </a:prstClr>
                </a:outerShdw>
              </a:effectLst>
            </c:spPr>
          </c:dPt>
          <c:dLbls>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(2).xls]Sheet1'!$C$4:$C$11</c:f>
              <c:numCache>
                <c:formatCode>General</c:formatCode>
                <c:ptCount val="8"/>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wrap="square"/>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1" i="0" u="none" strike="noStrike" baseline="0">
                <a:solidFill>
                  <a:srgbClr val="333333"/>
                </a:solidFill>
                <a:latin typeface="Calibri" panose="020F0502020204030204" charset="-122"/>
                <a:ea typeface="Calibri" panose="020F0502020204030204" charset="-122"/>
                <a:cs typeface="Calibri" panose="020F0502020204030204" charset="-122"/>
              </a:rPr>
              <a:t>202</a:t>
            </a:r>
            <a:r>
              <a:rPr lang="en-US" altLang="zh-CN" sz="1400" b="1" i="0" u="none" strike="noStrike" baseline="0">
                <a:solidFill>
                  <a:srgbClr val="333333"/>
                </a:solidFill>
                <a:latin typeface="Calibri" panose="020F0502020204030204" charset="-122"/>
                <a:ea typeface="Calibri" panose="020F0502020204030204" charset="-122"/>
                <a:cs typeface="Calibri" panose="020F0502020204030204" charset="-122"/>
              </a:rPr>
              <a:t>2</a:t>
            </a:r>
            <a:r>
              <a:rPr sz="1400" b="1" i="0" u="none" strike="noStrike" baseline="0">
                <a:solidFill>
                  <a:srgbClr val="333333"/>
                </a:solidFill>
                <a:latin typeface="宋体" panose="02010600030101010101" charset="-122"/>
                <a:ea typeface="宋体" panose="02010600030101010101" charset="-122"/>
                <a:cs typeface="宋体" panose="02010600030101010101" charset="-122"/>
              </a:rPr>
              <a:t>年一般公共预算财政拨款支出决算构成图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4989754659046"/>
          <c:y val="0.0264810698135029"/>
        </c:manualLayout>
      </c:layout>
      <c:overlay val="0"/>
      <c:spPr>
        <a:noFill/>
        <a:ln w="3175">
          <a:noFill/>
        </a:ln>
      </c:spPr>
    </c:title>
    <c:autoTitleDeleted val="0"/>
    <c:plotArea>
      <c:layout>
        <c:manualLayout>
          <c:layoutTarget val="inner"/>
          <c:xMode val="edge"/>
          <c:yMode val="edge"/>
          <c:x val="0.305019305019305"/>
          <c:y val="0.390501822360733"/>
          <c:w val="0.297297297297297"/>
          <c:h val="0.406332977321304"/>
        </c:manualLayout>
      </c:layout>
      <c:pieChart>
        <c:varyColors val="1"/>
        <c:ser>
          <c:idx val="0"/>
          <c:order val="0"/>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Pt>
            <c:idx val="5"/>
            <c:bubble3D val="0"/>
            <c:explosion val="0"/>
            <c:spPr>
              <a:solidFill>
                <a:srgbClr val="70AD47">
                  <a:alpha val="100000"/>
                </a:srgbClr>
              </a:solidFill>
              <a:ln w="19050">
                <a:solidFill>
                  <a:srgbClr val="FFFFFF">
                    <a:alpha val="100000"/>
                  </a:srgbClr>
                </a:solidFill>
                <a:prstDash val="solid"/>
              </a:ln>
            </c:spPr>
          </c:dPt>
          <c:dPt>
            <c:idx val="6"/>
            <c:bubble3D val="0"/>
            <c:explosion val="0"/>
            <c:spPr>
              <a:solidFill>
                <a:srgbClr val="2C4D75">
                  <a:lumMod val="60000"/>
                </a:srgbClr>
              </a:solidFill>
              <a:ln w="19050">
                <a:solidFill>
                  <a:srgbClr val="FFFFFF"/>
                </a:solidFill>
              </a:ln>
              <a:effectLst/>
            </c:spPr>
          </c:dPt>
          <c:dPt>
            <c:idx val="7"/>
            <c:bubble3D val="0"/>
            <c:explosion val="0"/>
            <c:spPr>
              <a:solidFill>
                <a:srgbClr val="772C2A">
                  <a:lumMod val="60000"/>
                </a:srgbClr>
              </a:solidFill>
              <a:ln w="19050">
                <a:solidFill>
                  <a:srgbClr val="FFFFFF"/>
                </a:solidFill>
              </a:ln>
              <a:effectLst/>
            </c:spPr>
          </c:dPt>
          <c:dLbls>
            <c:dLbl>
              <c:idx val="2"/>
              <c:layout>
                <c:manualLayout>
                  <c:x val="0.0506448254422858"/>
                  <c:y val="-0.10048508749684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355942901953"/>
                  <c:y val="-0.040857951928188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89953114132208"/>
                  <c:y val="0.00491321878713943"/>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649064894162624"/>
                  <c:y val="-0.103619574602444"/>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45579750609085"/>
                  <c:y val="-0.0729175875469411"/>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(2).xls]Sheet1'!$B$4:$B$11</c:f>
              <c:numCache>
                <c:formatCode>General</c:formatCode>
                <c:ptCount val="8"/>
                <c:pt idx="2">
                  <c:v>19.57</c:v>
                </c:pt>
                <c:pt idx="3">
                  <c:v>288.93</c:v>
                </c:pt>
                <c:pt idx="4">
                  <c:v>12.52</c:v>
                </c:pt>
              </c:numCache>
            </c:numRef>
          </c:val>
        </c:ser>
        <c:ser>
          <c:idx val="1"/>
          <c:order val="1"/>
          <c:explosion val="0"/>
          <c:dPt>
            <c:idx val="0"/>
            <c:bubble3D val="0"/>
            <c:explosion val="0"/>
            <c:spPr>
              <a:solidFill>
                <a:srgbClr val="5B9BD5">
                  <a:alpha val="100000"/>
                </a:srgbClr>
              </a:solidFill>
              <a:ln w="19050">
                <a:solidFill>
                  <a:srgbClr val="FFFFFF">
                    <a:alpha val="100000"/>
                  </a:srgbClr>
                </a:solidFill>
                <a:prstDash val="solid"/>
              </a:ln>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(2).xls]Sheet1'!#REF!</c:f>
              <c:numCache>
                <c:formatCode>General</c:formatCode>
                <c:ptCount val="1"/>
              </c:numCache>
            </c:numRef>
          </c:val>
        </c:ser>
        <c:ser>
          <c:idx val="2"/>
          <c:order val="2"/>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Pt>
            <c:idx val="5"/>
            <c:bubble3D val="0"/>
            <c:explosion val="0"/>
            <c:spPr>
              <a:solidFill>
                <a:srgbClr val="70AD47">
                  <a:alpha val="100000"/>
                </a:srgbClr>
              </a:solidFill>
              <a:ln w="19050">
                <a:solidFill>
                  <a:srgbClr val="FFFFFF">
                    <a:alpha val="100000"/>
                  </a:srgbClr>
                </a:solidFill>
                <a:prstDash val="solid"/>
              </a:ln>
            </c:spPr>
          </c:dPt>
          <c:dPt>
            <c:idx val="6"/>
            <c:bubble3D val="0"/>
            <c:explosion val="0"/>
            <c:spPr>
              <a:solidFill>
                <a:srgbClr val="2C4D75">
                  <a:lumMod val="60000"/>
                </a:srgbClr>
              </a:solidFill>
              <a:ln w="19050">
                <a:solidFill>
                  <a:srgbClr val="FFFFFF"/>
                </a:solidFill>
              </a:ln>
              <a:effectLst/>
            </c:spPr>
          </c:dPt>
          <c:dPt>
            <c:idx val="7"/>
            <c:bubble3D val="0"/>
            <c:explosion val="0"/>
            <c:spPr>
              <a:solidFill>
                <a:srgbClr val="772C2A">
                  <a:lumMod val="60000"/>
                </a:srgbClr>
              </a:solidFill>
              <a:ln w="19050">
                <a:solidFill>
                  <a:srgbClr val="FFFFFF"/>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(2).xls]Sheet1'!$C$4:$C$11</c:f>
              <c:numCache>
                <c:formatCode>General</c:formatCode>
                <c:ptCount val="8"/>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0" vertOverflow="ellipsis" vert="horz" wrap="square" anchor="ctr" anchorCtr="1"/>
        <a:lstStyle/>
        <a:p>
          <a:pPr>
            <a:defRPr lang="zh-CN" sz="75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三公经费财政拨款支出结构图</a:t>
            </a:r>
          </a:p>
        </c:rich>
      </c:tx>
      <c:layout>
        <c:manualLayout>
          <c:xMode val="edge"/>
          <c:yMode val="edge"/>
          <c:x val="0.222777777777778"/>
          <c:y val="0.0281879194630872"/>
        </c:manualLayout>
      </c:layout>
      <c:overlay val="0"/>
      <c:spPr>
        <a:noFill/>
        <a:ln>
          <a:noFill/>
        </a:ln>
        <a:effectLst/>
      </c:spPr>
    </c:title>
    <c:autoTitleDeleted val="0"/>
    <c:plotArea>
      <c:layout>
        <c:manualLayout>
          <c:layoutTarget val="inner"/>
          <c:xMode val="edge"/>
          <c:yMode val="edge"/>
          <c:x val="0.439477777777778"/>
          <c:y val="0.282587919463087"/>
          <c:w val="0.286488888888889"/>
          <c:h val="0.55375033557047"/>
        </c:manualLayout>
      </c:layout>
      <c:pieChart>
        <c:varyColors val="1"/>
        <c:ser>
          <c:idx val="0"/>
          <c:order val="0"/>
          <c:spPr/>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'[做图表 Microsoft Excel 97-2003 工作表 (2).xls]Sheet1'!$A$168:$A$171</c:f>
              <c:strCache>
                <c:ptCount val="4"/>
                <c:pt idx="0">
                  <c:v>单位：万元</c:v>
                </c:pt>
                <c:pt idx="1">
                  <c:v>公务用车购置及运行维护</c:v>
                </c:pt>
                <c:pt idx="2">
                  <c:v>因公出国</c:v>
                </c:pt>
                <c:pt idx="3">
                  <c:v>公务接待费</c:v>
                </c:pt>
              </c:strCache>
            </c:strRef>
          </c:cat>
          <c:val>
            <c:numRef>
              <c:f>'[做图表 Microsoft Excel 97-2003 工作表 (2).xls]Sheet1'!$B$168:$B$171</c:f>
              <c:numCache>
                <c:formatCode>General</c:formatCode>
                <c:ptCount val="4"/>
                <c:pt idx="1">
                  <c:v>6.42</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wrap="square"/>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三公经费财政拨款支出结构图</a:t>
            </a:r>
          </a:p>
        </c:rich>
      </c:tx>
      <c:layout/>
      <c:overlay val="0"/>
      <c:spPr>
        <a:noFill/>
        <a:ln>
          <a:noFill/>
        </a:ln>
        <a:effectLst/>
      </c:spPr>
    </c:title>
    <c:autoTitleDeleted val="0"/>
    <c:plotArea>
      <c:layout/>
      <c:pieChart>
        <c:varyColors val="1"/>
        <c:ser>
          <c:idx val="0"/>
          <c:order val="0"/>
          <c:spPr/>
          <c:explosion val="0"/>
          <c:dPt>
            <c:idx val="0"/>
            <c:bubble3D val="0"/>
            <c:explosion val="0"/>
            <c:spPr>
              <a:solidFill>
                <a:schemeClr val="accent1"/>
              </a:solidFill>
              <a:ln>
                <a:noFill/>
              </a:ln>
              <a:effectLst>
                <a:outerShdw blurRad="254000" sx="102000" sy="102000" algn="ctr" rotWithShape="0">
                  <a:prstClr val="black">
                    <a:alpha val="20000"/>
                  </a:prstClr>
                </a:outerShdw>
              </a:effectLst>
            </c:spPr>
          </c:dPt>
          <c:dPt>
            <c:idx val="1"/>
            <c:bubble3D val="0"/>
            <c:explosion val="0"/>
            <c:spPr>
              <a:solidFill>
                <a:schemeClr val="accent2"/>
              </a:solidFill>
              <a:ln>
                <a:noFill/>
              </a:ln>
              <a:effectLst>
                <a:outerShdw blurRad="254000" sx="102000" sy="102000" algn="ctr" rotWithShape="0">
                  <a:prstClr val="black">
                    <a:alpha val="20000"/>
                  </a:prstClr>
                </a:outerShdw>
              </a:effectLst>
            </c:spPr>
          </c:dPt>
          <c:dPt>
            <c:idx val="2"/>
            <c:bubble3D val="0"/>
            <c:explosion val="0"/>
            <c:spPr>
              <a:solidFill>
                <a:schemeClr val="accent3"/>
              </a:solidFill>
              <a:ln>
                <a:noFill/>
              </a:ln>
              <a:effectLst>
                <a:outerShdw blurRad="254000" sx="102000" sy="102000" algn="ctr" rotWithShape="0">
                  <a:prstClr val="black">
                    <a:alpha val="20000"/>
                  </a:prstClr>
                </a:outerShdw>
              </a:effectLst>
            </c:spPr>
          </c:dPt>
          <c:dPt>
            <c:idx val="3"/>
            <c:bubble3D val="0"/>
            <c:explosion val="0"/>
            <c:spPr>
              <a:solidFill>
                <a:schemeClr val="accent4"/>
              </a:solidFill>
              <a:ln>
                <a:noFill/>
              </a:ln>
              <a:effectLst>
                <a:outerShdw blurRad="254000" sx="102000" sy="102000" algn="ctr" rotWithShape="0">
                  <a:prstClr val="black">
                    <a:alpha val="20000"/>
                  </a:prstClr>
                </a:outerShdw>
              </a:effectLst>
            </c:spPr>
          </c:dPt>
          <c:dLbls>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'[做图表 Microsoft Excel 97-2003 工作表 (2).xls]Sheet1'!$A$168:$A$171</c:f>
              <c:strCache>
                <c:ptCount val="4"/>
                <c:pt idx="0">
                  <c:v>单位：万元</c:v>
                </c:pt>
                <c:pt idx="1">
                  <c:v>公务用车购置及运行维护</c:v>
                </c:pt>
                <c:pt idx="2">
                  <c:v>因公出国</c:v>
                </c:pt>
                <c:pt idx="3">
                  <c:v>公务接待费</c:v>
                </c:pt>
              </c:strCache>
            </c:strRef>
          </c:cat>
          <c:val>
            <c:numRef>
              <c:f>'[做图表 Microsoft Excel 97-2003 工作表 (2).xls]Sheet1'!$B$168:$B$171</c:f>
              <c:numCache>
                <c:formatCode>General</c:formatCode>
                <c:ptCount val="4"/>
                <c:pt idx="1">
                  <c:v>6.42</c:v>
                </c:pt>
                <c:pt idx="2">
                  <c:v>0</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2022年前进镇卫生院收入决算图</a:t>
            </a:r>
          </a:p>
        </c:rich>
      </c:tx>
      <c:layout/>
      <c:overlay val="0"/>
      <c:spPr>
        <a:noFill/>
        <a:ln>
          <a:noFill/>
        </a:ln>
        <a:effectLst/>
      </c:spPr>
    </c:title>
    <c:autoTitleDeleted val="0"/>
    <c:plotArea>
      <c:layout/>
      <c:pieChart>
        <c:varyColors val="1"/>
        <c:ser>
          <c:idx val="0"/>
          <c:order val="0"/>
          <c:spPr/>
          <c:explosion val="0"/>
          <c:dPt>
            <c:idx val="0"/>
            <c:bubble3D val="0"/>
            <c:explosion val="0"/>
            <c:spPr>
              <a:solidFill>
                <a:schemeClr val="accent1"/>
              </a:solidFill>
              <a:ln>
                <a:noFill/>
              </a:ln>
              <a:effectLst>
                <a:outerShdw blurRad="254000" sx="102000" sy="102000" algn="ctr" rotWithShape="0">
                  <a:prstClr val="black">
                    <a:alpha val="20000"/>
                  </a:prstClr>
                </a:outerShdw>
              </a:effectLst>
            </c:spPr>
          </c:dPt>
          <c:dPt>
            <c:idx val="1"/>
            <c:bubble3D val="0"/>
            <c:explosion val="0"/>
            <c:spPr>
              <a:solidFill>
                <a:schemeClr val="accent2"/>
              </a:solidFill>
              <a:ln>
                <a:noFill/>
              </a:ln>
              <a:effectLst>
                <a:outerShdw blurRad="254000" sx="102000" sy="102000" algn="ctr" rotWithShape="0">
                  <a:prstClr val="black">
                    <a:alpha val="20000"/>
                  </a:prstClr>
                </a:outerShdw>
              </a:effectLst>
            </c:spPr>
          </c:dPt>
          <c:dPt>
            <c:idx val="2"/>
            <c:bubble3D val="0"/>
            <c:explosion val="0"/>
            <c:spPr>
              <a:solidFill>
                <a:schemeClr val="accent3"/>
              </a:solidFill>
              <a:ln>
                <a:noFill/>
              </a:ln>
              <a:effectLst>
                <a:outerShdw blurRad="254000" sx="102000" sy="102000" algn="ctr" rotWithShape="0">
                  <a:prstClr val="black">
                    <a:alpha val="20000"/>
                  </a:prstClr>
                </a:outerShdw>
              </a:effectLst>
            </c:spPr>
          </c:dPt>
          <c:dPt>
            <c:idx val="3"/>
            <c:bubble3D val="0"/>
            <c:explosion val="0"/>
            <c:spPr>
              <a:solidFill>
                <a:schemeClr val="accent4"/>
              </a:solidFill>
              <a:ln>
                <a:noFill/>
              </a:ln>
              <a:effectLst>
                <a:outerShdw blurRad="254000" sx="102000" sy="102000" algn="ctr" rotWithShape="0">
                  <a:prstClr val="black">
                    <a:alpha val="20000"/>
                  </a:prstClr>
                </a:outerShdw>
              </a:effectLst>
            </c:spPr>
          </c:dPt>
          <c:dLbls>
            <c:dLbl>
              <c:idx val="3"/>
              <c:layout>
                <c:manualLayout>
                  <c:x val="0.103680792874518"/>
                  <c:y val="0.1706291038147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'[做图表 Microsoft Excel 97-2003 工作表 (2).xls]Sheet1'!$A$126:$A$129</c:f>
              <c:strCache>
                <c:ptCount val="4"/>
                <c:pt idx="0">
                  <c:v>单位：万元</c:v>
                </c:pt>
                <c:pt idx="1">
                  <c:v>一般公共预算财政拨款收入</c:v>
                </c:pt>
                <c:pt idx="2">
                  <c:v>事业收入</c:v>
                </c:pt>
                <c:pt idx="3">
                  <c:v>政府性基金预算财政拨款收入</c:v>
                </c:pt>
              </c:strCache>
            </c:strRef>
          </c:cat>
          <c:val>
            <c:numRef>
              <c:f>'[做图表 Microsoft Excel 97-2003 工作表 (2).xls]Sheet1'!$B$126:$B$129</c:f>
              <c:numCache>
                <c:formatCode>General</c:formatCode>
                <c:ptCount val="4"/>
                <c:pt idx="1">
                  <c:v>394.87</c:v>
                </c:pt>
                <c:pt idx="2">
                  <c:v>73.24</c:v>
                </c:pt>
                <c:pt idx="3">
                  <c:v>0.6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explosion val="0"/>
            <c:spPr>
              <a:solidFill>
                <a:schemeClr val="accent1"/>
              </a:solidFill>
              <a:ln>
                <a:noFill/>
              </a:ln>
              <a:effectLst>
                <a:outerShdw blurRad="254000" sx="102000" sy="102000" algn="ctr" rotWithShape="0">
                  <a:prstClr val="black">
                    <a:alpha val="20000"/>
                  </a:prstClr>
                </a:outerShdw>
              </a:effectLst>
            </c:spPr>
          </c:dPt>
          <c:dPt>
            <c:idx val="1"/>
            <c:bubble3D val="0"/>
            <c:explosion val="0"/>
            <c:spPr>
              <a:solidFill>
                <a:schemeClr val="accent2"/>
              </a:solidFill>
              <a:ln>
                <a:noFill/>
              </a:ln>
              <a:effectLst>
                <a:outerShdw blurRad="254000" sx="102000" sy="102000" algn="ctr" rotWithShape="0">
                  <a:prstClr val="black">
                    <a:alpha val="20000"/>
                  </a:prstClr>
                </a:outerShdw>
              </a:effectLst>
            </c:spPr>
          </c:dPt>
          <c:dPt>
            <c:idx val="2"/>
            <c:bubble3D val="0"/>
            <c:explosion val="0"/>
            <c:spPr>
              <a:solidFill>
                <a:schemeClr val="accent3"/>
              </a:solidFill>
              <a:ln>
                <a:noFill/>
              </a:ln>
              <a:effectLst>
                <a:outerShdw blurRad="254000" sx="102000" sy="102000" algn="ctr" rotWithShape="0">
                  <a:prstClr val="black">
                    <a:alpha val="20000"/>
                  </a:prstClr>
                </a:outerShdw>
              </a:effectLst>
            </c:spPr>
          </c:dPt>
          <c:dPt>
            <c:idx val="3"/>
            <c:bubble3D val="0"/>
            <c:explosion val="0"/>
            <c:spPr>
              <a:solidFill>
                <a:schemeClr val="accent4"/>
              </a:solidFill>
              <a:ln>
                <a:noFill/>
              </a:ln>
              <a:effectLst>
                <a:outerShdw blurRad="254000" sx="102000" sy="102000" algn="ctr" rotWithShape="0">
                  <a:prstClr val="black">
                    <a:alpha val="20000"/>
                  </a:prstClr>
                </a:outerShdw>
              </a:effectLst>
            </c:spPr>
          </c:dPt>
          <c:dLbls>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'[做图表 Microsoft Excel 97-2003 工作表 (2).xls]Sheet1'!$A$71:$A$74</c:f>
              <c:strCache>
                <c:ptCount val="4"/>
                <c:pt idx="0">
                  <c:v>基本支出</c:v>
                </c:pt>
                <c:pt idx="1">
                  <c:v>项目支出</c:v>
                </c:pt>
                <c:pt idx="2">
                  <c:v>上缴上级支出</c:v>
                </c:pt>
                <c:pt idx="3">
                  <c:v>结余分配</c:v>
                </c:pt>
              </c:strCache>
            </c:strRef>
          </c:cat>
          <c:val>
            <c:numRef>
              <c:f>'[做图表 Microsoft Excel 97-2003 工作表 (2).xls]Sheet1'!$B$71:$B$74</c:f>
              <c:numCache>
                <c:formatCode>General</c:formatCode>
                <c:ptCount val="4"/>
                <c:pt idx="0">
                  <c:v>182.4</c:v>
                </c:pt>
                <c:pt idx="1">
                  <c:v>164.78</c:v>
                </c:pt>
                <c:pt idx="2">
                  <c:v>0</c:v>
                </c:pt>
                <c:pt idx="3">
                  <c:v>47.69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财政拨款收支决算总计变动情况图</a:t>
            </a:r>
          </a:p>
        </c:rich>
      </c:tx>
      <c:layout>
        <c:manualLayout>
          <c:xMode val="edge"/>
          <c:yMode val="edge"/>
          <c:x val="0.219319335083115"/>
          <c:y val="0.0462962962962963"/>
        </c:manualLayout>
      </c:layout>
      <c:overlay val="0"/>
      <c:spPr>
        <a:noFill/>
        <a:ln>
          <a:noFill/>
        </a:ln>
        <a:effectLst/>
      </c:spPr>
    </c:title>
    <c:autoTitleDeleted val="0"/>
    <c:plotArea>
      <c:layout>
        <c:manualLayout>
          <c:layoutTarget val="inner"/>
          <c:xMode val="edge"/>
          <c:yMode val="edge"/>
          <c:x val="0.141666954888824"/>
          <c:y val="0.343751165605895"/>
          <c:w val="0.816668328182634"/>
          <c:h val="0.295139889661627"/>
        </c:manualLayout>
      </c:layout>
      <c:barChart>
        <c:barDir val="col"/>
        <c:grouping val="clustered"/>
        <c:varyColors val="0"/>
        <c:ser>
          <c:idx val="0"/>
          <c:order val="0"/>
          <c:tx>
            <c:strRef>
              <c:f>'[做图表 Microsoft Excel 97-2003 工作表 (2).xls]Sheet1'!$A$30</c:f>
              <c:strCache>
                <c:ptCount val="1"/>
                <c:pt idx="0">
                  <c:v>财政收入总决算</c:v>
                </c:pt>
              </c:strCache>
            </c:strRef>
          </c:tx>
          <c:spPr>
            <a:solidFill>
              <a:schemeClr val="accent1">
                <a:alpha val="85000"/>
              </a:schemeClr>
            </a:solidFill>
            <a:ln w="9525" cap="flat" cmpd="sng" algn="ctr">
              <a:solidFill>
                <a:schemeClr val="lt1">
                  <a:alpha val="50000"/>
                </a:schemeClr>
              </a:solidFill>
              <a:round/>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trendline>
            <c:spPr>
              <a:ln w="19050" cap="rnd">
                <a:solidFill>
                  <a:schemeClr val="accent1"/>
                </a:solidFill>
              </a:ln>
              <a:effectLst/>
            </c:spPr>
            <c:trendlineType val="linear"/>
            <c:forward val="0"/>
            <c:backward val="0"/>
            <c:dispRSqr val="0"/>
            <c:dispEq val="0"/>
          </c:trendline>
          <c:cat>
            <c:multiLvlStrRef>
              <c:f>'[做图表 Microsoft Excel 97-2003 工作表 (2).xls]Sheet1'!$B$28:$C$29</c:f>
              <c:multiLvlStrCache>
                <c:ptCount val="2"/>
                <c:lvl>
                  <c:pt idx="0">
                    <c:v>2021年</c:v>
                  </c:pt>
                  <c:pt idx="1">
                    <c:v>2022年</c:v>
                  </c:pt>
                </c:lvl>
                <c:lvl/>
              </c:multiLvlStrCache>
            </c:multiLvlStrRef>
          </c:cat>
          <c:val>
            <c:numRef>
              <c:f>'[做图表 Microsoft Excel 97-2003 工作表 (2).xls]Sheet1'!$B$30:$C$30</c:f>
              <c:numCache>
                <c:formatCode>General</c:formatCode>
                <c:ptCount val="2"/>
                <c:pt idx="0">
                  <c:v>382.46</c:v>
                </c:pt>
                <c:pt idx="1">
                  <c:v>321.62</c:v>
                </c:pt>
              </c:numCache>
            </c:numRef>
          </c:val>
        </c:ser>
        <c:ser>
          <c:idx val="1"/>
          <c:order val="1"/>
          <c:tx>
            <c:strRef>
              <c:f>'[做图表 Microsoft Excel 97-2003 工作表 (2).xls]Sheet1'!$A$31</c:f>
              <c:strCache>
                <c:ptCount val="1"/>
                <c:pt idx="0">
                  <c:v>财政支出总决算</c:v>
                </c:pt>
              </c:strCache>
            </c:strRef>
          </c:tx>
          <c:spPr>
            <a:solidFill>
              <a:schemeClr val="accent2">
                <a:alpha val="85000"/>
              </a:schemeClr>
            </a:solidFill>
            <a:ln w="9525" cap="flat" cmpd="sng" algn="ctr">
              <a:solidFill>
                <a:schemeClr val="lt1">
                  <a:alpha val="50000"/>
                </a:schemeClr>
              </a:solidFill>
              <a:round/>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trendline>
            <c:spPr>
              <a:ln w="19050" cap="rnd">
                <a:solidFill>
                  <a:schemeClr val="accent2"/>
                </a:solidFill>
              </a:ln>
              <a:effectLst/>
            </c:spPr>
            <c:trendlineType val="linear"/>
            <c:forward val="0"/>
            <c:backward val="0"/>
            <c:dispRSqr val="0"/>
            <c:dispEq val="0"/>
          </c:trendline>
          <c:cat>
            <c:multiLvlStrRef>
              <c:f>'[做图表 Microsoft Excel 97-2003 工作表 (2).xls]Sheet1'!$B$28:$C$29</c:f>
              <c:multiLvlStrCache>
                <c:ptCount val="2"/>
                <c:lvl>
                  <c:pt idx="0">
                    <c:v>2021年</c:v>
                  </c:pt>
                  <c:pt idx="1">
                    <c:v>2022年</c:v>
                  </c:pt>
                </c:lvl>
                <c:lvl/>
              </c:multiLvlStrCache>
            </c:multiLvlStrRef>
          </c:cat>
          <c:val>
            <c:numRef>
              <c:f>'[做图表 Microsoft Excel 97-2003 工作表 (2).xls]Sheet1'!$B$31:$C$31</c:f>
              <c:numCache>
                <c:formatCode>General</c:formatCode>
                <c:ptCount val="2"/>
                <c:pt idx="0">
                  <c:v>382.46</c:v>
                </c:pt>
                <c:pt idx="1">
                  <c:v>321.62</c:v>
                </c:pt>
              </c:numCache>
            </c:numRef>
          </c:val>
        </c:ser>
        <c:dLbls>
          <c:showLegendKey val="0"/>
          <c:showVal val="1"/>
          <c:showCatName val="0"/>
          <c:showSerName val="0"/>
          <c:showPercent val="0"/>
          <c:showBubbleSize val="0"/>
        </c:dLbls>
        <c:gapWidth val="65"/>
        <c:overlap val="0"/>
        <c:axId val="279940826"/>
        <c:axId val="992068255"/>
      </c:barChart>
      <c:catAx>
        <c:axId val="279940826"/>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992068255"/>
        <c:crosses val="autoZero"/>
        <c:auto val="1"/>
        <c:lblAlgn val="ctr"/>
        <c:lblOffset val="100"/>
        <c:noMultiLvlLbl val="0"/>
      </c:catAx>
      <c:valAx>
        <c:axId val="99206825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27994082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一般公共预算财政拨款支出决算变动情况表</a:t>
            </a:r>
          </a:p>
        </c:rich>
      </c:tx>
      <c:layout/>
      <c:overlay val="0"/>
      <c:spPr>
        <a:noFill/>
        <a:ln>
          <a:noFill/>
        </a:ln>
        <a:effectLst/>
      </c:spPr>
    </c:title>
    <c:autoTitleDeleted val="0"/>
    <c:plotArea>
      <c:layout>
        <c:manualLayout>
          <c:layoutTarget val="inner"/>
          <c:xMode val="edge"/>
          <c:yMode val="edge"/>
          <c:x val="0.145833630032613"/>
          <c:y val="0.347223399601914"/>
          <c:w val="0.816668328182634"/>
          <c:h val="0.305556591649684"/>
        </c:manualLayout>
      </c:layout>
      <c:barChart>
        <c:barDir val="col"/>
        <c:grouping val="stacked"/>
        <c:varyColors val="0"/>
        <c:ser>
          <c:idx val="0"/>
          <c:order val="0"/>
          <c:spPr>
            <a:solidFill>
              <a:schemeClr val="accent1"/>
            </a:solidFill>
            <a:ln>
              <a:noFill/>
            </a:ln>
            <a:effectLst/>
          </c:spPr>
          <c:invertIfNegative val="0"/>
          <c:dLbls>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both"/>
            <c:errValType val="stdDev"/>
            <c:noEndCap val="0"/>
            <c:val val="1"/>
            <c:spPr>
              <a:noFill/>
              <a:ln w="9525" cap="flat" cmpd="sng" algn="ctr">
                <a:solidFill>
                  <a:schemeClr val="tx1">
                    <a:lumMod val="65000"/>
                    <a:lumOff val="35000"/>
                  </a:schemeClr>
                </a:solidFill>
                <a:round/>
              </a:ln>
              <a:effectLst/>
            </c:spPr>
          </c:errBars>
          <c:cat>
            <c:multiLvlStrRef>
              <c:f>'[做图表 Microsoft Excel 97-2003 工作表 (2).xls]Sheet1'!$A$54:$C$55</c:f>
              <c:multiLvlStrCache>
                <c:ptCount val="3"/>
                <c:lvl>
                  <c:pt idx="1">
                    <c:v>2021年</c:v>
                  </c:pt>
                  <c:pt idx="2">
                    <c:v>2022年</c:v>
                  </c:pt>
                </c:lvl>
                <c:lvl>
                  <c:pt idx="0">
                    <c:v>单位：万元</c:v>
                  </c:pt>
                </c:lvl>
              </c:multiLvlStrCache>
            </c:multiLvlStrRef>
          </c:cat>
          <c:val>
            <c:numRef>
              <c:f>'[做图表 Microsoft Excel 97-2003 工作表 (2).xls]Sheet1'!$A$56:$C$56</c:f>
              <c:numCache>
                <c:formatCode>General</c:formatCode>
                <c:ptCount val="3"/>
                <c:pt idx="1">
                  <c:v>375.61</c:v>
                </c:pt>
                <c:pt idx="2">
                  <c:v>321.02</c:v>
                </c:pt>
              </c:numCache>
            </c:numRef>
          </c:val>
        </c:ser>
        <c:dLbls>
          <c:showLegendKey val="0"/>
          <c:showVal val="1"/>
          <c:showCatName val="0"/>
          <c:showSerName val="0"/>
          <c:showPercent val="0"/>
          <c:showBubbleSize val="0"/>
        </c:dLbls>
        <c:gapWidth val="150"/>
        <c:overlap val="100"/>
        <c:axId val="137519951"/>
        <c:axId val="845230565"/>
      </c:barChart>
      <c:catAx>
        <c:axId val="1375199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5230565"/>
        <c:crosses val="autoZero"/>
        <c:auto val="1"/>
        <c:lblAlgn val="ctr"/>
        <c:lblOffset val="100"/>
        <c:noMultiLvlLbl val="0"/>
      </c:catAx>
      <c:valAx>
        <c:axId val="84523056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75199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1" i="0" u="none" strike="noStrike" baseline="0">
                <a:solidFill>
                  <a:srgbClr val="333333"/>
                </a:solidFill>
                <a:latin typeface="Calibri" panose="020F0502020204030204" charset="-122"/>
                <a:ea typeface="Calibri" panose="020F0502020204030204" charset="-122"/>
                <a:cs typeface="Calibri" panose="020F0502020204030204" charset="-122"/>
              </a:rPr>
              <a:t>202</a:t>
            </a:r>
            <a:r>
              <a:rPr lang="en-US" altLang="zh-CN" sz="1400" b="1" i="0" u="none" strike="noStrike" baseline="0">
                <a:solidFill>
                  <a:srgbClr val="333333"/>
                </a:solidFill>
                <a:latin typeface="Calibri" panose="020F0502020204030204" charset="-122"/>
                <a:ea typeface="Calibri" panose="020F0502020204030204" charset="-122"/>
                <a:cs typeface="Calibri" panose="020F0502020204030204" charset="-122"/>
              </a:rPr>
              <a:t>2</a:t>
            </a:r>
            <a:r>
              <a:rPr sz="1400" b="1" i="0" u="none" strike="noStrike" baseline="0">
                <a:solidFill>
                  <a:srgbClr val="333333"/>
                </a:solidFill>
                <a:latin typeface="宋体" panose="02010600030101010101" charset="-122"/>
                <a:ea typeface="宋体" panose="02010600030101010101" charset="-122"/>
                <a:cs typeface="宋体" panose="02010600030101010101" charset="-122"/>
              </a:rPr>
              <a:t>年一般公共预算财政拨款支出决算构成图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4989754659046"/>
          <c:y val="0.0264810698135029"/>
        </c:manualLayout>
      </c:layout>
      <c:overlay val="0"/>
      <c:spPr>
        <a:noFill/>
        <a:ln w="3175">
          <a:noFill/>
        </a:ln>
      </c:spPr>
    </c:title>
    <c:autoTitleDeleted val="0"/>
    <c:plotArea>
      <c:layout>
        <c:manualLayout>
          <c:layoutTarget val="inner"/>
          <c:xMode val="edge"/>
          <c:yMode val="edge"/>
          <c:x val="0.305019305019305"/>
          <c:y val="0.390501822360733"/>
          <c:w val="0.297297297297297"/>
          <c:h val="0.406332977321304"/>
        </c:manualLayout>
      </c:layout>
      <c:pieChart>
        <c:varyColors val="1"/>
        <c:ser>
          <c:idx val="0"/>
          <c:order val="0"/>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Pt>
            <c:idx val="5"/>
            <c:bubble3D val="0"/>
            <c:explosion val="0"/>
            <c:spPr>
              <a:solidFill>
                <a:srgbClr val="70AD47">
                  <a:alpha val="100000"/>
                </a:srgbClr>
              </a:solidFill>
              <a:ln w="19050">
                <a:solidFill>
                  <a:srgbClr val="FFFFFF">
                    <a:alpha val="100000"/>
                  </a:srgbClr>
                </a:solidFill>
                <a:prstDash val="solid"/>
              </a:ln>
            </c:spPr>
          </c:dPt>
          <c:dPt>
            <c:idx val="6"/>
            <c:bubble3D val="0"/>
            <c:explosion val="0"/>
            <c:spPr>
              <a:solidFill>
                <a:srgbClr val="2C4D75">
                  <a:lumMod val="60000"/>
                </a:srgbClr>
              </a:solidFill>
              <a:ln w="19050">
                <a:solidFill>
                  <a:srgbClr val="FFFFFF"/>
                </a:solidFill>
              </a:ln>
              <a:effectLst/>
            </c:spPr>
          </c:dPt>
          <c:dPt>
            <c:idx val="7"/>
            <c:bubble3D val="0"/>
            <c:explosion val="0"/>
            <c:spPr>
              <a:solidFill>
                <a:srgbClr val="772C2A">
                  <a:lumMod val="60000"/>
                </a:srgbClr>
              </a:solidFill>
              <a:ln w="19050">
                <a:solidFill>
                  <a:srgbClr val="FFFFFF"/>
                </a:solidFill>
              </a:ln>
              <a:effectLst/>
            </c:spPr>
          </c:dPt>
          <c:dLbls>
            <c:dLbl>
              <c:idx val="2"/>
              <c:layout>
                <c:manualLayout>
                  <c:x val="0.0506448254422858"/>
                  <c:y val="-0.10048508749684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355942901953"/>
                  <c:y val="-0.040857951928188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89953114132208"/>
                  <c:y val="0.00491321878713943"/>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649064894162624"/>
                  <c:y val="-0.103619574602444"/>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45579750609085"/>
                  <c:y val="-0.0729175875469411"/>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(2).xls]Sheet1'!$B$4:$B$11</c:f>
              <c:numCache>
                <c:formatCode>General</c:formatCode>
                <c:ptCount val="8"/>
                <c:pt idx="2">
                  <c:v>19.57</c:v>
                </c:pt>
                <c:pt idx="3">
                  <c:v>288.93</c:v>
                </c:pt>
                <c:pt idx="4">
                  <c:v>12.52</c:v>
                </c:pt>
              </c:numCache>
            </c:numRef>
          </c:val>
        </c:ser>
        <c:ser>
          <c:idx val="1"/>
          <c:order val="1"/>
          <c:explosion val="0"/>
          <c:dPt>
            <c:idx val="0"/>
            <c:bubble3D val="0"/>
            <c:explosion val="0"/>
            <c:spPr>
              <a:solidFill>
                <a:srgbClr val="5B9BD5">
                  <a:alpha val="100000"/>
                </a:srgbClr>
              </a:solidFill>
              <a:ln w="19050">
                <a:solidFill>
                  <a:srgbClr val="FFFFFF">
                    <a:alpha val="100000"/>
                  </a:srgbClr>
                </a:solidFill>
                <a:prstDash val="solid"/>
              </a:ln>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(2).xls]Sheet1'!#REF!</c:f>
              <c:numCache>
                <c:formatCode>General</c:formatCode>
                <c:ptCount val="1"/>
              </c:numCache>
            </c:numRef>
          </c:val>
        </c:ser>
        <c:ser>
          <c:idx val="2"/>
          <c:order val="2"/>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Pt>
            <c:idx val="5"/>
            <c:bubble3D val="0"/>
            <c:explosion val="0"/>
            <c:spPr>
              <a:solidFill>
                <a:srgbClr val="70AD47">
                  <a:alpha val="100000"/>
                </a:srgbClr>
              </a:solidFill>
              <a:ln w="19050">
                <a:solidFill>
                  <a:srgbClr val="FFFFFF">
                    <a:alpha val="100000"/>
                  </a:srgbClr>
                </a:solidFill>
                <a:prstDash val="solid"/>
              </a:ln>
            </c:spPr>
          </c:dPt>
          <c:dPt>
            <c:idx val="6"/>
            <c:bubble3D val="0"/>
            <c:explosion val="0"/>
            <c:spPr>
              <a:solidFill>
                <a:srgbClr val="2C4D75">
                  <a:lumMod val="60000"/>
                </a:srgbClr>
              </a:solidFill>
              <a:ln w="19050">
                <a:solidFill>
                  <a:srgbClr val="FFFFFF"/>
                </a:solidFill>
              </a:ln>
              <a:effectLst/>
            </c:spPr>
          </c:dPt>
          <c:dPt>
            <c:idx val="7"/>
            <c:bubble3D val="0"/>
            <c:explosion val="0"/>
            <c:spPr>
              <a:solidFill>
                <a:srgbClr val="772C2A">
                  <a:lumMod val="60000"/>
                </a:srgbClr>
              </a:solidFill>
              <a:ln w="19050">
                <a:solidFill>
                  <a:srgbClr val="FFFFFF"/>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(2).xls]Sheet1'!$C$4:$C$11</c:f>
              <c:numCache>
                <c:formatCode>General</c:formatCode>
                <c:ptCount val="8"/>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0" vertOverflow="ellipsis" vert="horz" wrap="square" anchor="ctr" anchorCtr="1"/>
        <a:lstStyle/>
        <a:p>
          <a:pPr>
            <a:defRPr lang="zh-CN" sz="75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1" i="0" u="none" strike="noStrike" baseline="0">
                <a:solidFill>
                  <a:srgbClr val="333333"/>
                </a:solidFill>
                <a:latin typeface="Calibri" panose="020F0502020204030204" charset="-122"/>
                <a:ea typeface="Calibri" panose="020F0502020204030204" charset="-122"/>
                <a:cs typeface="Calibri" panose="020F0502020204030204" charset="-122"/>
              </a:rPr>
              <a:t>202</a:t>
            </a:r>
            <a:r>
              <a:rPr lang="en-US" altLang="zh-CN" sz="1400" b="1" i="0" u="none" strike="noStrike" baseline="0">
                <a:solidFill>
                  <a:srgbClr val="333333"/>
                </a:solidFill>
                <a:latin typeface="Calibri" panose="020F0502020204030204" charset="-122"/>
                <a:ea typeface="Calibri" panose="020F0502020204030204" charset="-122"/>
                <a:cs typeface="Calibri" panose="020F0502020204030204" charset="-122"/>
              </a:rPr>
              <a:t>2</a:t>
            </a:r>
            <a:r>
              <a:rPr sz="1400" b="1" i="0" u="none" strike="noStrike" baseline="0">
                <a:solidFill>
                  <a:srgbClr val="333333"/>
                </a:solidFill>
                <a:latin typeface="宋体" panose="02010600030101010101" charset="-122"/>
                <a:ea typeface="宋体" panose="02010600030101010101" charset="-122"/>
                <a:cs typeface="宋体" panose="02010600030101010101" charset="-122"/>
              </a:rPr>
              <a:t>年一般公共预算财政拨款支出决算构成图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4989754659046"/>
          <c:y val="0.0264810698135029"/>
        </c:manualLayout>
      </c:layout>
      <c:overlay val="0"/>
      <c:spPr>
        <a:noFill/>
        <a:ln w="3175">
          <a:noFill/>
        </a:ln>
      </c:spPr>
    </c:title>
    <c:autoTitleDeleted val="0"/>
    <c:plotArea>
      <c:layout>
        <c:manualLayout>
          <c:layoutTarget val="inner"/>
          <c:xMode val="edge"/>
          <c:yMode val="edge"/>
          <c:x val="0.305019305019305"/>
          <c:y val="0.390501822360733"/>
          <c:w val="0.297297297297297"/>
          <c:h val="0.406332977321304"/>
        </c:manualLayout>
      </c:layout>
      <c:pieChart>
        <c:varyColors val="1"/>
        <c:ser>
          <c:idx val="0"/>
          <c:order val="0"/>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Pt>
            <c:idx val="5"/>
            <c:bubble3D val="0"/>
            <c:explosion val="0"/>
            <c:spPr>
              <a:solidFill>
                <a:srgbClr val="70AD47">
                  <a:alpha val="100000"/>
                </a:srgbClr>
              </a:solidFill>
              <a:ln w="19050">
                <a:solidFill>
                  <a:srgbClr val="FFFFFF">
                    <a:alpha val="100000"/>
                  </a:srgbClr>
                </a:solidFill>
                <a:prstDash val="solid"/>
              </a:ln>
            </c:spPr>
          </c:dPt>
          <c:dPt>
            <c:idx val="6"/>
            <c:bubble3D val="0"/>
            <c:explosion val="0"/>
            <c:spPr>
              <a:solidFill>
                <a:srgbClr val="2C4D75">
                  <a:lumMod val="60000"/>
                </a:srgbClr>
              </a:solidFill>
              <a:ln w="19050">
                <a:solidFill>
                  <a:srgbClr val="FFFFFF"/>
                </a:solidFill>
              </a:ln>
              <a:effectLst/>
            </c:spPr>
          </c:dPt>
          <c:dPt>
            <c:idx val="7"/>
            <c:bubble3D val="0"/>
            <c:explosion val="0"/>
            <c:spPr>
              <a:solidFill>
                <a:srgbClr val="772C2A">
                  <a:lumMod val="60000"/>
                </a:srgbClr>
              </a:solidFill>
              <a:ln w="19050">
                <a:solidFill>
                  <a:srgbClr val="FFFFFF"/>
                </a:solidFill>
              </a:ln>
              <a:effectLst/>
            </c:spPr>
          </c:dPt>
          <c:dLbls>
            <c:dLbl>
              <c:idx val="2"/>
              <c:layout>
                <c:manualLayout>
                  <c:x val="0.0506448254422858"/>
                  <c:y val="-0.10048508749684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355942901953"/>
                  <c:y val="-0.040857951928188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89953114132208"/>
                  <c:y val="0.00491321878713943"/>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649064894162624"/>
                  <c:y val="-0.103619574602444"/>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45579750609085"/>
                  <c:y val="-0.0729175875469411"/>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(2).xls]Sheet1'!$B$4:$B$11</c:f>
              <c:numCache>
                <c:formatCode>General</c:formatCode>
                <c:ptCount val="8"/>
                <c:pt idx="2">
                  <c:v>19.57</c:v>
                </c:pt>
                <c:pt idx="3">
                  <c:v>288.93</c:v>
                </c:pt>
                <c:pt idx="4">
                  <c:v>12.52</c:v>
                </c:pt>
              </c:numCache>
            </c:numRef>
          </c:val>
        </c:ser>
        <c:ser>
          <c:idx val="1"/>
          <c:order val="1"/>
          <c:explosion val="0"/>
          <c:dPt>
            <c:idx val="0"/>
            <c:bubble3D val="0"/>
            <c:explosion val="0"/>
            <c:spPr>
              <a:solidFill>
                <a:srgbClr val="5B9BD5">
                  <a:alpha val="100000"/>
                </a:srgbClr>
              </a:solidFill>
              <a:ln w="19050">
                <a:solidFill>
                  <a:srgbClr val="FFFFFF">
                    <a:alpha val="100000"/>
                  </a:srgbClr>
                </a:solidFill>
                <a:prstDash val="solid"/>
              </a:ln>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(2).xls]Sheet1'!#REF!</c:f>
              <c:numCache>
                <c:formatCode>General</c:formatCode>
                <c:ptCount val="1"/>
              </c:numCache>
            </c:numRef>
          </c:val>
        </c:ser>
        <c:ser>
          <c:idx val="2"/>
          <c:order val="2"/>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Pt>
            <c:idx val="5"/>
            <c:bubble3D val="0"/>
            <c:explosion val="0"/>
            <c:spPr>
              <a:solidFill>
                <a:srgbClr val="70AD47">
                  <a:alpha val="100000"/>
                </a:srgbClr>
              </a:solidFill>
              <a:ln w="19050">
                <a:solidFill>
                  <a:srgbClr val="FFFFFF">
                    <a:alpha val="100000"/>
                  </a:srgbClr>
                </a:solidFill>
                <a:prstDash val="solid"/>
              </a:ln>
            </c:spPr>
          </c:dPt>
          <c:dPt>
            <c:idx val="6"/>
            <c:bubble3D val="0"/>
            <c:explosion val="0"/>
            <c:spPr>
              <a:solidFill>
                <a:srgbClr val="2C4D75">
                  <a:lumMod val="60000"/>
                </a:srgbClr>
              </a:solidFill>
              <a:ln w="19050">
                <a:solidFill>
                  <a:srgbClr val="FFFFFF"/>
                </a:solidFill>
              </a:ln>
              <a:effectLst/>
            </c:spPr>
          </c:dPt>
          <c:dPt>
            <c:idx val="7"/>
            <c:bubble3D val="0"/>
            <c:explosion val="0"/>
            <c:spPr>
              <a:solidFill>
                <a:srgbClr val="772C2A">
                  <a:lumMod val="60000"/>
                </a:srgbClr>
              </a:solidFill>
              <a:ln w="19050">
                <a:solidFill>
                  <a:srgbClr val="FFFFFF"/>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(2).xls]Sheet1'!$C$4:$C$11</c:f>
              <c:numCache>
                <c:formatCode>General</c:formatCode>
                <c:ptCount val="8"/>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0" vertOverflow="ellipsis" vert="horz" wrap="square" anchor="ctr" anchorCtr="1"/>
        <a:lstStyle/>
        <a:p>
          <a:pPr>
            <a:defRPr lang="zh-CN" sz="75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1" i="0" u="none" strike="noStrike" baseline="0">
                <a:solidFill>
                  <a:srgbClr val="333333"/>
                </a:solidFill>
                <a:latin typeface="Calibri" panose="020F0502020204030204" charset="-122"/>
                <a:ea typeface="Calibri" panose="020F0502020204030204" charset="-122"/>
                <a:cs typeface="Calibri" panose="020F0502020204030204" charset="-122"/>
              </a:rPr>
              <a:t>202</a:t>
            </a:r>
            <a:r>
              <a:rPr lang="en-US" altLang="zh-CN" sz="1400" b="1" i="0" u="none" strike="noStrike" baseline="0">
                <a:solidFill>
                  <a:srgbClr val="333333"/>
                </a:solidFill>
                <a:latin typeface="Calibri" panose="020F0502020204030204" charset="-122"/>
                <a:ea typeface="Calibri" panose="020F0502020204030204" charset="-122"/>
                <a:cs typeface="Calibri" panose="020F0502020204030204" charset="-122"/>
              </a:rPr>
              <a:t>2</a:t>
            </a:r>
            <a:r>
              <a:rPr sz="1400" b="1" i="0" u="none" strike="noStrike" baseline="0">
                <a:solidFill>
                  <a:srgbClr val="333333"/>
                </a:solidFill>
                <a:latin typeface="宋体" panose="02010600030101010101" charset="-122"/>
                <a:ea typeface="宋体" panose="02010600030101010101" charset="-122"/>
                <a:cs typeface="宋体" panose="02010600030101010101" charset="-122"/>
              </a:rPr>
              <a:t>年一般公共预算财政拨款支出决算构成图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4989754659046"/>
          <c:y val="0.0264810698135029"/>
        </c:manualLayout>
      </c:layout>
      <c:overlay val="0"/>
      <c:spPr>
        <a:noFill/>
        <a:ln w="3175">
          <a:noFill/>
        </a:ln>
      </c:spPr>
    </c:title>
    <c:autoTitleDeleted val="0"/>
    <c:plotArea>
      <c:layout>
        <c:manualLayout>
          <c:layoutTarget val="inner"/>
          <c:xMode val="edge"/>
          <c:yMode val="edge"/>
          <c:x val="0.305019305019305"/>
          <c:y val="0.390501822360733"/>
          <c:w val="0.297297297297297"/>
          <c:h val="0.406332977321304"/>
        </c:manualLayout>
      </c:layout>
      <c:pieChart>
        <c:varyColors val="1"/>
        <c:ser>
          <c:idx val="0"/>
          <c:order val="0"/>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Pt>
            <c:idx val="5"/>
            <c:bubble3D val="0"/>
            <c:explosion val="0"/>
            <c:spPr>
              <a:solidFill>
                <a:srgbClr val="70AD47">
                  <a:alpha val="100000"/>
                </a:srgbClr>
              </a:solidFill>
              <a:ln w="19050">
                <a:solidFill>
                  <a:srgbClr val="FFFFFF">
                    <a:alpha val="100000"/>
                  </a:srgbClr>
                </a:solidFill>
                <a:prstDash val="solid"/>
              </a:ln>
            </c:spPr>
          </c:dPt>
          <c:dPt>
            <c:idx val="6"/>
            <c:bubble3D val="0"/>
            <c:explosion val="0"/>
            <c:spPr>
              <a:solidFill>
                <a:srgbClr val="2C4D75">
                  <a:lumMod val="60000"/>
                </a:srgbClr>
              </a:solidFill>
              <a:ln w="19050">
                <a:solidFill>
                  <a:srgbClr val="FFFFFF"/>
                </a:solidFill>
              </a:ln>
              <a:effectLst/>
            </c:spPr>
          </c:dPt>
          <c:dPt>
            <c:idx val="7"/>
            <c:bubble3D val="0"/>
            <c:explosion val="0"/>
            <c:spPr>
              <a:solidFill>
                <a:srgbClr val="772C2A">
                  <a:lumMod val="60000"/>
                </a:srgbClr>
              </a:solidFill>
              <a:ln w="19050">
                <a:solidFill>
                  <a:srgbClr val="FFFFFF"/>
                </a:solidFill>
              </a:ln>
              <a:effectLst/>
            </c:spPr>
          </c:dPt>
          <c:dLbls>
            <c:dLbl>
              <c:idx val="2"/>
              <c:layout>
                <c:manualLayout>
                  <c:x val="0.0506448254422858"/>
                  <c:y val="-0.10048508749684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355942901953"/>
                  <c:y val="-0.040857951928188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89953114132208"/>
                  <c:y val="0.00491321878713943"/>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649064894162624"/>
                  <c:y val="-0.103619574602444"/>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45579750609085"/>
                  <c:y val="-0.0729175875469411"/>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(2).xls]Sheet1'!$B$4:$B$11</c:f>
              <c:numCache>
                <c:formatCode>General</c:formatCode>
                <c:ptCount val="8"/>
                <c:pt idx="2">
                  <c:v>19.57</c:v>
                </c:pt>
                <c:pt idx="3">
                  <c:v>288.93</c:v>
                </c:pt>
                <c:pt idx="4">
                  <c:v>12.52</c:v>
                </c:pt>
              </c:numCache>
            </c:numRef>
          </c:val>
        </c:ser>
        <c:ser>
          <c:idx val="1"/>
          <c:order val="1"/>
          <c:explosion val="0"/>
          <c:dPt>
            <c:idx val="0"/>
            <c:bubble3D val="0"/>
            <c:explosion val="0"/>
            <c:spPr>
              <a:solidFill>
                <a:srgbClr val="5B9BD5">
                  <a:alpha val="100000"/>
                </a:srgbClr>
              </a:solidFill>
              <a:ln w="19050">
                <a:solidFill>
                  <a:srgbClr val="FFFFFF">
                    <a:alpha val="100000"/>
                  </a:srgbClr>
                </a:solidFill>
                <a:prstDash val="solid"/>
              </a:ln>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(2).xls]Sheet1'!#REF!</c:f>
              <c:numCache>
                <c:formatCode>General</c:formatCode>
                <c:ptCount val="1"/>
              </c:numCache>
            </c:numRef>
          </c:val>
        </c:ser>
        <c:ser>
          <c:idx val="2"/>
          <c:order val="2"/>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Pt>
            <c:idx val="5"/>
            <c:bubble3D val="0"/>
            <c:explosion val="0"/>
            <c:spPr>
              <a:solidFill>
                <a:srgbClr val="70AD47">
                  <a:alpha val="100000"/>
                </a:srgbClr>
              </a:solidFill>
              <a:ln w="19050">
                <a:solidFill>
                  <a:srgbClr val="FFFFFF">
                    <a:alpha val="100000"/>
                  </a:srgbClr>
                </a:solidFill>
                <a:prstDash val="solid"/>
              </a:ln>
            </c:spPr>
          </c:dPt>
          <c:dPt>
            <c:idx val="6"/>
            <c:bubble3D val="0"/>
            <c:explosion val="0"/>
            <c:spPr>
              <a:solidFill>
                <a:srgbClr val="2C4D75">
                  <a:lumMod val="60000"/>
                </a:srgbClr>
              </a:solidFill>
              <a:ln w="19050">
                <a:solidFill>
                  <a:srgbClr val="FFFFFF"/>
                </a:solidFill>
              </a:ln>
              <a:effectLst/>
            </c:spPr>
          </c:dPt>
          <c:dPt>
            <c:idx val="7"/>
            <c:bubble3D val="0"/>
            <c:explosion val="0"/>
            <c:spPr>
              <a:solidFill>
                <a:srgbClr val="772C2A">
                  <a:lumMod val="60000"/>
                </a:srgbClr>
              </a:solidFill>
              <a:ln w="19050">
                <a:solidFill>
                  <a:srgbClr val="FFFFFF"/>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(2).xls]Sheet1'!$C$4:$C$11</c:f>
              <c:numCache>
                <c:formatCode>General</c:formatCode>
                <c:ptCount val="8"/>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0" vertOverflow="ellipsis" vert="horz" wrap="square" anchor="ctr" anchorCtr="1"/>
        <a:lstStyle/>
        <a:p>
          <a:pPr>
            <a:defRPr lang="zh-CN" sz="75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1" i="0" u="none" strike="noStrike" baseline="0">
                <a:solidFill>
                  <a:srgbClr val="333333"/>
                </a:solidFill>
                <a:latin typeface="Calibri" panose="020F0502020204030204" charset="-122"/>
                <a:ea typeface="Calibri" panose="020F0502020204030204" charset="-122"/>
                <a:cs typeface="Calibri" panose="020F0502020204030204" charset="-122"/>
              </a:rPr>
              <a:t>202</a:t>
            </a:r>
            <a:r>
              <a:rPr lang="en-US" altLang="zh-CN" sz="1400" b="1" i="0" u="none" strike="noStrike" baseline="0">
                <a:solidFill>
                  <a:srgbClr val="333333"/>
                </a:solidFill>
                <a:latin typeface="Calibri" panose="020F0502020204030204" charset="-122"/>
                <a:ea typeface="Calibri" panose="020F0502020204030204" charset="-122"/>
                <a:cs typeface="Calibri" panose="020F0502020204030204" charset="-122"/>
              </a:rPr>
              <a:t>2</a:t>
            </a:r>
            <a:r>
              <a:rPr sz="1400" b="1" i="0" u="none" strike="noStrike" baseline="0">
                <a:solidFill>
                  <a:srgbClr val="333333"/>
                </a:solidFill>
                <a:latin typeface="宋体" panose="02010600030101010101" charset="-122"/>
                <a:ea typeface="宋体" panose="02010600030101010101" charset="-122"/>
                <a:cs typeface="宋体" panose="02010600030101010101" charset="-122"/>
              </a:rPr>
              <a:t>年一般公共预算财政拨款支出决算构成图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4989754659046"/>
          <c:y val="0.0264810698135029"/>
        </c:manualLayout>
      </c:layout>
      <c:overlay val="0"/>
      <c:spPr>
        <a:noFill/>
        <a:ln w="3175">
          <a:noFill/>
        </a:ln>
      </c:spPr>
    </c:title>
    <c:autoTitleDeleted val="0"/>
    <c:plotArea>
      <c:layout>
        <c:manualLayout>
          <c:layoutTarget val="inner"/>
          <c:xMode val="edge"/>
          <c:yMode val="edge"/>
          <c:x val="0.305019305019305"/>
          <c:y val="0.390501822360733"/>
          <c:w val="0.297297297297297"/>
          <c:h val="0.406332977321304"/>
        </c:manualLayout>
      </c:layout>
      <c:pieChart>
        <c:varyColors val="1"/>
        <c:ser>
          <c:idx val="0"/>
          <c:order val="0"/>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Pt>
            <c:idx val="5"/>
            <c:bubble3D val="0"/>
            <c:explosion val="0"/>
            <c:spPr>
              <a:solidFill>
                <a:srgbClr val="70AD47">
                  <a:alpha val="100000"/>
                </a:srgbClr>
              </a:solidFill>
              <a:ln w="19050">
                <a:solidFill>
                  <a:srgbClr val="FFFFFF">
                    <a:alpha val="100000"/>
                  </a:srgbClr>
                </a:solidFill>
                <a:prstDash val="solid"/>
              </a:ln>
            </c:spPr>
          </c:dPt>
          <c:dPt>
            <c:idx val="6"/>
            <c:bubble3D val="0"/>
            <c:explosion val="0"/>
            <c:spPr>
              <a:solidFill>
                <a:srgbClr val="2C4D75">
                  <a:lumMod val="60000"/>
                </a:srgbClr>
              </a:solidFill>
              <a:ln w="19050">
                <a:solidFill>
                  <a:srgbClr val="FFFFFF"/>
                </a:solidFill>
              </a:ln>
              <a:effectLst/>
            </c:spPr>
          </c:dPt>
          <c:dPt>
            <c:idx val="7"/>
            <c:bubble3D val="0"/>
            <c:explosion val="0"/>
            <c:spPr>
              <a:solidFill>
                <a:srgbClr val="772C2A">
                  <a:lumMod val="60000"/>
                </a:srgbClr>
              </a:solidFill>
              <a:ln w="19050">
                <a:solidFill>
                  <a:srgbClr val="FFFFFF"/>
                </a:solidFill>
              </a:ln>
              <a:effectLst/>
            </c:spPr>
          </c:dPt>
          <c:dLbls>
            <c:dLbl>
              <c:idx val="2"/>
              <c:layout>
                <c:manualLayout>
                  <c:x val="0.0506448254422858"/>
                  <c:y val="-0.10048508749684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355942901953"/>
                  <c:y val="-0.040857951928188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89953114132208"/>
                  <c:y val="0.00491321878713943"/>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649064894162624"/>
                  <c:y val="-0.103619574602444"/>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45579750609085"/>
                  <c:y val="-0.0729175875469411"/>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(2).xls]Sheet1'!$B$4:$B$11</c:f>
              <c:numCache>
                <c:formatCode>General</c:formatCode>
                <c:ptCount val="8"/>
                <c:pt idx="2">
                  <c:v>19.57</c:v>
                </c:pt>
                <c:pt idx="3">
                  <c:v>288.93</c:v>
                </c:pt>
                <c:pt idx="4">
                  <c:v>12.52</c:v>
                </c:pt>
              </c:numCache>
            </c:numRef>
          </c:val>
        </c:ser>
        <c:ser>
          <c:idx val="1"/>
          <c:order val="1"/>
          <c:explosion val="0"/>
          <c:dPt>
            <c:idx val="0"/>
            <c:bubble3D val="0"/>
            <c:explosion val="0"/>
            <c:spPr>
              <a:solidFill>
                <a:srgbClr val="5B9BD5">
                  <a:alpha val="100000"/>
                </a:srgbClr>
              </a:solidFill>
              <a:ln w="19050">
                <a:solidFill>
                  <a:srgbClr val="FFFFFF">
                    <a:alpha val="100000"/>
                  </a:srgbClr>
                </a:solidFill>
                <a:prstDash val="solid"/>
              </a:ln>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(2).xls]Sheet1'!#REF!</c:f>
              <c:numCache>
                <c:formatCode>General</c:formatCode>
                <c:ptCount val="1"/>
              </c:numCache>
            </c:numRef>
          </c:val>
        </c:ser>
        <c:ser>
          <c:idx val="2"/>
          <c:order val="2"/>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Pt>
            <c:idx val="5"/>
            <c:bubble3D val="0"/>
            <c:explosion val="0"/>
            <c:spPr>
              <a:solidFill>
                <a:srgbClr val="70AD47">
                  <a:alpha val="100000"/>
                </a:srgbClr>
              </a:solidFill>
              <a:ln w="19050">
                <a:solidFill>
                  <a:srgbClr val="FFFFFF">
                    <a:alpha val="100000"/>
                  </a:srgbClr>
                </a:solidFill>
                <a:prstDash val="solid"/>
              </a:ln>
            </c:spPr>
          </c:dPt>
          <c:dPt>
            <c:idx val="6"/>
            <c:bubble3D val="0"/>
            <c:explosion val="0"/>
            <c:spPr>
              <a:solidFill>
                <a:srgbClr val="2C4D75">
                  <a:lumMod val="60000"/>
                </a:srgbClr>
              </a:solidFill>
              <a:ln w="19050">
                <a:solidFill>
                  <a:srgbClr val="FFFFFF"/>
                </a:solidFill>
              </a:ln>
              <a:effectLst/>
            </c:spPr>
          </c:dPt>
          <c:dPt>
            <c:idx val="7"/>
            <c:bubble3D val="0"/>
            <c:explosion val="0"/>
            <c:spPr>
              <a:solidFill>
                <a:srgbClr val="772C2A">
                  <a:lumMod val="60000"/>
                </a:srgbClr>
              </a:solidFill>
              <a:ln w="19050">
                <a:solidFill>
                  <a:srgbClr val="FFFFFF"/>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(2).xls]Sheet1'!$C$4:$C$11</c:f>
              <c:numCache>
                <c:formatCode>General</c:formatCode>
                <c:ptCount val="8"/>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0" vertOverflow="ellipsis" vert="horz" wrap="square" anchor="ctr" anchorCtr="1"/>
        <a:lstStyle/>
        <a:p>
          <a:pPr>
            <a:defRPr lang="zh-CN" sz="75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4.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5.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6.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7.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8.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9.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0</TotalTime>
  <ScaleCrop>false</ScaleCrop>
  <LinksUpToDate>false</LinksUpToDate>
  <CharactersWithSpaces>8692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我愿自生自灭</cp:lastModifiedBy>
  <cp:lastPrinted>2023-07-31T02:35:00Z</cp:lastPrinted>
  <dcterms:modified xsi:type="dcterms:W3CDTF">2023-10-08T02:57:43Z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