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方正小标宋简体" w:hAnsi="方正小标宋简体" w:eastAsia="方正小标宋简体" w:cs="宋体"/>
          <w:color w:val="000000"/>
          <w:sz w:val="30"/>
          <w:szCs w:val="30"/>
        </w:rPr>
      </w:pPr>
    </w:p>
    <w:p>
      <w:pPr>
        <w:spacing w:line="600" w:lineRule="exact"/>
        <w:jc w:val="center"/>
        <w:rPr>
          <w:rFonts w:ascii="方正小标宋简体" w:hAnsi="方正小标宋简体" w:eastAsia="方正小标宋简体" w:cs="宋体"/>
          <w:color w:val="000000"/>
          <w:sz w:val="72"/>
          <w:szCs w:val="72"/>
        </w:rPr>
      </w:pPr>
    </w:p>
    <w:p>
      <w:pPr>
        <w:spacing w:line="600" w:lineRule="exact"/>
        <w:jc w:val="center"/>
        <w:rPr>
          <w:rFonts w:ascii="方正小标宋简体" w:hAnsi="方正小标宋简体" w:eastAsia="方正小标宋简体" w:cs="宋体"/>
          <w:color w:val="000000"/>
          <w:sz w:val="72"/>
          <w:szCs w:val="72"/>
        </w:rPr>
      </w:pPr>
    </w:p>
    <w:p>
      <w:pPr>
        <w:spacing w:line="600" w:lineRule="exact"/>
        <w:jc w:val="center"/>
        <w:rPr>
          <w:rFonts w:ascii="方正小标宋简体" w:hAnsi="方正小标宋简体" w:eastAsia="方正小标宋简体" w:cs="宋体"/>
          <w:color w:val="000000"/>
          <w:sz w:val="72"/>
          <w:szCs w:val="72"/>
        </w:rPr>
      </w:pPr>
    </w:p>
    <w:p>
      <w:pPr>
        <w:snapToGrid w:val="0"/>
        <w:spacing w:line="360" w:lineRule="auto"/>
        <w:jc w:val="center"/>
      </w:pPr>
      <w:r>
        <w:rPr>
          <w:rFonts w:ascii="黑体" w:hAnsi="黑体" w:eastAsia="黑体" w:cs="黑体"/>
          <w:color w:val="000000"/>
          <w:sz w:val="72"/>
          <w:szCs w:val="72"/>
        </w:rPr>
        <w:t>202</w:t>
      </w:r>
      <w:r>
        <w:rPr>
          <w:rFonts w:hint="eastAsia" w:ascii="黑体" w:hAnsi="黑体" w:eastAsia="黑体" w:cs="黑体"/>
          <w:color w:val="000000"/>
          <w:sz w:val="72"/>
          <w:szCs w:val="72"/>
        </w:rPr>
        <w:t>1</w:t>
      </w:r>
      <w:r>
        <w:rPr>
          <w:rFonts w:hint="eastAsia" w:ascii="方正小标宋简体" w:hAnsi="方正小标宋简体" w:eastAsia="方正小标宋简体" w:cs="宋体"/>
          <w:color w:val="000000"/>
          <w:sz w:val="72"/>
          <w:szCs w:val="72"/>
        </w:rPr>
        <w:t>年度</w:t>
      </w:r>
    </w:p>
    <w:p>
      <w:pPr>
        <w:snapToGrid w:val="0"/>
        <w:spacing w:line="360" w:lineRule="auto"/>
        <w:jc w:val="center"/>
      </w:pPr>
      <w:r>
        <w:rPr>
          <w:rFonts w:hint="eastAsia" w:ascii="方正小标宋简体" w:hAnsi="方正小标宋简体" w:eastAsia="方正小标宋简体" w:cs="宋体"/>
          <w:color w:val="000000"/>
          <w:sz w:val="72"/>
          <w:szCs w:val="72"/>
        </w:rPr>
        <w:t>仁和区医疗</w:t>
      </w:r>
      <w:r>
        <w:rPr>
          <w:rFonts w:ascii="方正小标宋简体" w:hAnsi="方正小标宋简体" w:eastAsia="方正小标宋简体" w:cs="宋体"/>
          <w:color w:val="000000"/>
          <w:sz w:val="72"/>
          <w:szCs w:val="72"/>
        </w:rPr>
        <w:t>保障局</w:t>
      </w:r>
    </w:p>
    <w:p>
      <w:pPr>
        <w:snapToGrid w:val="0"/>
        <w:spacing w:line="360" w:lineRule="auto"/>
        <w:jc w:val="center"/>
      </w:pPr>
      <w:r>
        <w:rPr>
          <w:rFonts w:hint="eastAsia" w:ascii="方正小标宋简体" w:hAnsi="方正小标宋简体" w:eastAsia="方正小标宋简体" w:cs="宋体"/>
          <w:color w:val="000000"/>
          <w:sz w:val="72"/>
          <w:szCs w:val="72"/>
        </w:rPr>
        <w:t>决算编制说明</w:t>
      </w:r>
    </w:p>
    <w:p>
      <w:pPr>
        <w:pageBreakBefore/>
        <w:widowControl/>
        <w:jc w:val="center"/>
      </w:pPr>
      <w:r>
        <w:rPr>
          <w:rFonts w:hint="eastAsia" w:ascii="黑体" w:hAnsi="黑体" w:eastAsia="黑体" w:cs="黑体"/>
          <w:color w:val="000000"/>
          <w:sz w:val="48"/>
          <w:szCs w:val="48"/>
        </w:rPr>
        <w:t>目录</w:t>
      </w:r>
    </w:p>
    <w:p>
      <w:pPr>
        <w:widowControl/>
        <w:jc w:val="center"/>
        <w:rPr>
          <w:rFonts w:ascii="黑体" w:hAnsi="黑体" w:eastAsia="黑体" w:cs="黑体"/>
          <w:color w:val="000000"/>
          <w:sz w:val="28"/>
          <w:szCs w:val="28"/>
        </w:rPr>
      </w:pPr>
    </w:p>
    <w:p>
      <w:pPr>
        <w:pStyle w:val="9"/>
      </w:pPr>
      <w:r>
        <w:rPr>
          <w:rFonts w:hint="eastAsia"/>
        </w:rPr>
        <w:t>公开时间：</w:t>
      </w:r>
      <w:r>
        <w:t>202</w:t>
      </w:r>
      <w:r>
        <w:rPr>
          <w:rFonts w:hint="eastAsia"/>
        </w:rPr>
        <w:t xml:space="preserve">2年 </w:t>
      </w:r>
      <w:r>
        <w:rPr>
          <w:rFonts w:hint="eastAsia"/>
          <w:lang w:val="en-US" w:eastAsia="zh-CN"/>
        </w:rPr>
        <w:t>9</w:t>
      </w:r>
      <w:r>
        <w:rPr>
          <w:rFonts w:hint="eastAsia"/>
        </w:rPr>
        <w:t>月</w:t>
      </w:r>
      <w:r>
        <w:rPr>
          <w:rFonts w:hint="eastAsia"/>
          <w:lang w:val="en-US" w:eastAsia="zh-CN"/>
        </w:rPr>
        <w:t>27</w:t>
      </w:r>
      <w:r>
        <w:rPr>
          <w:rFonts w:hint="eastAsia"/>
        </w:rPr>
        <w:t xml:space="preserve"> 日</w:t>
      </w:r>
    </w:p>
    <w:p/>
    <w:p>
      <w:pPr>
        <w:pStyle w:val="9"/>
        <w:snapToGrid w:val="0"/>
        <w:spacing w:before="0" w:line="440" w:lineRule="exact"/>
        <w:jc w:val="left"/>
      </w:pPr>
      <w:r>
        <w:rPr>
          <w:rFonts w:hint="eastAsia"/>
          <w:sz w:val="24"/>
        </w:rPr>
        <w:t>第一部分部门概况..................................................</w:t>
      </w:r>
      <w:r>
        <w:rPr>
          <w:sz w:val="24"/>
        </w:rPr>
        <w:t>.4</w:t>
      </w:r>
    </w:p>
    <w:p>
      <w:pPr>
        <w:pStyle w:val="10"/>
        <w:snapToGrid w:val="0"/>
        <w:spacing w:line="440" w:lineRule="exact"/>
        <w:jc w:val="left"/>
      </w:pPr>
      <w:r>
        <w:rPr>
          <w:rFonts w:hint="eastAsia"/>
          <w:sz w:val="24"/>
        </w:rPr>
        <w:t>一、基本职能及主要工作</w:t>
      </w:r>
      <w:r>
        <w:rPr>
          <w:sz w:val="24"/>
        </w:rPr>
        <w:t>………………………………………………</w:t>
      </w:r>
      <w:r>
        <w:rPr>
          <w:rFonts w:hint="eastAsia"/>
          <w:sz w:val="24"/>
        </w:rPr>
        <w:t>.</w:t>
      </w:r>
      <w:r>
        <w:rPr>
          <w:sz w:val="24"/>
        </w:rPr>
        <w:t>……</w:t>
      </w:r>
      <w:r>
        <w:rPr>
          <w:rFonts w:hint="eastAsia"/>
          <w:sz w:val="24"/>
          <w:lang w:eastAsia="zh-CN"/>
        </w:rPr>
        <w:t>.</w:t>
      </w:r>
      <w:r>
        <w:rPr>
          <w:sz w:val="24"/>
        </w:rPr>
        <w:t>4</w:t>
      </w:r>
    </w:p>
    <w:p>
      <w:pPr>
        <w:pStyle w:val="10"/>
        <w:snapToGrid w:val="0"/>
        <w:spacing w:line="440" w:lineRule="exact"/>
        <w:jc w:val="left"/>
      </w:pPr>
      <w:r>
        <w:rPr>
          <w:rFonts w:hint="eastAsia"/>
          <w:sz w:val="24"/>
        </w:rPr>
        <w:t>二、机构设置</w:t>
      </w:r>
      <w:r>
        <w:rPr>
          <w:sz w:val="24"/>
        </w:rPr>
        <w:t>……………………………………………………………………10</w:t>
      </w:r>
    </w:p>
    <w:p>
      <w:pPr>
        <w:pStyle w:val="9"/>
        <w:snapToGrid w:val="0"/>
        <w:spacing w:before="0" w:line="440" w:lineRule="exact"/>
        <w:jc w:val="left"/>
      </w:pPr>
      <w:r>
        <w:rPr>
          <w:rFonts w:hint="eastAsia"/>
          <w:sz w:val="24"/>
        </w:rPr>
        <w:t>第二部分 部门决算情况说明..........................................</w:t>
      </w:r>
      <w:r>
        <w:rPr>
          <w:sz w:val="24"/>
        </w:rPr>
        <w:t>11</w:t>
      </w:r>
    </w:p>
    <w:p>
      <w:pPr>
        <w:pStyle w:val="10"/>
        <w:snapToGrid w:val="0"/>
        <w:spacing w:line="440" w:lineRule="exact"/>
        <w:jc w:val="left"/>
      </w:pPr>
      <w:r>
        <w:rPr>
          <w:rFonts w:hint="eastAsia" w:ascii="宋体" w:hAnsi="宋体" w:cs="宋体"/>
          <w:sz w:val="24"/>
        </w:rPr>
        <w:t>一、收入支出决算总体情况说明</w:t>
      </w:r>
      <w:r>
        <w:rPr>
          <w:sz w:val="24"/>
        </w:rPr>
        <w:t>………………………………………………11</w:t>
      </w:r>
    </w:p>
    <w:p>
      <w:pPr>
        <w:pStyle w:val="10"/>
        <w:snapToGrid w:val="0"/>
        <w:spacing w:line="440" w:lineRule="exact"/>
        <w:jc w:val="left"/>
      </w:pPr>
      <w:r>
        <w:rPr>
          <w:rFonts w:hint="eastAsia" w:ascii="宋体" w:hAnsi="宋体" w:cs="宋体"/>
          <w:sz w:val="24"/>
        </w:rPr>
        <w:t>二、收入决算情况说明</w:t>
      </w:r>
      <w:r>
        <w:rPr>
          <w:sz w:val="24"/>
        </w:rPr>
        <w:t>…………………………………………………………11</w:t>
      </w:r>
    </w:p>
    <w:p>
      <w:pPr>
        <w:pStyle w:val="10"/>
        <w:snapToGrid w:val="0"/>
        <w:spacing w:line="440" w:lineRule="exact"/>
        <w:jc w:val="left"/>
      </w:pPr>
      <w:r>
        <w:rPr>
          <w:rFonts w:hint="eastAsia" w:ascii="宋体" w:hAnsi="宋体" w:cs="宋体"/>
          <w:sz w:val="24"/>
        </w:rPr>
        <w:t>三、支出决算情况说明</w:t>
      </w:r>
      <w:r>
        <w:rPr>
          <w:sz w:val="24"/>
        </w:rPr>
        <w:t>…………………………………………………………12</w:t>
      </w:r>
    </w:p>
    <w:p>
      <w:pPr>
        <w:pStyle w:val="10"/>
        <w:snapToGrid w:val="0"/>
        <w:spacing w:line="440" w:lineRule="exact"/>
        <w:jc w:val="left"/>
      </w:pPr>
      <w:r>
        <w:rPr>
          <w:rFonts w:hint="eastAsia" w:ascii="宋体" w:hAnsi="宋体" w:cs="宋体"/>
          <w:sz w:val="24"/>
        </w:rPr>
        <w:t>四、财政拨款收入支出决算总体情况说明</w:t>
      </w:r>
      <w:r>
        <w:rPr>
          <w:sz w:val="24"/>
        </w:rPr>
        <w:t>……………………………</w:t>
      </w:r>
      <w:r>
        <w:rPr>
          <w:rFonts w:hint="eastAsia"/>
          <w:sz w:val="24"/>
          <w:lang w:eastAsia="zh-CN"/>
        </w:rPr>
        <w:t>.</w:t>
      </w:r>
      <w:r>
        <w:rPr>
          <w:sz w:val="24"/>
        </w:rPr>
        <w:t>…</w:t>
      </w:r>
      <w:r>
        <w:rPr>
          <w:rFonts w:hint="eastAsia"/>
          <w:sz w:val="24"/>
          <w:lang w:eastAsia="zh-CN"/>
        </w:rPr>
        <w:t>.</w:t>
      </w:r>
      <w:r>
        <w:rPr>
          <w:sz w:val="24"/>
        </w:rPr>
        <w:t>…12</w:t>
      </w:r>
    </w:p>
    <w:p>
      <w:pPr>
        <w:pStyle w:val="10"/>
        <w:snapToGrid w:val="0"/>
        <w:spacing w:line="440" w:lineRule="exact"/>
        <w:jc w:val="left"/>
      </w:pPr>
      <w:r>
        <w:rPr>
          <w:rFonts w:hint="eastAsia" w:ascii="宋体" w:hAnsi="宋体" w:cs="宋体"/>
          <w:sz w:val="24"/>
        </w:rPr>
        <w:t>五、一般公共预算财政拨款支出决算情况说明</w:t>
      </w:r>
      <w:r>
        <w:rPr>
          <w:sz w:val="24"/>
        </w:rPr>
        <w:t>………………………………13</w:t>
      </w:r>
    </w:p>
    <w:p>
      <w:pPr>
        <w:pStyle w:val="10"/>
        <w:snapToGrid w:val="0"/>
        <w:spacing w:line="440" w:lineRule="exact"/>
        <w:jc w:val="left"/>
      </w:pPr>
      <w:r>
        <w:rPr>
          <w:rFonts w:hint="eastAsia" w:ascii="宋体" w:hAnsi="宋体" w:cs="宋体"/>
          <w:sz w:val="24"/>
        </w:rPr>
        <w:t>六、一般公共预算财政拨款基本支出决算情况说明</w:t>
      </w:r>
      <w:r>
        <w:rPr>
          <w:sz w:val="24"/>
        </w:rPr>
        <w:t>…………………………17</w:t>
      </w:r>
    </w:p>
    <w:p>
      <w:pPr>
        <w:pStyle w:val="10"/>
        <w:snapToGrid w:val="0"/>
        <w:spacing w:line="440" w:lineRule="exact"/>
        <w:jc w:val="left"/>
      </w:pPr>
      <w:r>
        <w:rPr>
          <w:rFonts w:hint="eastAsia" w:ascii="宋体" w:hAnsi="宋体" w:cs="宋体"/>
          <w:sz w:val="24"/>
        </w:rPr>
        <w:t>七、</w:t>
      </w:r>
      <w:r>
        <w:rPr>
          <w:rFonts w:ascii="宋体" w:hAnsi="宋体" w:cs="宋体"/>
          <w:sz w:val="24"/>
        </w:rPr>
        <w:t>“</w:t>
      </w:r>
      <w:r>
        <w:rPr>
          <w:rFonts w:hint="eastAsia" w:ascii="宋体" w:hAnsi="宋体" w:cs="宋体"/>
          <w:sz w:val="24"/>
        </w:rPr>
        <w:t>三公”经费财政拨款支出决算情况说明</w:t>
      </w:r>
      <w:r>
        <w:rPr>
          <w:sz w:val="24"/>
        </w:rPr>
        <w:t>…………………………</w:t>
      </w:r>
      <w:r>
        <w:rPr>
          <w:rFonts w:hint="eastAsia"/>
          <w:sz w:val="24"/>
        </w:rPr>
        <w:t>.</w:t>
      </w:r>
      <w:r>
        <w:rPr>
          <w:sz w:val="24"/>
        </w:rPr>
        <w:t>……17</w:t>
      </w:r>
    </w:p>
    <w:p>
      <w:pPr>
        <w:pStyle w:val="10"/>
        <w:snapToGrid w:val="0"/>
        <w:spacing w:line="440" w:lineRule="exact"/>
        <w:jc w:val="left"/>
      </w:pPr>
      <w:r>
        <w:rPr>
          <w:rFonts w:hint="eastAsia" w:ascii="宋体" w:hAnsi="宋体" w:cs="宋体"/>
          <w:sz w:val="24"/>
        </w:rPr>
        <w:t>八、政府性基金预算支出决算情况说明</w:t>
      </w:r>
      <w:r>
        <w:rPr>
          <w:sz w:val="24"/>
        </w:rPr>
        <w:t>………………………………………19</w:t>
      </w:r>
    </w:p>
    <w:p>
      <w:pPr>
        <w:pStyle w:val="10"/>
        <w:snapToGrid w:val="0"/>
        <w:spacing w:line="440" w:lineRule="exact"/>
        <w:jc w:val="left"/>
      </w:pPr>
      <w:r>
        <w:rPr>
          <w:rFonts w:hint="eastAsia" w:ascii="宋体" w:hAnsi="宋体" w:cs="宋体"/>
          <w:sz w:val="24"/>
        </w:rPr>
        <w:t>九、国有资本经营预算支出决算情况说明</w:t>
      </w:r>
      <w:r>
        <w:rPr>
          <w:sz w:val="24"/>
        </w:rPr>
        <w:t>……………………………</w:t>
      </w:r>
      <w:r>
        <w:rPr>
          <w:rFonts w:hint="eastAsia"/>
          <w:sz w:val="24"/>
          <w:lang w:eastAsia="zh-CN"/>
        </w:rPr>
        <w:t>.</w:t>
      </w:r>
      <w:r>
        <w:rPr>
          <w:sz w:val="24"/>
        </w:rPr>
        <w:t>…….19</w:t>
      </w:r>
    </w:p>
    <w:p>
      <w:pPr>
        <w:snapToGrid w:val="0"/>
        <w:spacing w:line="440" w:lineRule="exact"/>
        <w:ind w:firstLine="480"/>
        <w:jc w:val="left"/>
      </w:pPr>
      <w:r>
        <w:rPr>
          <w:rStyle w:val="16"/>
          <w:rFonts w:hint="eastAsia" w:ascii="宋体" w:hAnsi="宋体" w:cs="宋体"/>
          <w:color w:val="000000"/>
          <w:sz w:val="24"/>
          <w:u w:val="none"/>
        </w:rPr>
        <w:t>十、</w:t>
      </w:r>
      <w:r>
        <w:rPr>
          <w:rFonts w:hint="eastAsia" w:ascii="宋体" w:hAnsi="宋体" w:cs="宋体"/>
          <w:sz w:val="24"/>
        </w:rPr>
        <w:t>其他重要事项的情况说明</w:t>
      </w:r>
      <w:r>
        <w:rPr>
          <w:sz w:val="24"/>
        </w:rPr>
        <w:t>…………………………………………………19</w:t>
      </w:r>
    </w:p>
    <w:p>
      <w:pPr>
        <w:pStyle w:val="9"/>
        <w:snapToGrid w:val="0"/>
        <w:spacing w:before="0" w:line="440" w:lineRule="exact"/>
        <w:jc w:val="left"/>
        <w:rPr>
          <w:rFonts w:ascii="Times New Roman" w:hAnsi="Times New Roman" w:eastAsia="宋体" w:cs="Times New Roman"/>
          <w:sz w:val="24"/>
          <w:szCs w:val="24"/>
        </w:rPr>
      </w:pPr>
      <w:r>
        <w:rPr>
          <w:rFonts w:hint="eastAsia"/>
          <w:sz w:val="24"/>
        </w:rPr>
        <w:t>第三部分名词解释</w:t>
      </w:r>
      <w:r>
        <w:rPr>
          <w:rFonts w:ascii="Times New Roman" w:hAnsi="Times New Roman" w:cs="Times New Roman"/>
          <w:sz w:val="24"/>
        </w:rPr>
        <w:t>…………………………………………………...……………</w:t>
      </w:r>
      <w:r>
        <w:rPr>
          <w:rFonts w:hint="eastAsia" w:ascii="Times New Roman" w:hAnsi="Times New Roman" w:cs="Times New Roman"/>
          <w:sz w:val="24"/>
          <w:lang w:eastAsia="zh-CN"/>
        </w:rPr>
        <w:t>.</w:t>
      </w:r>
      <w:r>
        <w:rPr>
          <w:rFonts w:ascii="Times New Roman" w:hAnsi="Times New Roman" w:eastAsia="宋体" w:cs="Times New Roman"/>
          <w:sz w:val="24"/>
          <w:szCs w:val="24"/>
        </w:rPr>
        <w:t>22</w:t>
      </w:r>
    </w:p>
    <w:p>
      <w:pPr>
        <w:pStyle w:val="9"/>
        <w:snapToGrid w:val="0"/>
        <w:spacing w:before="0" w:line="4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第四部分附件..............................................................................................................2</w:t>
      </w:r>
      <w:r>
        <w:rPr>
          <w:rFonts w:ascii="Times New Roman" w:hAnsi="Times New Roman" w:eastAsia="宋体" w:cs="Times New Roman"/>
          <w:sz w:val="24"/>
          <w:szCs w:val="24"/>
        </w:rPr>
        <w:t>5</w:t>
      </w:r>
    </w:p>
    <w:p>
      <w:pPr>
        <w:pStyle w:val="10"/>
        <w:snapToGrid w:val="0"/>
        <w:spacing w:line="440" w:lineRule="exact"/>
        <w:jc w:val="left"/>
        <w:rPr>
          <w:sz w:val="24"/>
        </w:rPr>
      </w:pPr>
      <w:r>
        <w:rPr>
          <w:rFonts w:hint="eastAsia"/>
          <w:sz w:val="24"/>
        </w:rPr>
        <w:t>附件</w:t>
      </w:r>
      <w:r>
        <w:rPr>
          <w:sz w:val="24"/>
        </w:rPr>
        <w:t>1……………………………………………………………………………25</w:t>
      </w:r>
    </w:p>
    <w:p>
      <w:pPr>
        <w:pStyle w:val="10"/>
        <w:snapToGrid w:val="0"/>
        <w:spacing w:line="440" w:lineRule="exact"/>
        <w:jc w:val="left"/>
        <w:rPr>
          <w:sz w:val="24"/>
        </w:rPr>
      </w:pPr>
      <w:r>
        <w:rPr>
          <w:rFonts w:hint="eastAsia"/>
          <w:sz w:val="24"/>
        </w:rPr>
        <w:t>附件</w:t>
      </w:r>
      <w:r>
        <w:rPr>
          <w:sz w:val="24"/>
        </w:rPr>
        <w:t>2……………………………………………………………………………30</w:t>
      </w:r>
    </w:p>
    <w:p>
      <w:pPr>
        <w:pStyle w:val="9"/>
        <w:snapToGrid w:val="0"/>
        <w:spacing w:before="0" w:line="440" w:lineRule="exact"/>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第五部分附表..............................................................................................................</w:t>
      </w:r>
      <w:r>
        <w:rPr>
          <w:rFonts w:ascii="Times New Roman" w:hAnsi="Times New Roman" w:eastAsia="宋体" w:cs="Times New Roman"/>
          <w:sz w:val="24"/>
          <w:szCs w:val="24"/>
        </w:rPr>
        <w:t>81</w:t>
      </w:r>
    </w:p>
    <w:p>
      <w:pPr>
        <w:pStyle w:val="10"/>
        <w:snapToGrid w:val="0"/>
        <w:spacing w:line="440" w:lineRule="exact"/>
        <w:jc w:val="left"/>
        <w:rPr>
          <w:sz w:val="24"/>
        </w:rPr>
      </w:pPr>
      <w:r>
        <w:rPr>
          <w:rFonts w:hint="eastAsia"/>
          <w:sz w:val="24"/>
        </w:rPr>
        <w:t>一、收入支出决算总表</w:t>
      </w:r>
      <w:r>
        <w:rPr>
          <w:sz w:val="24"/>
        </w:rPr>
        <w:t>…………………………………………………………81</w:t>
      </w:r>
    </w:p>
    <w:p>
      <w:pPr>
        <w:pStyle w:val="10"/>
        <w:snapToGrid w:val="0"/>
        <w:spacing w:line="440" w:lineRule="exact"/>
        <w:jc w:val="left"/>
        <w:rPr>
          <w:sz w:val="24"/>
        </w:rPr>
      </w:pPr>
      <w:r>
        <w:rPr>
          <w:rFonts w:hint="eastAsia"/>
          <w:sz w:val="24"/>
        </w:rPr>
        <w:t>二、收入决算表</w:t>
      </w:r>
      <w:r>
        <w:rPr>
          <w:sz w:val="24"/>
        </w:rPr>
        <w:t>…………………………………………………………………81</w:t>
      </w:r>
      <w:r>
        <w:rPr>
          <w:rFonts w:hint="eastAsia"/>
          <w:sz w:val="24"/>
        </w:rPr>
        <w:t>三、支出决算表</w:t>
      </w:r>
      <w:r>
        <w:rPr>
          <w:sz w:val="24"/>
        </w:rPr>
        <w:t>…………………………………………………………………81</w:t>
      </w:r>
    </w:p>
    <w:p>
      <w:pPr>
        <w:pStyle w:val="10"/>
        <w:snapToGrid w:val="0"/>
        <w:spacing w:line="440" w:lineRule="exact"/>
        <w:jc w:val="left"/>
        <w:rPr>
          <w:sz w:val="24"/>
        </w:rPr>
      </w:pPr>
      <w:r>
        <w:rPr>
          <w:rFonts w:hint="eastAsia"/>
          <w:sz w:val="24"/>
        </w:rPr>
        <w:t>四、财政拨款收入支出决算总表</w:t>
      </w:r>
      <w:r>
        <w:rPr>
          <w:sz w:val="24"/>
        </w:rPr>
        <w:t>………………………………………………81</w:t>
      </w:r>
    </w:p>
    <w:p>
      <w:pPr>
        <w:pStyle w:val="10"/>
        <w:snapToGrid w:val="0"/>
        <w:spacing w:line="440" w:lineRule="exact"/>
        <w:jc w:val="left"/>
        <w:rPr>
          <w:sz w:val="24"/>
        </w:rPr>
      </w:pPr>
      <w:r>
        <w:rPr>
          <w:rFonts w:hint="eastAsia"/>
          <w:sz w:val="24"/>
        </w:rPr>
        <w:t>五、财政拨款支出决算明细表</w:t>
      </w:r>
      <w:r>
        <w:rPr>
          <w:sz w:val="24"/>
        </w:rPr>
        <w:t>…………………………………………………81</w:t>
      </w:r>
    </w:p>
    <w:p>
      <w:pPr>
        <w:pStyle w:val="10"/>
        <w:snapToGrid w:val="0"/>
        <w:spacing w:line="440" w:lineRule="exact"/>
        <w:jc w:val="left"/>
        <w:rPr>
          <w:sz w:val="24"/>
        </w:rPr>
      </w:pPr>
      <w:r>
        <w:rPr>
          <w:rFonts w:hint="eastAsia"/>
          <w:sz w:val="24"/>
        </w:rPr>
        <w:t>六、一般公共预算财政拨款支出决算表</w:t>
      </w:r>
      <w:r>
        <w:rPr>
          <w:sz w:val="24"/>
        </w:rPr>
        <w:t>………………………………………81</w:t>
      </w:r>
    </w:p>
    <w:p>
      <w:pPr>
        <w:pStyle w:val="10"/>
        <w:snapToGrid w:val="0"/>
        <w:spacing w:line="440" w:lineRule="exact"/>
        <w:jc w:val="left"/>
        <w:rPr>
          <w:sz w:val="24"/>
        </w:rPr>
      </w:pPr>
      <w:r>
        <w:rPr>
          <w:rFonts w:hint="eastAsia"/>
          <w:sz w:val="24"/>
        </w:rPr>
        <w:t>七、一般公共预算财政拨款支出决算明细表</w:t>
      </w:r>
      <w:r>
        <w:rPr>
          <w:sz w:val="24"/>
        </w:rPr>
        <w:t>…………………………………81</w:t>
      </w:r>
    </w:p>
    <w:p>
      <w:pPr>
        <w:pStyle w:val="10"/>
        <w:snapToGrid w:val="0"/>
        <w:spacing w:line="440" w:lineRule="exact"/>
        <w:jc w:val="left"/>
      </w:pPr>
      <w:r>
        <w:rPr>
          <w:rFonts w:hint="eastAsia" w:ascii="宋体" w:hAnsi="宋体" w:cs="宋体"/>
          <w:sz w:val="24"/>
        </w:rPr>
        <w:t>八、一般公共预算财政拨款基本支出决算表</w:t>
      </w:r>
      <w:r>
        <w:rPr>
          <w:sz w:val="24"/>
        </w:rPr>
        <w:t>……………………………</w:t>
      </w:r>
      <w:r>
        <w:rPr>
          <w:rFonts w:hint="eastAsia"/>
          <w:sz w:val="24"/>
          <w:lang w:eastAsia="zh-CN"/>
        </w:rPr>
        <w:t>.</w:t>
      </w:r>
      <w:r>
        <w:rPr>
          <w:sz w:val="24"/>
        </w:rPr>
        <w:t>…81</w:t>
      </w:r>
    </w:p>
    <w:p>
      <w:pPr>
        <w:pStyle w:val="10"/>
        <w:snapToGrid w:val="0"/>
        <w:spacing w:line="440" w:lineRule="exact"/>
        <w:jc w:val="left"/>
      </w:pPr>
      <w:r>
        <w:rPr>
          <w:rFonts w:hint="eastAsia" w:ascii="宋体" w:hAnsi="宋体" w:cs="宋体"/>
          <w:sz w:val="24"/>
        </w:rPr>
        <w:t>九、一般公共预算财政拨款项目支出决算表</w:t>
      </w:r>
      <w:r>
        <w:rPr>
          <w:sz w:val="24"/>
        </w:rPr>
        <w:t>……………………………</w:t>
      </w:r>
      <w:r>
        <w:rPr>
          <w:rFonts w:hint="eastAsia"/>
          <w:sz w:val="24"/>
          <w:lang w:eastAsia="zh-CN"/>
        </w:rPr>
        <w:t>.</w:t>
      </w:r>
      <w:r>
        <w:rPr>
          <w:sz w:val="24"/>
        </w:rPr>
        <w:t>…81</w:t>
      </w:r>
    </w:p>
    <w:p>
      <w:pPr>
        <w:pStyle w:val="10"/>
        <w:snapToGrid w:val="0"/>
        <w:spacing w:line="440" w:lineRule="exact"/>
        <w:jc w:val="left"/>
      </w:pPr>
      <w:r>
        <w:rPr>
          <w:rFonts w:hint="eastAsia" w:ascii="宋体" w:hAnsi="宋体" w:cs="宋体"/>
          <w:sz w:val="24"/>
        </w:rPr>
        <w:t>十、一般公共预算财政拨款“三公”经费支出决算表</w:t>
      </w:r>
      <w:r>
        <w:rPr>
          <w:sz w:val="24"/>
        </w:rPr>
        <w:t>……………</w:t>
      </w:r>
      <w:r>
        <w:rPr>
          <w:rFonts w:hint="eastAsia"/>
          <w:sz w:val="24"/>
          <w:lang w:eastAsia="zh-CN"/>
        </w:rPr>
        <w:t>.</w:t>
      </w:r>
      <w:r>
        <w:rPr>
          <w:sz w:val="24"/>
        </w:rPr>
        <w:t>………81</w:t>
      </w:r>
    </w:p>
    <w:p>
      <w:pPr>
        <w:pStyle w:val="10"/>
        <w:snapToGrid w:val="0"/>
        <w:spacing w:line="440" w:lineRule="exact"/>
        <w:jc w:val="left"/>
      </w:pPr>
      <w:r>
        <w:rPr>
          <w:rFonts w:hint="eastAsia" w:ascii="宋体" w:hAnsi="宋体" w:cs="宋体"/>
          <w:sz w:val="24"/>
        </w:rPr>
        <w:t>十一、政府性基金预算财政拨款收入支出决算表</w:t>
      </w:r>
      <w:r>
        <w:rPr>
          <w:sz w:val="24"/>
        </w:rPr>
        <w:t>……………………</w:t>
      </w:r>
      <w:r>
        <w:rPr>
          <w:rFonts w:hint="eastAsia"/>
          <w:sz w:val="24"/>
          <w:lang w:eastAsia="zh-CN"/>
        </w:rPr>
        <w:t>.</w:t>
      </w:r>
      <w:r>
        <w:rPr>
          <w:sz w:val="24"/>
        </w:rPr>
        <w:t>……81</w:t>
      </w:r>
    </w:p>
    <w:p>
      <w:pPr>
        <w:pStyle w:val="10"/>
        <w:snapToGrid w:val="0"/>
        <w:spacing w:line="440" w:lineRule="exact"/>
        <w:jc w:val="left"/>
      </w:pPr>
      <w:r>
        <w:rPr>
          <w:rFonts w:hint="eastAsia" w:ascii="宋体" w:hAnsi="宋体" w:cs="宋体"/>
          <w:sz w:val="24"/>
        </w:rPr>
        <w:t>十二、政府性基金预算财政拨款“三公”经费支出决算表</w:t>
      </w:r>
      <w:r>
        <w:rPr>
          <w:sz w:val="24"/>
        </w:rPr>
        <w:t>……………</w:t>
      </w:r>
      <w:r>
        <w:rPr>
          <w:rFonts w:hint="eastAsia"/>
          <w:sz w:val="24"/>
          <w:lang w:eastAsia="zh-CN"/>
        </w:rPr>
        <w:t>.</w:t>
      </w:r>
      <w:r>
        <w:rPr>
          <w:sz w:val="24"/>
        </w:rPr>
        <w:t>…81</w:t>
      </w:r>
    </w:p>
    <w:p>
      <w:pPr>
        <w:pStyle w:val="10"/>
        <w:snapToGrid w:val="0"/>
        <w:spacing w:line="440" w:lineRule="exact"/>
        <w:jc w:val="left"/>
      </w:pPr>
      <w:r>
        <w:rPr>
          <w:rFonts w:hint="eastAsia" w:ascii="宋体" w:hAnsi="宋体" w:cs="宋体"/>
          <w:sz w:val="24"/>
        </w:rPr>
        <w:t>十三、国有资本经营预算财政拨款收入支出决算表</w:t>
      </w:r>
      <w:r>
        <w:rPr>
          <w:sz w:val="24"/>
        </w:rPr>
        <w:t>……………………</w:t>
      </w:r>
      <w:r>
        <w:rPr>
          <w:rFonts w:hint="eastAsia"/>
          <w:sz w:val="24"/>
          <w:lang w:eastAsia="zh-CN"/>
        </w:rPr>
        <w:t>.</w:t>
      </w:r>
      <w:r>
        <w:rPr>
          <w:sz w:val="24"/>
        </w:rPr>
        <w:t>…81</w:t>
      </w:r>
    </w:p>
    <w:p>
      <w:pPr>
        <w:pStyle w:val="10"/>
        <w:snapToGrid w:val="0"/>
        <w:spacing w:line="440" w:lineRule="exact"/>
        <w:jc w:val="left"/>
      </w:pPr>
      <w:r>
        <w:rPr>
          <w:rFonts w:hint="eastAsia" w:ascii="宋体" w:hAnsi="宋体" w:cs="宋体"/>
          <w:sz w:val="24"/>
        </w:rPr>
        <w:t>十四、国有资本经营预算财政拨款支出决算表</w:t>
      </w:r>
      <w:r>
        <w:rPr>
          <w:sz w:val="24"/>
        </w:rPr>
        <w:t>………………………</w:t>
      </w:r>
      <w:r>
        <w:rPr>
          <w:rFonts w:hint="eastAsia"/>
          <w:sz w:val="24"/>
          <w:lang w:eastAsia="zh-CN"/>
        </w:rPr>
        <w:t>.</w:t>
      </w:r>
      <w:r>
        <w:rPr>
          <w:sz w:val="24"/>
        </w:rPr>
        <w:t>……81</w:t>
      </w:r>
    </w:p>
    <w:p>
      <w:pPr>
        <w:pageBreakBefore/>
        <w:widowControl/>
        <w:spacing w:line="440" w:lineRule="exact"/>
        <w:jc w:val="left"/>
        <w:rPr>
          <w:rFonts w:ascii="仿宋" w:hAnsi="仿宋" w:eastAsia="仿宋" w:cs="仿宋"/>
          <w:b/>
          <w:bCs/>
          <w:i/>
          <w:sz w:val="24"/>
          <w:szCs w:val="32"/>
        </w:rPr>
      </w:pPr>
    </w:p>
    <w:p>
      <w:pPr>
        <w:pStyle w:val="2"/>
        <w:jc w:val="center"/>
      </w:pPr>
      <w:r>
        <w:rPr>
          <w:rFonts w:hint="eastAsia" w:ascii="黑体" w:hAnsi="黑体" w:eastAsia="黑体" w:cs="黑体"/>
          <w:b w:val="0"/>
        </w:rPr>
        <w:t xml:space="preserve">第一部分 </w:t>
      </w:r>
      <w:r>
        <w:rPr>
          <w:rStyle w:val="17"/>
          <w:rFonts w:hint="eastAsia" w:ascii="黑体" w:hAnsi="黑体" w:eastAsia="黑体" w:cs="黑体"/>
          <w:b w:val="0"/>
          <w:bCs w:val="0"/>
        </w:rPr>
        <w:t>部门概况</w:t>
      </w:r>
    </w:p>
    <w:p>
      <w:pPr>
        <w:widowControl/>
        <w:jc w:val="left"/>
      </w:pPr>
    </w:p>
    <w:p>
      <w:pPr>
        <w:pStyle w:val="3"/>
      </w:pPr>
      <w:r>
        <w:rPr>
          <w:rFonts w:hint="eastAsia" w:ascii="黑体" w:hAnsi="黑体" w:eastAsia="黑体" w:cs="黑体"/>
          <w:b w:val="0"/>
          <w:color w:val="000000"/>
        </w:rPr>
        <w:t>一、基</w:t>
      </w:r>
      <w:r>
        <w:rPr>
          <w:rStyle w:val="18"/>
          <w:rFonts w:hint="eastAsia" w:ascii="黑体" w:hAnsi="黑体" w:eastAsia="黑体" w:cs="黑体"/>
          <w:b w:val="0"/>
          <w:bCs w:val="0"/>
        </w:rPr>
        <w:t>本职能及主要工作</w:t>
      </w:r>
    </w:p>
    <w:p>
      <w:pPr>
        <w:pStyle w:val="4"/>
        <w:numPr>
          <w:ilvl w:val="0"/>
          <w:numId w:val="2"/>
        </w:numPr>
        <w:snapToGrid w:val="0"/>
        <w:spacing w:before="93" w:line="600" w:lineRule="exact"/>
        <w:rPr>
          <w:rFonts w:ascii="仿宋" w:hAnsi="仿宋" w:eastAsia="仿宋" w:cs="仿宋"/>
          <w:kern w:val="2"/>
          <w:sz w:val="32"/>
          <w:szCs w:val="32"/>
        </w:rPr>
      </w:pPr>
      <w:r>
        <w:rPr>
          <w:rFonts w:hint="eastAsia" w:ascii="仿宋" w:hAnsi="仿宋" w:eastAsia="仿宋" w:cs="仿宋"/>
          <w:kern w:val="2"/>
          <w:sz w:val="32"/>
          <w:szCs w:val="32"/>
        </w:rPr>
        <w:t>主要职能。</w:t>
      </w:r>
    </w:p>
    <w:p>
      <w:pPr>
        <w:ind w:firstLine="800"/>
        <w:rPr>
          <w:rFonts w:ascii="仿宋" w:hAnsi="仿宋" w:eastAsia="仿宋" w:cs="仿宋"/>
          <w:sz w:val="32"/>
          <w:szCs w:val="32"/>
        </w:rPr>
      </w:pPr>
      <w:r>
        <w:rPr>
          <w:rFonts w:hint="eastAsia" w:ascii="仿宋" w:hAnsi="仿宋" w:eastAsia="仿宋" w:cs="仿宋"/>
          <w:sz w:val="32"/>
          <w:szCs w:val="32"/>
        </w:rPr>
        <w:t>1.贯彻执行医疗保险、生育保险、医疗救助等医疗保障的各项</w:t>
      </w:r>
      <w:r>
        <w:rPr>
          <w:rFonts w:hint="eastAsia" w:ascii="仿宋" w:hAnsi="仿宋" w:eastAsia="仿宋" w:cs="仿宋"/>
          <w:sz w:val="32"/>
          <w:szCs w:val="32"/>
          <w:lang w:eastAsia="zh-CN"/>
        </w:rPr>
        <w:t>法律法规</w:t>
      </w:r>
      <w:r>
        <w:rPr>
          <w:rFonts w:hint="eastAsia" w:ascii="仿宋" w:hAnsi="仿宋" w:eastAsia="仿宋" w:cs="仿宋"/>
          <w:sz w:val="32"/>
          <w:szCs w:val="32"/>
        </w:rPr>
        <w:t>、规章。参与拟订医疗保障事业发展规划、政策和标准，并组织实施和监督检查。</w:t>
      </w:r>
    </w:p>
    <w:p>
      <w:pPr>
        <w:ind w:firstLine="800"/>
        <w:rPr>
          <w:rFonts w:ascii="仿宋" w:hAnsi="仿宋" w:eastAsia="仿宋" w:cs="仿宋"/>
          <w:sz w:val="32"/>
          <w:szCs w:val="32"/>
        </w:rPr>
      </w:pPr>
      <w:r>
        <w:rPr>
          <w:rFonts w:hint="eastAsia" w:ascii="仿宋" w:hAnsi="仿宋" w:eastAsia="仿宋" w:cs="仿宋"/>
          <w:sz w:val="32"/>
          <w:szCs w:val="32"/>
        </w:rPr>
        <w:t>2.组织拟订并实施医疗保障基（资）金监督管理制度，建立健全医疗保障基（资）金安全防控机制，监督强化全区医疗保障基（资）金运行管理。</w:t>
      </w:r>
    </w:p>
    <w:p>
      <w:pPr>
        <w:ind w:firstLine="800"/>
        <w:rPr>
          <w:rFonts w:ascii="仿宋" w:hAnsi="仿宋" w:eastAsia="仿宋" w:cs="仿宋"/>
          <w:sz w:val="32"/>
          <w:szCs w:val="32"/>
        </w:rPr>
      </w:pPr>
      <w:r>
        <w:rPr>
          <w:rFonts w:hint="eastAsia" w:ascii="仿宋" w:hAnsi="仿宋" w:eastAsia="仿宋" w:cs="仿宋"/>
          <w:sz w:val="32"/>
          <w:szCs w:val="32"/>
        </w:rPr>
        <w:t>3.组织拟订并组织实施医疗保障筹资和待遇政策，落实医疗保障筹资标准动态调整机制，统筹城乡医疗保障待遇标准，建立健全与筹资水平相适应的待遇调整机制。组织实施长期护理保险制度改革方案。组织实施医疗救助。</w:t>
      </w:r>
    </w:p>
    <w:p>
      <w:pPr>
        <w:ind w:firstLine="800"/>
        <w:rPr>
          <w:rFonts w:ascii="仿宋" w:hAnsi="仿宋" w:eastAsia="仿宋" w:cs="仿宋"/>
          <w:sz w:val="32"/>
          <w:szCs w:val="32"/>
        </w:rPr>
      </w:pPr>
      <w:r>
        <w:rPr>
          <w:rFonts w:hint="eastAsia" w:ascii="仿宋" w:hAnsi="仿宋" w:eastAsia="仿宋" w:cs="仿宋"/>
          <w:sz w:val="32"/>
          <w:szCs w:val="32"/>
        </w:rPr>
        <w:t>4.组织实施全省、全市统一的药品、医用耗材、医疗服务项目、医疗服务设施等医疗保障目录和支付标准，根据授权在医疗保障目录准入谈判规则下进行目录增补和支付标准的调整。</w:t>
      </w:r>
    </w:p>
    <w:p>
      <w:pPr>
        <w:ind w:firstLine="800"/>
        <w:rPr>
          <w:rFonts w:ascii="仿宋" w:hAnsi="仿宋" w:eastAsia="仿宋" w:cs="仿宋"/>
          <w:sz w:val="32"/>
          <w:szCs w:val="32"/>
        </w:rPr>
      </w:pPr>
      <w:r>
        <w:rPr>
          <w:rFonts w:hint="eastAsia" w:ascii="仿宋" w:hAnsi="仿宋" w:eastAsia="仿宋" w:cs="仿宋"/>
          <w:sz w:val="32"/>
          <w:szCs w:val="32"/>
        </w:rPr>
        <w:t>5.参与拟订并组织实施全市城乡统一的药品、医用耗材价格和医疗服务项目、医疗服务设施收费等政策，建立医保支付医药服务价格合理确定和动态调整机制，推动建立市场主导的社会医药服务价格形成机制，建立价格信息监测和信息发布制度。</w:t>
      </w:r>
    </w:p>
    <w:p>
      <w:pPr>
        <w:ind w:firstLine="800"/>
        <w:rPr>
          <w:rFonts w:ascii="仿宋" w:hAnsi="仿宋" w:eastAsia="仿宋" w:cs="仿宋"/>
          <w:sz w:val="32"/>
          <w:szCs w:val="32"/>
        </w:rPr>
      </w:pPr>
      <w:r>
        <w:rPr>
          <w:rFonts w:hint="eastAsia" w:ascii="仿宋" w:hAnsi="仿宋" w:eastAsia="仿宋" w:cs="仿宋"/>
          <w:sz w:val="32"/>
          <w:szCs w:val="32"/>
        </w:rPr>
        <w:t>6.贯彻执行全省药品、医用耗材的招标采购政策并监督实施，根据省、市统一安排部署，参与全省药品、医用耗材招标采购平台建设，承担并完成相关工作任务。</w:t>
      </w:r>
    </w:p>
    <w:p>
      <w:pPr>
        <w:ind w:firstLine="800"/>
        <w:rPr>
          <w:rFonts w:ascii="仿宋" w:hAnsi="仿宋" w:eastAsia="仿宋" w:cs="仿宋"/>
          <w:sz w:val="32"/>
          <w:szCs w:val="32"/>
        </w:rPr>
      </w:pPr>
      <w:r>
        <w:rPr>
          <w:rFonts w:hint="eastAsia" w:ascii="仿宋" w:hAnsi="仿宋" w:eastAsia="仿宋" w:cs="仿宋"/>
          <w:sz w:val="32"/>
          <w:szCs w:val="32"/>
        </w:rPr>
        <w:t>7.推进医疗保障基金支付方式改革，组织拟订全区定点医药机构服务协议和基金支付管理办法并组织实施。承担全区医疗保障定点机构管理，建立健全医疗保障信用评价体系和信息披露制度，监督管理纳入医疗保障范围内的医疗服务行为和医疗费用，依法查处医疗保障领域违法违规行为。</w:t>
      </w:r>
    </w:p>
    <w:p>
      <w:pPr>
        <w:ind w:firstLine="800"/>
        <w:rPr>
          <w:rFonts w:ascii="仿宋" w:hAnsi="仿宋" w:eastAsia="仿宋" w:cs="仿宋"/>
          <w:sz w:val="32"/>
          <w:szCs w:val="32"/>
        </w:rPr>
      </w:pPr>
      <w:r>
        <w:rPr>
          <w:rFonts w:hint="eastAsia" w:ascii="仿宋" w:hAnsi="仿宋" w:eastAsia="仿宋" w:cs="仿宋"/>
          <w:sz w:val="32"/>
          <w:szCs w:val="32"/>
        </w:rPr>
        <w:t>8.负责全区医疗保障业务经办管理和公共服务体系建设。组织实施异地就医管理规定和费用结算政策。执行医疗保障关系转移接续规定。指导和监督管理全区医保经办服务工作。开展医疗保障领域对外合作交流。</w:t>
      </w:r>
    </w:p>
    <w:p>
      <w:pPr>
        <w:ind w:firstLine="800"/>
        <w:rPr>
          <w:rFonts w:ascii="仿宋" w:hAnsi="仿宋" w:eastAsia="仿宋" w:cs="仿宋"/>
          <w:sz w:val="32"/>
          <w:szCs w:val="32"/>
        </w:rPr>
      </w:pPr>
      <w:r>
        <w:rPr>
          <w:rFonts w:hint="eastAsia" w:ascii="仿宋" w:hAnsi="仿宋" w:eastAsia="仿宋" w:cs="仿宋"/>
          <w:sz w:val="32"/>
          <w:szCs w:val="32"/>
        </w:rPr>
        <w:t>9.组织拟订全区医疗保障信息化规划并参与全市医疗保障信息化建设。组织开展医疗保障大数据管理和应用。</w:t>
      </w:r>
    </w:p>
    <w:p>
      <w:pPr>
        <w:ind w:firstLine="800"/>
        <w:rPr>
          <w:rFonts w:ascii="仿宋" w:hAnsi="仿宋" w:eastAsia="仿宋" w:cs="仿宋"/>
          <w:sz w:val="32"/>
          <w:szCs w:val="32"/>
        </w:rPr>
      </w:pPr>
      <w:r>
        <w:rPr>
          <w:rFonts w:hint="eastAsia" w:ascii="仿宋" w:hAnsi="仿宋" w:eastAsia="仿宋" w:cs="仿宋"/>
          <w:sz w:val="32"/>
          <w:szCs w:val="32"/>
        </w:rPr>
        <w:t>10.拟订并组织实施区本级离休干部、六级以上革命伤残军人的医疗保障政策和副县级及以上干部、高级知识分子的医疗照顾政策。</w:t>
      </w:r>
    </w:p>
    <w:p>
      <w:pPr>
        <w:ind w:firstLine="800"/>
        <w:rPr>
          <w:rFonts w:ascii="仿宋" w:hAnsi="仿宋" w:eastAsia="仿宋" w:cs="仿宋"/>
          <w:sz w:val="32"/>
          <w:szCs w:val="32"/>
        </w:rPr>
      </w:pPr>
      <w:r>
        <w:rPr>
          <w:rFonts w:hint="eastAsia" w:ascii="仿宋" w:hAnsi="仿宋" w:eastAsia="仿宋" w:cs="仿宋"/>
          <w:sz w:val="32"/>
          <w:szCs w:val="32"/>
        </w:rPr>
        <w:t>11.负责职责范围内的安全生产和职业健康、生态环境保护、审批服务便民化等工作。按省、市的要求和指导，推进相对集中行政许可权改革。</w:t>
      </w:r>
    </w:p>
    <w:p>
      <w:pPr>
        <w:ind w:firstLine="800"/>
        <w:rPr>
          <w:rFonts w:ascii="仿宋" w:hAnsi="仿宋" w:eastAsia="仿宋" w:cs="仿宋"/>
          <w:sz w:val="32"/>
          <w:szCs w:val="32"/>
        </w:rPr>
      </w:pPr>
      <w:r>
        <w:rPr>
          <w:rFonts w:hint="eastAsia" w:ascii="仿宋" w:hAnsi="仿宋" w:eastAsia="仿宋" w:cs="仿宋"/>
          <w:sz w:val="32"/>
          <w:szCs w:val="32"/>
        </w:rPr>
        <w:t>12.指导各乡镇（街道）医疗保障相关政策实施和工作落实。</w:t>
      </w:r>
    </w:p>
    <w:p>
      <w:pPr>
        <w:ind w:firstLine="800"/>
        <w:rPr>
          <w:rFonts w:ascii="仿宋" w:hAnsi="仿宋" w:eastAsia="仿宋" w:cs="仿宋"/>
          <w:sz w:val="32"/>
          <w:szCs w:val="32"/>
        </w:rPr>
      </w:pPr>
      <w:r>
        <w:rPr>
          <w:rFonts w:hint="eastAsia" w:ascii="仿宋" w:hAnsi="仿宋" w:eastAsia="仿宋" w:cs="仿宋"/>
          <w:sz w:val="32"/>
          <w:szCs w:val="32"/>
        </w:rPr>
        <w:t>13.完成区委、区政府交办的其他任务。</w:t>
      </w:r>
    </w:p>
    <w:p>
      <w:pPr>
        <w:ind w:firstLine="800"/>
        <w:rPr>
          <w:rFonts w:ascii="仿宋" w:hAnsi="仿宋" w:eastAsia="仿宋" w:cs="仿宋"/>
          <w:sz w:val="32"/>
          <w:szCs w:val="32"/>
        </w:rPr>
      </w:pPr>
      <w:r>
        <w:rPr>
          <w:rFonts w:hint="eastAsia" w:ascii="仿宋" w:hAnsi="仿宋" w:eastAsia="仿宋" w:cs="仿宋"/>
          <w:sz w:val="32"/>
          <w:szCs w:val="32"/>
        </w:rPr>
        <w:t>14.职能转变。完善统一的城乡居民基本医疗保险和大病保险制度，不断提高医疗保障水平，建立健全覆盖全民、城乡统筹的多层次医疗保障体系，确保医疗保障资金合理使用、安全可控，推进医疗、医保、医药“三医联动”改革，更好地保障人民群众就医需求、减轻医药费用负担。</w:t>
      </w:r>
    </w:p>
    <w:p>
      <w:pPr>
        <w:ind w:firstLine="800"/>
        <w:rPr>
          <w:rFonts w:ascii="仿宋" w:hAnsi="仿宋" w:eastAsia="仿宋" w:cs="仿宋"/>
          <w:sz w:val="32"/>
          <w:szCs w:val="32"/>
        </w:rPr>
      </w:pPr>
      <w:r>
        <w:rPr>
          <w:rFonts w:hint="eastAsia" w:ascii="仿宋" w:hAnsi="仿宋" w:eastAsia="仿宋" w:cs="仿宋"/>
          <w:sz w:val="32"/>
          <w:szCs w:val="32"/>
        </w:rPr>
        <w:t>15.有关职责分工。</w:t>
      </w:r>
    </w:p>
    <w:p>
      <w:pPr>
        <w:ind w:firstLine="80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与区卫生健康局的有关职责分工。两部门在医疗、医保、医药等方面加强制度、政策衔接，建立沟通</w:t>
      </w:r>
      <w:r>
        <w:rPr>
          <w:rFonts w:hint="eastAsia" w:ascii="仿宋" w:hAnsi="仿宋" w:eastAsia="仿宋" w:cs="仿宋"/>
          <w:sz w:val="32"/>
          <w:szCs w:val="32"/>
          <w:lang w:val="en-US" w:eastAsia="zh-CN"/>
        </w:rPr>
        <w:t>协</w:t>
      </w:r>
      <w:r>
        <w:rPr>
          <w:rFonts w:hint="eastAsia" w:ascii="仿宋" w:hAnsi="仿宋" w:eastAsia="仿宋" w:cs="仿宋"/>
          <w:sz w:val="32"/>
          <w:szCs w:val="32"/>
        </w:rPr>
        <w:t>商机制，协同推进改革，提高医疗资源使用效率和医疗保障水平。</w:t>
      </w:r>
    </w:p>
    <w:p>
      <w:pPr>
        <w:ind w:firstLine="800"/>
        <w:rPr>
          <w:rFonts w:ascii="仿宋" w:hAnsi="仿宋" w:eastAsia="仿宋" w:cs="仿宋"/>
          <w:sz w:val="32"/>
          <w:szCs w:val="32"/>
        </w:rPr>
      </w:pPr>
      <w:r>
        <w:rPr>
          <w:rFonts w:hint="eastAsia" w:ascii="仿宋" w:hAnsi="仿宋" w:eastAsia="仿宋" w:cs="仿宋"/>
          <w:sz w:val="32"/>
          <w:szCs w:val="32"/>
        </w:rPr>
        <w:t>（2）与国家税务总局攀枝花市仁和区税务局有关职责分工。两部门在医疗、生育、长期护理保险基金征缴工作等方面加强协调，建立沟通机制，共同做好社会保险费税务征缴的相关工作。</w:t>
      </w:r>
    </w:p>
    <w:p>
      <w:pPr>
        <w:pStyle w:val="4"/>
        <w:snapToGrid w:val="0"/>
        <w:spacing w:before="93" w:line="600" w:lineRule="exact"/>
        <w:ind w:left="672"/>
      </w:pPr>
    </w:p>
    <w:p>
      <w:pPr>
        <w:pStyle w:val="4"/>
        <w:snapToGrid w:val="0"/>
        <w:spacing w:before="93" w:line="600" w:lineRule="exact"/>
        <w:ind w:firstLine="672"/>
        <w:rPr>
          <w:rFonts w:ascii="仿宋" w:hAnsi="仿宋" w:eastAsia="仿宋" w:cs="仿宋"/>
          <w:bCs/>
          <w:color w:val="000000"/>
          <w:sz w:val="32"/>
          <w:szCs w:val="32"/>
        </w:rPr>
      </w:pPr>
      <w:r>
        <w:rPr>
          <w:rFonts w:hint="eastAsia" w:ascii="仿宋" w:hAnsi="仿宋" w:eastAsia="仿宋" w:cs="仿宋"/>
          <w:bCs/>
          <w:color w:val="000000"/>
          <w:sz w:val="32"/>
          <w:szCs w:val="32"/>
        </w:rPr>
        <w:t>（二）</w:t>
      </w:r>
      <w:r>
        <w:rPr>
          <w:rFonts w:ascii="仿宋" w:hAnsi="仿宋" w:eastAsia="仿宋" w:cs="仿宋"/>
          <w:bCs/>
          <w:color w:val="000000"/>
          <w:sz w:val="32"/>
          <w:szCs w:val="32"/>
        </w:rPr>
        <w:t>202</w:t>
      </w:r>
      <w:r>
        <w:rPr>
          <w:rFonts w:hint="eastAsia" w:ascii="仿宋" w:hAnsi="仿宋" w:eastAsia="仿宋" w:cs="仿宋"/>
          <w:bCs/>
          <w:color w:val="000000"/>
          <w:sz w:val="32"/>
          <w:szCs w:val="32"/>
        </w:rPr>
        <w:t>1年重点工作完成情况。</w:t>
      </w:r>
    </w:p>
    <w:p>
      <w:pPr>
        <w:ind w:firstLine="8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强基础，固根本，落实医保民生见实效。</w:t>
      </w:r>
    </w:p>
    <w:p>
      <w:pPr>
        <w:ind w:firstLine="800"/>
        <w:rPr>
          <w:rFonts w:ascii="仿宋" w:hAnsi="仿宋" w:eastAsia="仿宋" w:cs="仿宋"/>
          <w:sz w:val="32"/>
          <w:szCs w:val="32"/>
        </w:rPr>
      </w:pPr>
      <w:r>
        <w:rPr>
          <w:rFonts w:hint="eastAsia" w:ascii="仿宋" w:hAnsi="仿宋" w:eastAsia="仿宋" w:cs="仿宋"/>
          <w:sz w:val="32"/>
          <w:szCs w:val="32"/>
        </w:rPr>
        <w:t>扎实推进基本医保全覆盖。2021年度城乡居民医疗保险和职工医疗保险参保人数分别为16.19万人、3.6万人，圆满完成市级综合目标任务</w:t>
      </w:r>
      <w:r>
        <w:rPr>
          <w:rFonts w:ascii="仿宋" w:hAnsi="仿宋" w:eastAsia="仿宋" w:cs="仿宋"/>
          <w:sz w:val="32"/>
          <w:szCs w:val="32"/>
        </w:rPr>
        <w:t>。</w:t>
      </w:r>
    </w:p>
    <w:p>
      <w:pPr>
        <w:ind w:firstLine="800"/>
        <w:rPr>
          <w:rFonts w:ascii="仿宋" w:hAnsi="仿宋" w:eastAsia="仿宋" w:cs="仿宋"/>
          <w:sz w:val="32"/>
          <w:szCs w:val="32"/>
        </w:rPr>
      </w:pPr>
      <w:r>
        <w:rPr>
          <w:rFonts w:hint="eastAsia" w:ascii="仿宋" w:hAnsi="仿宋" w:eastAsia="仿宋" w:cs="仿宋"/>
          <w:sz w:val="32"/>
          <w:szCs w:val="32"/>
        </w:rPr>
        <w:t>严格落实医疗保障待遇。</w:t>
      </w:r>
      <w:r>
        <w:rPr>
          <w:rFonts w:ascii="仿宋" w:hAnsi="仿宋" w:eastAsia="仿宋" w:cs="仿宋"/>
          <w:sz w:val="32"/>
          <w:szCs w:val="32"/>
        </w:rPr>
        <w:t>一是</w:t>
      </w:r>
      <w:r>
        <w:rPr>
          <w:rFonts w:hint="eastAsia" w:ascii="仿宋" w:hAnsi="仿宋" w:eastAsia="仿宋" w:cs="仿宋"/>
          <w:sz w:val="32"/>
          <w:szCs w:val="32"/>
        </w:rPr>
        <w:t>基本医保</w:t>
      </w:r>
      <w:r>
        <w:rPr>
          <w:rFonts w:ascii="仿宋" w:hAnsi="仿宋" w:eastAsia="仿宋" w:cs="仿宋"/>
          <w:sz w:val="32"/>
          <w:szCs w:val="32"/>
        </w:rPr>
        <w:t>住院</w:t>
      </w:r>
      <w:r>
        <w:rPr>
          <w:rFonts w:hint="eastAsia" w:ascii="仿宋" w:hAnsi="仿宋" w:eastAsia="仿宋" w:cs="仿宋"/>
          <w:sz w:val="32"/>
          <w:szCs w:val="32"/>
        </w:rPr>
        <w:t>15251</w:t>
      </w:r>
      <w:r>
        <w:rPr>
          <w:rFonts w:ascii="仿宋" w:hAnsi="仿宋" w:eastAsia="仿宋" w:cs="仿宋"/>
          <w:sz w:val="32"/>
          <w:szCs w:val="32"/>
        </w:rPr>
        <w:t>人次，医保基金支付</w:t>
      </w:r>
      <w:r>
        <w:rPr>
          <w:rFonts w:hint="eastAsia" w:ascii="仿宋" w:hAnsi="仿宋" w:eastAsia="仿宋" w:cs="仿宋"/>
          <w:sz w:val="32"/>
          <w:szCs w:val="32"/>
        </w:rPr>
        <w:t>3584.19</w:t>
      </w:r>
      <w:r>
        <w:rPr>
          <w:rFonts w:ascii="仿宋" w:hAnsi="仿宋" w:eastAsia="仿宋" w:cs="仿宋"/>
          <w:sz w:val="32"/>
          <w:szCs w:val="32"/>
        </w:rPr>
        <w:t>万元；门诊（包括门诊特殊疾病、药店刷卡购药）</w:t>
      </w:r>
      <w:r>
        <w:rPr>
          <w:rFonts w:hint="eastAsia" w:ascii="仿宋" w:hAnsi="仿宋" w:eastAsia="仿宋" w:cs="仿宋"/>
          <w:sz w:val="32"/>
          <w:szCs w:val="32"/>
        </w:rPr>
        <w:t>96.62</w:t>
      </w:r>
      <w:r>
        <w:rPr>
          <w:rFonts w:ascii="仿宋" w:hAnsi="仿宋" w:eastAsia="仿宋" w:cs="仿宋"/>
          <w:sz w:val="32"/>
          <w:szCs w:val="32"/>
        </w:rPr>
        <w:t>万人次，医保支付</w:t>
      </w:r>
      <w:r>
        <w:rPr>
          <w:rFonts w:hint="eastAsia" w:ascii="仿宋" w:hAnsi="仿宋" w:eastAsia="仿宋" w:cs="仿宋"/>
          <w:sz w:val="32"/>
          <w:szCs w:val="32"/>
        </w:rPr>
        <w:t>6705.49</w:t>
      </w:r>
      <w:r>
        <w:rPr>
          <w:rFonts w:ascii="仿宋" w:hAnsi="仿宋" w:eastAsia="仿宋" w:cs="仿宋"/>
          <w:sz w:val="32"/>
          <w:szCs w:val="32"/>
        </w:rPr>
        <w:t>万元。二是审核生育保险待遇</w:t>
      </w:r>
      <w:r>
        <w:rPr>
          <w:rFonts w:hint="eastAsia" w:ascii="仿宋" w:hAnsi="仿宋" w:eastAsia="仿宋" w:cs="仿宋"/>
          <w:sz w:val="32"/>
          <w:szCs w:val="32"/>
        </w:rPr>
        <w:t>109</w:t>
      </w:r>
      <w:r>
        <w:rPr>
          <w:rFonts w:ascii="仿宋" w:hAnsi="仿宋" w:eastAsia="仿宋" w:cs="仿宋"/>
          <w:sz w:val="32"/>
          <w:szCs w:val="32"/>
        </w:rPr>
        <w:t>人，医保基金支付</w:t>
      </w:r>
      <w:r>
        <w:rPr>
          <w:rFonts w:hint="eastAsia" w:ascii="仿宋" w:hAnsi="仿宋" w:eastAsia="仿宋" w:cs="仿宋"/>
          <w:sz w:val="32"/>
          <w:szCs w:val="32"/>
        </w:rPr>
        <w:t>224.24</w:t>
      </w:r>
      <w:r>
        <w:rPr>
          <w:rFonts w:ascii="仿宋" w:hAnsi="仿宋" w:eastAsia="仿宋" w:cs="仿宋"/>
          <w:sz w:val="32"/>
          <w:szCs w:val="32"/>
        </w:rPr>
        <w:t>万元。三是办理异地就医审核住院报销</w:t>
      </w:r>
      <w:r>
        <w:rPr>
          <w:rFonts w:hint="eastAsia" w:ascii="仿宋" w:hAnsi="仿宋" w:eastAsia="仿宋" w:cs="仿宋"/>
          <w:sz w:val="32"/>
          <w:szCs w:val="32"/>
        </w:rPr>
        <w:t>913</w:t>
      </w:r>
      <w:r>
        <w:rPr>
          <w:rFonts w:ascii="仿宋" w:hAnsi="仿宋" w:eastAsia="仿宋" w:cs="仿宋"/>
          <w:sz w:val="32"/>
          <w:szCs w:val="32"/>
        </w:rPr>
        <w:t>人次，医保基金支付</w:t>
      </w:r>
      <w:r>
        <w:rPr>
          <w:rFonts w:hint="eastAsia" w:ascii="仿宋" w:hAnsi="仿宋" w:eastAsia="仿宋" w:cs="仿宋"/>
          <w:sz w:val="32"/>
          <w:szCs w:val="32"/>
        </w:rPr>
        <w:t>415.99</w:t>
      </w:r>
      <w:r>
        <w:rPr>
          <w:rFonts w:ascii="仿宋" w:hAnsi="仿宋" w:eastAsia="仿宋" w:cs="仿宋"/>
          <w:sz w:val="32"/>
          <w:szCs w:val="32"/>
        </w:rPr>
        <w:t>万元。四是审核全区城乡低保对象、特困供养对象、低收入对象、孤儿和建档立卡</w:t>
      </w:r>
      <w:r>
        <w:rPr>
          <w:rFonts w:hint="eastAsia" w:ascii="仿宋" w:hAnsi="仿宋" w:eastAsia="仿宋" w:cs="仿宋"/>
          <w:sz w:val="32"/>
          <w:szCs w:val="32"/>
        </w:rPr>
        <w:t>脱贫</w:t>
      </w:r>
      <w:r>
        <w:rPr>
          <w:rFonts w:ascii="仿宋" w:hAnsi="仿宋" w:eastAsia="仿宋" w:cs="仿宋"/>
          <w:sz w:val="32"/>
          <w:szCs w:val="32"/>
        </w:rPr>
        <w:t>人口医疗救助</w:t>
      </w:r>
      <w:r>
        <w:rPr>
          <w:rFonts w:hint="eastAsia" w:ascii="仿宋" w:hAnsi="仿宋" w:eastAsia="仿宋" w:cs="仿宋"/>
          <w:sz w:val="32"/>
          <w:szCs w:val="32"/>
        </w:rPr>
        <w:t>4570</w:t>
      </w:r>
      <w:r>
        <w:rPr>
          <w:rFonts w:ascii="仿宋" w:hAnsi="仿宋" w:eastAsia="仿宋" w:cs="仿宋"/>
          <w:sz w:val="32"/>
          <w:szCs w:val="32"/>
        </w:rPr>
        <w:t>人次，救助金额</w:t>
      </w:r>
      <w:r>
        <w:rPr>
          <w:rFonts w:hint="eastAsia" w:ascii="仿宋" w:hAnsi="仿宋" w:eastAsia="仿宋" w:cs="仿宋"/>
          <w:sz w:val="32"/>
          <w:szCs w:val="32"/>
        </w:rPr>
        <w:t>298.60</w:t>
      </w:r>
      <w:r>
        <w:rPr>
          <w:rFonts w:ascii="仿宋" w:hAnsi="仿宋" w:eastAsia="仿宋" w:cs="仿宋"/>
          <w:sz w:val="32"/>
          <w:szCs w:val="32"/>
        </w:rPr>
        <w:t>万元，其中建档立卡</w:t>
      </w:r>
      <w:r>
        <w:rPr>
          <w:rFonts w:hint="eastAsia" w:ascii="仿宋" w:hAnsi="仿宋" w:eastAsia="仿宋" w:cs="仿宋"/>
          <w:sz w:val="32"/>
          <w:szCs w:val="32"/>
        </w:rPr>
        <w:t>脱贫</w:t>
      </w:r>
      <w:r>
        <w:rPr>
          <w:rFonts w:ascii="仿宋" w:hAnsi="仿宋" w:eastAsia="仿宋" w:cs="仿宋"/>
          <w:sz w:val="32"/>
          <w:szCs w:val="32"/>
        </w:rPr>
        <w:t>户</w:t>
      </w:r>
      <w:r>
        <w:rPr>
          <w:rFonts w:hint="eastAsia" w:ascii="仿宋" w:hAnsi="仿宋" w:eastAsia="仿宋" w:cs="仿宋"/>
          <w:sz w:val="32"/>
          <w:szCs w:val="32"/>
        </w:rPr>
        <w:t>1853</w:t>
      </w:r>
      <w:r>
        <w:rPr>
          <w:rFonts w:ascii="仿宋" w:hAnsi="仿宋" w:eastAsia="仿宋" w:cs="仿宋"/>
          <w:sz w:val="32"/>
          <w:szCs w:val="32"/>
        </w:rPr>
        <w:t>人次，救助金额</w:t>
      </w:r>
      <w:r>
        <w:rPr>
          <w:rFonts w:hint="eastAsia" w:ascii="仿宋" w:hAnsi="仿宋" w:eastAsia="仿宋" w:cs="仿宋"/>
          <w:sz w:val="32"/>
          <w:szCs w:val="32"/>
        </w:rPr>
        <w:t>105.06</w:t>
      </w:r>
      <w:r>
        <w:rPr>
          <w:rFonts w:ascii="仿宋" w:hAnsi="仿宋" w:eastAsia="仿宋" w:cs="仿宋"/>
          <w:sz w:val="32"/>
          <w:szCs w:val="32"/>
        </w:rPr>
        <w:t>万元</w:t>
      </w:r>
      <w:r>
        <w:rPr>
          <w:rFonts w:hint="eastAsia" w:ascii="仿宋" w:hAnsi="仿宋" w:eastAsia="仿宋" w:cs="仿宋"/>
          <w:sz w:val="32"/>
          <w:szCs w:val="32"/>
        </w:rPr>
        <w:t>；</w:t>
      </w:r>
      <w:r>
        <w:rPr>
          <w:rFonts w:ascii="仿宋" w:hAnsi="仿宋" w:eastAsia="仿宋" w:cs="仿宋"/>
          <w:sz w:val="32"/>
          <w:szCs w:val="32"/>
        </w:rPr>
        <w:t>资助全区2</w:t>
      </w:r>
      <w:r>
        <w:rPr>
          <w:rFonts w:hint="eastAsia" w:ascii="仿宋" w:hAnsi="仿宋" w:eastAsia="仿宋" w:cs="仿宋"/>
          <w:sz w:val="32"/>
          <w:szCs w:val="32"/>
        </w:rPr>
        <w:t>427</w:t>
      </w:r>
      <w:r>
        <w:rPr>
          <w:rFonts w:ascii="仿宋" w:hAnsi="仿宋" w:eastAsia="仿宋" w:cs="仿宋"/>
          <w:sz w:val="32"/>
          <w:szCs w:val="32"/>
        </w:rPr>
        <w:t>人参加2021年城乡居民医保，共计84.</w:t>
      </w:r>
      <w:r>
        <w:rPr>
          <w:rFonts w:hint="eastAsia" w:ascii="仿宋" w:hAnsi="仿宋" w:eastAsia="仿宋" w:cs="仿宋"/>
          <w:sz w:val="32"/>
          <w:szCs w:val="32"/>
        </w:rPr>
        <w:t>51</w:t>
      </w:r>
      <w:r>
        <w:rPr>
          <w:rFonts w:ascii="仿宋" w:hAnsi="仿宋" w:eastAsia="仿宋" w:cs="仿宋"/>
          <w:sz w:val="32"/>
          <w:szCs w:val="32"/>
        </w:rPr>
        <w:t>万元。</w:t>
      </w:r>
    </w:p>
    <w:p>
      <w:pPr>
        <w:ind w:firstLine="800"/>
        <w:rPr>
          <w:rFonts w:ascii="仿宋" w:hAnsi="仿宋" w:eastAsia="仿宋" w:cs="仿宋"/>
          <w:sz w:val="32"/>
          <w:szCs w:val="32"/>
        </w:rPr>
      </w:pPr>
      <w:r>
        <w:rPr>
          <w:rFonts w:hint="eastAsia" w:ascii="仿宋" w:hAnsi="仿宋" w:eastAsia="仿宋" w:cs="仿宋"/>
          <w:sz w:val="32"/>
          <w:szCs w:val="32"/>
        </w:rPr>
        <w:t>推进异地就医联网结算扩围。按照省市下达的目标任务，抓细抓实异地就医联网结算扩围工作，辖区开通异地联网结算医药机构跨省、跨市分别为4家、97家，圆满完成市级综合目标任务。助力实施西南五省市医保异地结算深度合作，推进全市医保“三个圈层”发展战略的实施。</w:t>
      </w:r>
    </w:p>
    <w:p>
      <w:pPr>
        <w:ind w:firstLine="800"/>
        <w:rPr>
          <w:rFonts w:ascii="仿宋" w:hAnsi="仿宋" w:eastAsia="仿宋" w:cs="仿宋"/>
          <w:sz w:val="32"/>
          <w:szCs w:val="32"/>
        </w:rPr>
      </w:pPr>
      <w:r>
        <w:rPr>
          <w:rFonts w:hint="eastAsia" w:ascii="仿宋" w:hAnsi="仿宋" w:eastAsia="仿宋" w:cs="仿宋"/>
          <w:sz w:val="32"/>
          <w:szCs w:val="32"/>
        </w:rPr>
        <w:t>切实做好医保脱贫攻坚与乡村振兴战略的有效衔接。建立医保扶贫台账，积极与税务、乡村振兴、民政、残联等部门对接，实行贫困人口动态管理，及时更新参保数据，做好贫困人口的应保尽保工作。目前，</w:t>
      </w:r>
      <w:r>
        <w:rPr>
          <w:rFonts w:ascii="仿宋" w:hAnsi="仿宋" w:eastAsia="仿宋" w:cs="仿宋"/>
          <w:sz w:val="32"/>
          <w:szCs w:val="32"/>
        </w:rPr>
        <w:t>全区已有88</w:t>
      </w:r>
      <w:r>
        <w:rPr>
          <w:rFonts w:hint="eastAsia" w:ascii="仿宋" w:hAnsi="仿宋" w:eastAsia="仿宋" w:cs="仿宋"/>
          <w:sz w:val="32"/>
          <w:szCs w:val="32"/>
        </w:rPr>
        <w:t>87</w:t>
      </w:r>
      <w:r>
        <w:rPr>
          <w:rFonts w:ascii="仿宋" w:hAnsi="仿宋" w:eastAsia="仿宋" w:cs="仿宋"/>
          <w:sz w:val="32"/>
          <w:szCs w:val="32"/>
        </w:rPr>
        <w:t>名建档立卡</w:t>
      </w:r>
      <w:r>
        <w:rPr>
          <w:rFonts w:hint="eastAsia" w:ascii="仿宋" w:hAnsi="仿宋" w:eastAsia="仿宋" w:cs="仿宋"/>
          <w:sz w:val="32"/>
          <w:szCs w:val="32"/>
        </w:rPr>
        <w:t>脱贫</w:t>
      </w:r>
      <w:r>
        <w:rPr>
          <w:rFonts w:ascii="仿宋" w:hAnsi="仿宋" w:eastAsia="仿宋" w:cs="仿宋"/>
          <w:sz w:val="32"/>
          <w:szCs w:val="32"/>
        </w:rPr>
        <w:t>人口参加城乡居民基本医疗保险。贫困人口住院总人次</w:t>
      </w:r>
      <w:r>
        <w:rPr>
          <w:rFonts w:hint="eastAsia" w:ascii="仿宋" w:hAnsi="仿宋" w:eastAsia="仿宋" w:cs="仿宋"/>
          <w:sz w:val="32"/>
          <w:szCs w:val="32"/>
        </w:rPr>
        <w:t>1693</w:t>
      </w:r>
      <w:r>
        <w:rPr>
          <w:rFonts w:ascii="仿宋" w:hAnsi="仿宋" w:eastAsia="仿宋" w:cs="仿宋"/>
          <w:sz w:val="32"/>
          <w:szCs w:val="32"/>
        </w:rPr>
        <w:t>人次，医保基金支付</w:t>
      </w:r>
      <w:r>
        <w:rPr>
          <w:rFonts w:hint="eastAsia" w:ascii="仿宋" w:hAnsi="仿宋" w:eastAsia="仿宋" w:cs="仿宋"/>
          <w:sz w:val="32"/>
          <w:szCs w:val="32"/>
        </w:rPr>
        <w:t>647.97</w:t>
      </w:r>
      <w:r>
        <w:rPr>
          <w:rFonts w:ascii="仿宋" w:hAnsi="仿宋" w:eastAsia="仿宋" w:cs="仿宋"/>
          <w:sz w:val="32"/>
          <w:szCs w:val="32"/>
        </w:rPr>
        <w:t>万元；门诊（包括门诊特殊疾病）就诊</w:t>
      </w:r>
      <w:r>
        <w:rPr>
          <w:rFonts w:hint="eastAsia" w:ascii="仿宋" w:hAnsi="仿宋" w:eastAsia="仿宋" w:cs="仿宋"/>
          <w:sz w:val="32"/>
          <w:szCs w:val="32"/>
        </w:rPr>
        <w:t>2.44万</w:t>
      </w:r>
      <w:r>
        <w:rPr>
          <w:rFonts w:ascii="仿宋" w:hAnsi="仿宋" w:eastAsia="仿宋" w:cs="仿宋"/>
          <w:sz w:val="32"/>
          <w:szCs w:val="32"/>
        </w:rPr>
        <w:t>人次，医保基金支付</w:t>
      </w:r>
      <w:r>
        <w:rPr>
          <w:rFonts w:hint="eastAsia" w:ascii="仿宋" w:hAnsi="仿宋" w:eastAsia="仿宋" w:cs="仿宋"/>
          <w:sz w:val="32"/>
          <w:szCs w:val="32"/>
        </w:rPr>
        <w:t>109.98</w:t>
      </w:r>
      <w:r>
        <w:rPr>
          <w:rFonts w:ascii="仿宋" w:hAnsi="仿宋" w:eastAsia="仿宋" w:cs="仿宋"/>
          <w:sz w:val="32"/>
          <w:szCs w:val="32"/>
        </w:rPr>
        <w:t>万元。</w:t>
      </w:r>
    </w:p>
    <w:p>
      <w:pPr>
        <w:ind w:firstLine="800"/>
        <w:rPr>
          <w:rFonts w:ascii="仿宋" w:hAnsi="仿宋" w:eastAsia="仿宋" w:cs="仿宋"/>
          <w:sz w:val="32"/>
          <w:szCs w:val="32"/>
        </w:rPr>
      </w:pPr>
      <w:r>
        <w:rPr>
          <w:rFonts w:hint="eastAsia" w:ascii="仿宋" w:hAnsi="仿宋" w:eastAsia="仿宋" w:cs="仿宋"/>
          <w:sz w:val="32"/>
          <w:szCs w:val="32"/>
        </w:rPr>
        <w:t>落实新冠肺炎</w:t>
      </w:r>
      <w:r>
        <w:rPr>
          <w:rFonts w:ascii="仿宋" w:hAnsi="仿宋" w:eastAsia="仿宋" w:cs="仿宋"/>
          <w:sz w:val="32"/>
          <w:szCs w:val="32"/>
        </w:rPr>
        <w:t>疫情防控</w:t>
      </w:r>
      <w:r>
        <w:rPr>
          <w:rFonts w:hint="eastAsia" w:ascii="仿宋" w:hAnsi="仿宋" w:eastAsia="仿宋" w:cs="仿宋"/>
          <w:sz w:val="32"/>
          <w:szCs w:val="32"/>
        </w:rPr>
        <w:t>医保措施</w:t>
      </w:r>
      <w:r>
        <w:rPr>
          <w:rFonts w:ascii="仿宋" w:hAnsi="仿宋" w:eastAsia="仿宋" w:cs="仿宋"/>
          <w:sz w:val="32"/>
          <w:szCs w:val="32"/>
        </w:rPr>
        <w:t>。全面落实新冠肺炎疫苗及接种费用医保基金支付保障工作。截至目前，区医保局已按月按量向接种机构支付接种费用</w:t>
      </w:r>
      <w:r>
        <w:rPr>
          <w:rFonts w:hint="eastAsia" w:ascii="仿宋" w:hAnsi="仿宋" w:eastAsia="仿宋" w:cs="仿宋"/>
          <w:sz w:val="32"/>
          <w:szCs w:val="32"/>
        </w:rPr>
        <w:t>342.69</w:t>
      </w:r>
      <w:r>
        <w:rPr>
          <w:rFonts w:ascii="仿宋" w:hAnsi="仿宋" w:eastAsia="仿宋" w:cs="仿宋"/>
          <w:sz w:val="32"/>
          <w:szCs w:val="32"/>
        </w:rPr>
        <w:t>万元，疫苗费用按省、市要求统一通过市医保划拨给疫苗供应机构。</w:t>
      </w:r>
    </w:p>
    <w:p>
      <w:pPr>
        <w:ind w:firstLine="8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动真格，出实招，坚决守护医保基金安全。</w:t>
      </w:r>
    </w:p>
    <w:p>
      <w:pPr>
        <w:ind w:firstLine="800"/>
        <w:rPr>
          <w:rFonts w:ascii="仿宋" w:hAnsi="仿宋" w:eastAsia="仿宋" w:cs="仿宋"/>
          <w:sz w:val="32"/>
          <w:szCs w:val="32"/>
        </w:rPr>
      </w:pPr>
      <w:r>
        <w:rPr>
          <w:rFonts w:hint="eastAsia" w:ascii="仿宋" w:hAnsi="仿宋" w:eastAsia="仿宋" w:cs="仿宋"/>
          <w:sz w:val="32"/>
          <w:szCs w:val="32"/>
        </w:rPr>
        <w:t>抓基金安全宣传。以宣传贯彻《医保基金使用监督管理条例》为契机，开展医保政策法规</w:t>
      </w:r>
      <w:r>
        <w:rPr>
          <w:rFonts w:ascii="仿宋" w:hAnsi="仿宋" w:eastAsia="仿宋" w:cs="仿宋"/>
          <w:sz w:val="32"/>
          <w:szCs w:val="32"/>
        </w:rPr>
        <w:t>及打击</w:t>
      </w:r>
      <w:r>
        <w:rPr>
          <w:rFonts w:hint="eastAsia" w:ascii="仿宋" w:hAnsi="仿宋" w:eastAsia="仿宋" w:cs="仿宋"/>
          <w:sz w:val="32"/>
          <w:szCs w:val="32"/>
        </w:rPr>
        <w:t>“</w:t>
      </w:r>
      <w:r>
        <w:rPr>
          <w:rFonts w:ascii="仿宋" w:hAnsi="仿宋" w:eastAsia="仿宋" w:cs="仿宋"/>
          <w:sz w:val="32"/>
          <w:szCs w:val="32"/>
        </w:rPr>
        <w:t>三假</w:t>
      </w:r>
      <w:r>
        <w:rPr>
          <w:rFonts w:hint="eastAsia" w:ascii="仿宋" w:hAnsi="仿宋" w:eastAsia="仿宋" w:cs="仿宋"/>
          <w:sz w:val="32"/>
          <w:szCs w:val="32"/>
        </w:rPr>
        <w:t>”</w:t>
      </w:r>
      <w:r>
        <w:rPr>
          <w:rFonts w:ascii="仿宋" w:hAnsi="仿宋" w:eastAsia="仿宋" w:cs="仿宋"/>
          <w:sz w:val="32"/>
          <w:szCs w:val="32"/>
        </w:rPr>
        <w:t>集中宣传月活动</w:t>
      </w:r>
      <w:r>
        <w:rPr>
          <w:rFonts w:hint="eastAsia" w:ascii="仿宋" w:hAnsi="仿宋" w:eastAsia="仿宋" w:cs="仿宋"/>
          <w:sz w:val="32"/>
          <w:szCs w:val="32"/>
        </w:rPr>
        <w:t>，对外畅通</w:t>
      </w:r>
      <w:r>
        <w:rPr>
          <w:rFonts w:ascii="仿宋" w:hAnsi="仿宋" w:eastAsia="仿宋" w:cs="仿宋"/>
          <w:sz w:val="32"/>
          <w:szCs w:val="32"/>
        </w:rPr>
        <w:t>举报投诉</w:t>
      </w:r>
      <w:r>
        <w:rPr>
          <w:rFonts w:hint="eastAsia" w:ascii="仿宋" w:hAnsi="仿宋" w:eastAsia="仿宋" w:cs="仿宋"/>
          <w:sz w:val="32"/>
          <w:szCs w:val="32"/>
        </w:rPr>
        <w:t>渠道，开展多形式专项宣传，</w:t>
      </w:r>
      <w:r>
        <w:rPr>
          <w:rFonts w:ascii="仿宋" w:hAnsi="仿宋" w:eastAsia="仿宋" w:cs="仿宋"/>
          <w:sz w:val="32"/>
          <w:szCs w:val="32"/>
        </w:rPr>
        <w:t>加强对</w:t>
      </w:r>
      <w:r>
        <w:rPr>
          <w:rFonts w:hint="eastAsia" w:ascii="仿宋" w:hAnsi="仿宋" w:eastAsia="仿宋" w:cs="仿宋"/>
          <w:sz w:val="32"/>
          <w:szCs w:val="32"/>
        </w:rPr>
        <w:t>定点医药机构</w:t>
      </w:r>
      <w:r>
        <w:rPr>
          <w:rFonts w:ascii="仿宋" w:hAnsi="仿宋" w:eastAsia="仿宋" w:cs="仿宋"/>
          <w:sz w:val="32"/>
          <w:szCs w:val="32"/>
        </w:rPr>
        <w:t>培训。</w:t>
      </w:r>
    </w:p>
    <w:p>
      <w:pPr>
        <w:ind w:firstLine="800"/>
        <w:rPr>
          <w:rFonts w:ascii="仿宋" w:hAnsi="仿宋" w:eastAsia="仿宋" w:cs="仿宋"/>
          <w:sz w:val="32"/>
          <w:szCs w:val="32"/>
        </w:rPr>
      </w:pPr>
      <w:r>
        <w:rPr>
          <w:rFonts w:hint="eastAsia" w:ascii="仿宋" w:hAnsi="仿宋" w:eastAsia="仿宋" w:cs="仿宋"/>
          <w:sz w:val="32"/>
          <w:szCs w:val="32"/>
        </w:rPr>
        <w:t>抓存量问题“清零”行动。</w:t>
      </w:r>
      <w:r>
        <w:rPr>
          <w:rFonts w:ascii="仿宋" w:hAnsi="仿宋" w:eastAsia="仿宋" w:cs="仿宋"/>
          <w:sz w:val="32"/>
          <w:szCs w:val="32"/>
        </w:rPr>
        <w:t>针对2020年系统治理排查出来存量问题，全面开展基金监管存量问题“清零行动”，充分打好处置处罚、约谈教育、限时整改、效果回应“组合拳”，要求违规违约定点医疗机构坚持问题导向，立</w:t>
      </w:r>
      <w:r>
        <w:rPr>
          <w:rFonts w:hint="eastAsia" w:ascii="仿宋" w:hAnsi="仿宋" w:eastAsia="仿宋" w:cs="仿宋"/>
          <w:sz w:val="32"/>
          <w:szCs w:val="32"/>
        </w:rPr>
        <w:t>即整改</w:t>
      </w:r>
      <w:r>
        <w:rPr>
          <w:rFonts w:ascii="仿宋" w:hAnsi="仿宋" w:eastAsia="仿宋" w:cs="仿宋"/>
          <w:sz w:val="32"/>
          <w:szCs w:val="32"/>
        </w:rPr>
        <w:t>，杜绝“长期整改”久拖不决，做到真改实改。</w:t>
      </w:r>
      <w:r>
        <w:rPr>
          <w:rFonts w:hint="eastAsia" w:ascii="仿宋" w:hAnsi="仿宋" w:eastAsia="仿宋" w:cs="仿宋"/>
          <w:sz w:val="32"/>
          <w:szCs w:val="32"/>
        </w:rPr>
        <w:t>目前，</w:t>
      </w:r>
      <w:r>
        <w:rPr>
          <w:rFonts w:ascii="仿宋" w:hAnsi="仿宋" w:eastAsia="仿宋" w:cs="仿宋"/>
          <w:sz w:val="32"/>
          <w:szCs w:val="32"/>
        </w:rPr>
        <w:t>已全面完成基金监管存量问题“清零行动”，追回医保基金6677元。</w:t>
      </w:r>
    </w:p>
    <w:p>
      <w:pPr>
        <w:ind w:firstLine="800"/>
        <w:rPr>
          <w:rFonts w:ascii="仿宋" w:hAnsi="仿宋" w:eastAsia="仿宋" w:cs="仿宋"/>
          <w:sz w:val="32"/>
          <w:szCs w:val="32"/>
        </w:rPr>
      </w:pPr>
      <w:r>
        <w:rPr>
          <w:rFonts w:hint="eastAsia" w:ascii="仿宋" w:hAnsi="仿宋" w:eastAsia="仿宋" w:cs="仿宋"/>
          <w:sz w:val="32"/>
          <w:szCs w:val="32"/>
        </w:rPr>
        <w:t>抓专项检查全覆盖。</w:t>
      </w:r>
      <w:r>
        <w:rPr>
          <w:rFonts w:ascii="仿宋" w:hAnsi="仿宋" w:eastAsia="仿宋" w:cs="仿宋"/>
          <w:sz w:val="32"/>
          <w:szCs w:val="32"/>
        </w:rPr>
        <w:t>已组织完成辖区128</w:t>
      </w:r>
      <w:r>
        <w:rPr>
          <w:rFonts w:hint="eastAsia" w:ascii="仿宋" w:hAnsi="仿宋" w:eastAsia="仿宋" w:cs="仿宋"/>
          <w:sz w:val="32"/>
          <w:szCs w:val="32"/>
        </w:rPr>
        <w:t>家</w:t>
      </w:r>
      <w:r>
        <w:rPr>
          <w:rFonts w:ascii="仿宋" w:hAnsi="仿宋" w:eastAsia="仿宋" w:cs="仿宋"/>
          <w:sz w:val="32"/>
          <w:szCs w:val="32"/>
        </w:rPr>
        <w:t>定点医药机构自查自纠、全覆盖现场检查和省市抽查复查，两定机构检查率达100%。累计发现23家定点医药机构违规问题30个，已追回违规金额154025.06元，处理违约金160743.67元，合计追回本金及违约金314768.73元。</w:t>
      </w:r>
    </w:p>
    <w:p>
      <w:pPr>
        <w:ind w:firstLine="8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抓改革，促发展，医保控费降价有成效。</w:t>
      </w:r>
    </w:p>
    <w:p>
      <w:pPr>
        <w:ind w:firstLine="800"/>
        <w:rPr>
          <w:rFonts w:ascii="仿宋" w:hAnsi="仿宋" w:eastAsia="仿宋" w:cs="仿宋"/>
          <w:sz w:val="32"/>
          <w:szCs w:val="32"/>
        </w:rPr>
      </w:pPr>
      <w:r>
        <w:rPr>
          <w:rFonts w:hint="eastAsia" w:ascii="仿宋" w:hAnsi="仿宋" w:eastAsia="仿宋" w:cs="仿宋"/>
          <w:sz w:val="32"/>
          <w:szCs w:val="32"/>
        </w:rPr>
        <w:t>继续深化支付方式改革。</w:t>
      </w:r>
      <w:r>
        <w:rPr>
          <w:rFonts w:ascii="仿宋" w:hAnsi="仿宋" w:eastAsia="仿宋" w:cs="仿宋"/>
          <w:sz w:val="32"/>
          <w:szCs w:val="32"/>
        </w:rPr>
        <w:t>采取有效措施，点对点对辖区医院DRG付费改革执行情况进行指导，加强费用审核、监管，督促医疗机构逐步从传统项目付费绩效管理向DRG付费绩效管理转变，合力推进辖区DRG付费改革。2020年，</w:t>
      </w:r>
      <w:r>
        <w:rPr>
          <w:rFonts w:hint="eastAsia" w:ascii="仿宋" w:hAnsi="仿宋" w:eastAsia="仿宋" w:cs="仿宋"/>
          <w:sz w:val="32"/>
          <w:szCs w:val="32"/>
        </w:rPr>
        <w:t>我</w:t>
      </w:r>
      <w:r>
        <w:rPr>
          <w:rFonts w:ascii="仿宋" w:hAnsi="仿宋" w:eastAsia="仿宋" w:cs="仿宋"/>
          <w:sz w:val="32"/>
          <w:szCs w:val="32"/>
        </w:rPr>
        <w:t>区</w:t>
      </w:r>
      <w:r>
        <w:rPr>
          <w:rFonts w:hint="eastAsia" w:ascii="仿宋" w:hAnsi="仿宋" w:eastAsia="仿宋" w:cs="仿宋"/>
          <w:sz w:val="32"/>
          <w:szCs w:val="32"/>
        </w:rPr>
        <w:t>医疗机构</w:t>
      </w:r>
      <w:r>
        <w:rPr>
          <w:rFonts w:ascii="仿宋" w:hAnsi="仿宋" w:eastAsia="仿宋" w:cs="仿宋"/>
          <w:sz w:val="32"/>
          <w:szCs w:val="32"/>
        </w:rPr>
        <w:t>住院费降低624万元，人</w:t>
      </w:r>
      <w:r>
        <w:rPr>
          <w:rFonts w:hint="eastAsia" w:ascii="仿宋" w:hAnsi="仿宋" w:eastAsia="仿宋" w:cs="仿宋"/>
          <w:sz w:val="32"/>
          <w:szCs w:val="32"/>
        </w:rPr>
        <w:t>次</w:t>
      </w:r>
      <w:r>
        <w:rPr>
          <w:rFonts w:ascii="仿宋" w:hAnsi="仿宋" w:eastAsia="仿宋" w:cs="仿宋"/>
          <w:sz w:val="32"/>
          <w:szCs w:val="32"/>
        </w:rPr>
        <w:t>均住院费降低142元。通过</w:t>
      </w:r>
      <w:r>
        <w:rPr>
          <w:rFonts w:hint="eastAsia" w:ascii="仿宋" w:hAnsi="仿宋" w:eastAsia="仿宋" w:cs="仿宋"/>
          <w:sz w:val="32"/>
          <w:szCs w:val="32"/>
        </w:rPr>
        <w:t>改革</w:t>
      </w:r>
      <w:r>
        <w:rPr>
          <w:rFonts w:ascii="仿宋" w:hAnsi="仿宋" w:eastAsia="仿宋" w:cs="仿宋"/>
          <w:sz w:val="32"/>
          <w:szCs w:val="32"/>
        </w:rPr>
        <w:t>，</w:t>
      </w:r>
      <w:r>
        <w:rPr>
          <w:rFonts w:hint="eastAsia" w:ascii="仿宋" w:hAnsi="仿宋" w:eastAsia="仿宋" w:cs="仿宋"/>
          <w:sz w:val="32"/>
          <w:szCs w:val="32"/>
        </w:rPr>
        <w:t>有效</w:t>
      </w:r>
      <w:r>
        <w:rPr>
          <w:rFonts w:ascii="仿宋" w:hAnsi="仿宋" w:eastAsia="仿宋" w:cs="仿宋"/>
          <w:sz w:val="32"/>
          <w:szCs w:val="32"/>
        </w:rPr>
        <w:t>控制</w:t>
      </w:r>
      <w:r>
        <w:rPr>
          <w:rFonts w:hint="eastAsia" w:ascii="仿宋" w:hAnsi="仿宋" w:eastAsia="仿宋" w:cs="仿宋"/>
          <w:sz w:val="32"/>
          <w:szCs w:val="32"/>
        </w:rPr>
        <w:t>了过度医疗、</w:t>
      </w:r>
      <w:r>
        <w:rPr>
          <w:rFonts w:ascii="仿宋" w:hAnsi="仿宋" w:eastAsia="仿宋" w:cs="仿宋"/>
          <w:sz w:val="32"/>
          <w:szCs w:val="32"/>
        </w:rPr>
        <w:t>医疗费膨胀式增长势头，</w:t>
      </w:r>
      <w:r>
        <w:rPr>
          <w:rFonts w:hint="eastAsia" w:ascii="仿宋" w:hAnsi="仿宋" w:eastAsia="仿宋" w:cs="仿宋"/>
          <w:sz w:val="32"/>
          <w:szCs w:val="32"/>
        </w:rPr>
        <w:t>缓解看病贵的问题，确保</w:t>
      </w:r>
      <w:r>
        <w:rPr>
          <w:rFonts w:ascii="仿宋" w:hAnsi="仿宋" w:eastAsia="仿宋" w:cs="仿宋"/>
          <w:sz w:val="32"/>
          <w:szCs w:val="32"/>
        </w:rPr>
        <w:t>医保基金支付可控、可持续，提</w:t>
      </w:r>
      <w:r>
        <w:rPr>
          <w:rFonts w:hint="eastAsia" w:ascii="仿宋" w:hAnsi="仿宋" w:eastAsia="仿宋" w:cs="仿宋"/>
          <w:sz w:val="32"/>
          <w:szCs w:val="32"/>
        </w:rPr>
        <w:t>高</w:t>
      </w:r>
      <w:r>
        <w:rPr>
          <w:rFonts w:ascii="仿宋" w:hAnsi="仿宋" w:eastAsia="仿宋" w:cs="仿宋"/>
          <w:sz w:val="32"/>
          <w:szCs w:val="32"/>
        </w:rPr>
        <w:t>基金使用效率。</w:t>
      </w:r>
    </w:p>
    <w:p>
      <w:pPr>
        <w:ind w:firstLine="800"/>
        <w:rPr>
          <w:rFonts w:ascii="仿宋" w:hAnsi="仿宋" w:eastAsia="仿宋" w:cs="仿宋"/>
          <w:sz w:val="32"/>
          <w:szCs w:val="32"/>
        </w:rPr>
      </w:pPr>
      <w:r>
        <w:rPr>
          <w:rFonts w:ascii="仿宋" w:hAnsi="仿宋" w:eastAsia="仿宋" w:cs="仿宋"/>
          <w:sz w:val="32"/>
          <w:szCs w:val="32"/>
        </w:rPr>
        <w:t>落实药品集中招采惠民政策。组织辖区定点医疗机构（公立医疗机构）采购、使用国家、省集中招采的药品、耗材，按规定提前向集采药品、耗材供应机构拨付费用。截</w:t>
      </w:r>
      <w:r>
        <w:rPr>
          <w:rFonts w:hint="eastAsia" w:ascii="仿宋" w:hAnsi="仿宋" w:eastAsia="仿宋" w:cs="仿宋"/>
          <w:sz w:val="32"/>
          <w:szCs w:val="32"/>
        </w:rPr>
        <w:t>至目前</w:t>
      </w:r>
      <w:r>
        <w:rPr>
          <w:rFonts w:ascii="仿宋" w:hAnsi="仿宋" w:eastAsia="仿宋" w:cs="仿宋"/>
          <w:sz w:val="32"/>
          <w:szCs w:val="32"/>
        </w:rPr>
        <w:t>，</w:t>
      </w:r>
      <w:r>
        <w:rPr>
          <w:rFonts w:hint="eastAsia" w:ascii="仿宋" w:hAnsi="仿宋" w:eastAsia="仿宋" w:cs="仿宋"/>
          <w:sz w:val="32"/>
          <w:szCs w:val="32"/>
        </w:rPr>
        <w:t>已</w:t>
      </w:r>
      <w:r>
        <w:rPr>
          <w:rFonts w:ascii="仿宋" w:hAnsi="仿宋" w:eastAsia="仿宋" w:cs="仿宋"/>
          <w:sz w:val="32"/>
          <w:szCs w:val="32"/>
        </w:rPr>
        <w:t>组织辖区公立医疗机构参加五批次国家、省集采药品、耗材使用，使用药品、耗材品种达</w:t>
      </w:r>
      <w:r>
        <w:rPr>
          <w:rFonts w:hint="eastAsia" w:ascii="仿宋" w:hAnsi="仿宋" w:eastAsia="仿宋" w:cs="仿宋"/>
          <w:sz w:val="32"/>
          <w:szCs w:val="32"/>
        </w:rPr>
        <w:t>625</w:t>
      </w:r>
      <w:r>
        <w:rPr>
          <w:rFonts w:ascii="仿宋" w:hAnsi="仿宋" w:eastAsia="仿宋" w:cs="仿宋"/>
          <w:sz w:val="32"/>
          <w:szCs w:val="32"/>
        </w:rPr>
        <w:t>个，</w:t>
      </w:r>
      <w:r>
        <w:rPr>
          <w:rFonts w:hint="eastAsia" w:ascii="仿宋" w:hAnsi="仿宋" w:eastAsia="仿宋" w:cs="仿宋"/>
          <w:sz w:val="32"/>
          <w:szCs w:val="32"/>
        </w:rPr>
        <w:t>已完成5批次集采的预付款166.22万元，已回款61.96万元。</w:t>
      </w:r>
    </w:p>
    <w:p>
      <w:pPr>
        <w:ind w:firstLine="800"/>
        <w:rPr>
          <w:rFonts w:ascii="仿宋" w:hAnsi="仿宋" w:eastAsia="仿宋" w:cs="仿宋"/>
          <w:sz w:val="32"/>
          <w:szCs w:val="32"/>
        </w:rPr>
      </w:pPr>
      <w:r>
        <w:rPr>
          <w:rFonts w:hint="eastAsia" w:ascii="仿宋" w:hAnsi="仿宋" w:eastAsia="仿宋" w:cs="仿宋"/>
          <w:sz w:val="32"/>
          <w:szCs w:val="32"/>
        </w:rPr>
        <w:t>深化“最多跑一次”改革。</w:t>
      </w:r>
      <w:r>
        <w:rPr>
          <w:rFonts w:ascii="仿宋" w:hAnsi="仿宋" w:eastAsia="仿宋" w:cs="仿宋"/>
          <w:sz w:val="32"/>
          <w:szCs w:val="32"/>
        </w:rPr>
        <w:t>按照申办材料最少、办事流程最简、办理时限最短、服务质量最优“四个最”的目标，对医保经办服务事项全面实施流程再造、精简优化。</w:t>
      </w:r>
      <w:r>
        <w:rPr>
          <w:rFonts w:hint="eastAsia" w:ascii="仿宋" w:hAnsi="仿宋" w:eastAsia="仿宋" w:cs="仿宋"/>
          <w:sz w:val="32"/>
          <w:szCs w:val="32"/>
        </w:rPr>
        <w:t>医保窗口</w:t>
      </w:r>
      <w:r>
        <w:rPr>
          <w:rFonts w:ascii="仿宋" w:hAnsi="仿宋" w:eastAsia="仿宋" w:cs="仿宋"/>
          <w:sz w:val="32"/>
          <w:szCs w:val="32"/>
        </w:rPr>
        <w:t>首批6个</w:t>
      </w:r>
      <w:r>
        <w:rPr>
          <w:rFonts w:hint="eastAsia" w:ascii="仿宋" w:hAnsi="仿宋" w:eastAsia="仿宋" w:cs="仿宋"/>
          <w:sz w:val="32"/>
          <w:szCs w:val="32"/>
        </w:rPr>
        <w:t>服务</w:t>
      </w:r>
      <w:r>
        <w:rPr>
          <w:rFonts w:ascii="仿宋" w:hAnsi="仿宋" w:eastAsia="仿宋" w:cs="仿宋"/>
          <w:sz w:val="32"/>
          <w:szCs w:val="32"/>
        </w:rPr>
        <w:t>事项</w:t>
      </w:r>
      <w:r>
        <w:rPr>
          <w:rFonts w:hint="eastAsia" w:ascii="仿宋" w:hAnsi="仿宋" w:eastAsia="仿宋" w:cs="仿宋"/>
          <w:sz w:val="32"/>
          <w:szCs w:val="32"/>
        </w:rPr>
        <w:t>已</w:t>
      </w:r>
      <w:r>
        <w:rPr>
          <w:rFonts w:ascii="仿宋" w:hAnsi="仿宋" w:eastAsia="仿宋" w:cs="仿宋"/>
          <w:sz w:val="32"/>
          <w:szCs w:val="32"/>
        </w:rPr>
        <w:t>实施证明事项告知承诺制</w:t>
      </w:r>
      <w:r>
        <w:rPr>
          <w:rFonts w:hint="eastAsia" w:ascii="仿宋" w:hAnsi="仿宋" w:eastAsia="仿宋" w:cs="仿宋"/>
          <w:sz w:val="32"/>
          <w:szCs w:val="32"/>
        </w:rPr>
        <w:t>。</w:t>
      </w:r>
    </w:p>
    <w:p>
      <w:pPr>
        <w:ind w:firstLine="8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高标准，优服务，稳步推进医保信息化建设。</w:t>
      </w:r>
    </w:p>
    <w:p>
      <w:pPr>
        <w:ind w:firstLine="800"/>
        <w:rPr>
          <w:rFonts w:ascii="仿宋" w:hAnsi="仿宋" w:eastAsia="仿宋" w:cs="仿宋"/>
          <w:sz w:val="32"/>
          <w:szCs w:val="32"/>
        </w:rPr>
      </w:pPr>
      <w:r>
        <w:rPr>
          <w:rFonts w:hint="eastAsia" w:ascii="仿宋" w:hAnsi="仿宋" w:eastAsia="仿宋" w:cs="仿宋"/>
          <w:sz w:val="32"/>
          <w:szCs w:val="32"/>
        </w:rPr>
        <w:t>完成四川省医保一体化平台切换。根据省、市医保局的统一安排，我区全力组织实施医保信息系统并网省医保一体化平台，通过开展数据迁移、系统联调测试、人员业务培训等，于10月28日辖区基本医疗保险、大病保险、医疗救助等顺利切换到省医保一体化信息平台进行，实现信息系统、经办服务全省联网。</w:t>
      </w:r>
    </w:p>
    <w:p>
      <w:pPr>
        <w:ind w:firstLine="800"/>
        <w:rPr>
          <w:rFonts w:ascii="仿宋" w:hAnsi="仿宋" w:eastAsia="仿宋" w:cs="仿宋"/>
          <w:sz w:val="32"/>
          <w:szCs w:val="32"/>
        </w:rPr>
      </w:pPr>
      <w:r>
        <w:rPr>
          <w:rFonts w:hint="eastAsia" w:ascii="仿宋" w:hAnsi="仿宋" w:eastAsia="仿宋" w:cs="仿宋"/>
          <w:sz w:val="32"/>
          <w:szCs w:val="32"/>
        </w:rPr>
        <w:t>做好医保电子凭证应用激活推广。通过乡镇（街道）、村（社区）、定点医药机构</w:t>
      </w:r>
      <w:r>
        <w:rPr>
          <w:rFonts w:hint="eastAsia" w:ascii="仿宋" w:hAnsi="仿宋" w:eastAsia="仿宋" w:cs="仿宋"/>
          <w:sz w:val="32"/>
          <w:szCs w:val="32"/>
          <w:lang w:eastAsia="zh-CN"/>
        </w:rPr>
        <w:t>，</w:t>
      </w:r>
      <w:r>
        <w:rPr>
          <w:rFonts w:hint="eastAsia" w:ascii="仿宋" w:hAnsi="仿宋" w:eastAsia="仿宋" w:cs="仿宋"/>
          <w:sz w:val="32"/>
          <w:szCs w:val="32"/>
        </w:rPr>
        <w:t>借助LED宣传屏、公示栏、微信等多种渠道</w:t>
      </w:r>
      <w:r>
        <w:rPr>
          <w:rFonts w:hint="eastAsia" w:ascii="仿宋" w:hAnsi="仿宋" w:eastAsia="仿宋" w:cs="仿宋"/>
          <w:sz w:val="32"/>
          <w:szCs w:val="32"/>
          <w:lang w:eastAsia="zh-CN"/>
        </w:rPr>
        <w:t>，</w:t>
      </w:r>
      <w:r>
        <w:rPr>
          <w:rFonts w:hint="eastAsia" w:ascii="仿宋" w:hAnsi="仿宋" w:eastAsia="仿宋" w:cs="仿宋"/>
          <w:sz w:val="32"/>
          <w:szCs w:val="32"/>
        </w:rPr>
        <w:t>向参保群众广泛宣传医保电子凭证的重要性和便捷性</w:t>
      </w:r>
      <w:r>
        <w:rPr>
          <w:rFonts w:hint="eastAsia" w:ascii="仿宋" w:hAnsi="仿宋" w:eastAsia="仿宋" w:cs="仿宋"/>
          <w:sz w:val="32"/>
          <w:szCs w:val="32"/>
          <w:lang w:eastAsia="zh-CN"/>
        </w:rPr>
        <w:t>，</w:t>
      </w:r>
      <w:r>
        <w:rPr>
          <w:rFonts w:hint="eastAsia" w:ascii="仿宋" w:hAnsi="仿宋" w:eastAsia="仿宋" w:cs="仿宋"/>
          <w:sz w:val="32"/>
          <w:szCs w:val="32"/>
        </w:rPr>
        <w:t>介绍使用方法</w:t>
      </w:r>
      <w:r>
        <w:rPr>
          <w:rFonts w:hint="eastAsia" w:ascii="仿宋" w:hAnsi="仿宋" w:eastAsia="仿宋" w:cs="仿宋"/>
          <w:sz w:val="32"/>
          <w:szCs w:val="32"/>
          <w:lang w:eastAsia="zh-CN"/>
        </w:rPr>
        <w:t>，</w:t>
      </w:r>
      <w:r>
        <w:rPr>
          <w:rFonts w:hint="eastAsia" w:ascii="仿宋" w:hAnsi="仿宋" w:eastAsia="仿宋" w:cs="仿宋"/>
          <w:sz w:val="32"/>
          <w:szCs w:val="32"/>
        </w:rPr>
        <w:t>营造浓厚的宣传氛围。截至目前，我区已有20842人激活电子医保凭证，128家定点医药机构已开通医保电子凭证扫码结算服务。</w:t>
      </w:r>
    </w:p>
    <w:p>
      <w:pPr>
        <w:pStyle w:val="4"/>
        <w:snapToGrid w:val="0"/>
        <w:spacing w:before="93" w:line="600" w:lineRule="exact"/>
        <w:ind w:firstLine="672"/>
      </w:pPr>
    </w:p>
    <w:p>
      <w:pPr>
        <w:pStyle w:val="3"/>
      </w:pPr>
      <w:r>
        <w:rPr>
          <w:rFonts w:hint="eastAsia" w:ascii="黑体" w:hAnsi="黑体" w:eastAsia="黑体"/>
          <w:b w:val="0"/>
          <w:color w:val="000000"/>
        </w:rPr>
        <w:t>二、</w:t>
      </w:r>
      <w:r>
        <w:rPr>
          <w:rFonts w:hint="eastAsia" w:ascii="黑体" w:hAnsi="黑体" w:eastAsia="黑体" w:cs="黑体"/>
          <w:b w:val="0"/>
          <w:color w:val="000000"/>
        </w:rPr>
        <w:t>机</w:t>
      </w:r>
      <w:r>
        <w:rPr>
          <w:rStyle w:val="18"/>
          <w:rFonts w:hint="eastAsia" w:ascii="黑体" w:hAnsi="黑体" w:eastAsia="黑体" w:cs="黑体"/>
          <w:b w:val="0"/>
          <w:bCs w:val="0"/>
        </w:rPr>
        <w:t>构设置</w:t>
      </w:r>
    </w:p>
    <w:p>
      <w:pPr>
        <w:ind w:firstLine="800"/>
      </w:pPr>
      <w:r>
        <w:rPr>
          <w:rFonts w:hint="eastAsia" w:ascii="仿宋" w:hAnsi="仿宋" w:eastAsia="仿宋" w:cs="仿宋"/>
          <w:sz w:val="32"/>
          <w:szCs w:val="32"/>
        </w:rPr>
        <w:t>攀</w:t>
      </w:r>
      <w:r>
        <w:rPr>
          <w:rFonts w:ascii="仿宋" w:hAnsi="仿宋" w:eastAsia="仿宋" w:cs="仿宋"/>
          <w:sz w:val="32"/>
          <w:szCs w:val="32"/>
        </w:rPr>
        <w:t>枝花市仁和区医疗保障局下设</w:t>
      </w:r>
      <w:r>
        <w:rPr>
          <w:rFonts w:hint="eastAsia" w:ascii="仿宋" w:hAnsi="仿宋" w:eastAsia="仿宋" w:cs="仿宋"/>
          <w:sz w:val="32"/>
          <w:szCs w:val="32"/>
        </w:rPr>
        <w:t>1个科室，独立编制的1个参照公务员管理的事业单位。攀枝花市仁和区医疗保障局属一级预算单位，财务统一管理，无单独核算的二级预算单位。</w:t>
      </w:r>
    </w:p>
    <w:p>
      <w:pPr>
        <w:pageBreakBefore/>
        <w:widowControl/>
        <w:jc w:val="left"/>
        <w:rPr>
          <w:rFonts w:ascii="仿宋" w:hAnsi="仿宋" w:eastAsia="仿宋" w:cs="仿宋"/>
          <w:color w:val="000000"/>
          <w:kern w:val="0"/>
          <w:sz w:val="32"/>
          <w:szCs w:val="32"/>
        </w:rPr>
      </w:pPr>
    </w:p>
    <w:p>
      <w:pPr>
        <w:pStyle w:val="2"/>
        <w:ind w:right="440"/>
        <w:jc w:val="right"/>
      </w:pPr>
      <w:r>
        <w:rPr>
          <w:rFonts w:hint="eastAsia" w:ascii="黑体" w:hAnsi="黑体" w:eastAsia="黑体" w:cs="黑体"/>
          <w:b w:val="0"/>
          <w:color w:val="000000"/>
        </w:rPr>
        <w:t>第二部分</w:t>
      </w:r>
      <w:r>
        <w:rPr>
          <w:rStyle w:val="17"/>
          <w:rFonts w:ascii="黑体" w:hAnsi="黑体" w:eastAsia="黑体" w:cs="黑体"/>
          <w:b w:val="0"/>
          <w:bCs w:val="0"/>
        </w:rPr>
        <w:t>202</w:t>
      </w:r>
      <w:r>
        <w:rPr>
          <w:rStyle w:val="17"/>
          <w:rFonts w:hint="eastAsia" w:ascii="黑体" w:hAnsi="黑体" w:eastAsia="黑体" w:cs="黑体"/>
          <w:b w:val="0"/>
          <w:bCs w:val="0"/>
        </w:rPr>
        <w:t>1年度部门决算情况说明</w:t>
      </w:r>
    </w:p>
    <w:p/>
    <w:p>
      <w:pPr>
        <w:pStyle w:val="20"/>
        <w:numPr>
          <w:ilvl w:val="0"/>
          <w:numId w:val="3"/>
        </w:numPr>
        <w:spacing w:line="600" w:lineRule="exact"/>
      </w:pPr>
      <w:r>
        <w:rPr>
          <w:rFonts w:hint="eastAsia" w:ascii="黑体" w:hAnsi="黑体" w:eastAsia="黑体" w:cs="黑体"/>
          <w:color w:val="000000"/>
          <w:sz w:val="32"/>
          <w:szCs w:val="32"/>
        </w:rPr>
        <w:t>收</w:t>
      </w:r>
      <w:r>
        <w:rPr>
          <w:rStyle w:val="18"/>
          <w:rFonts w:hint="eastAsia" w:ascii="黑体" w:hAnsi="黑体" w:eastAsia="黑体" w:cs="黑体"/>
          <w:b w:val="0"/>
        </w:rPr>
        <w:t>入支出决算总体情况说明</w:t>
      </w:r>
    </w:p>
    <w:p>
      <w:pPr>
        <w:pStyle w:val="20"/>
        <w:spacing w:line="600" w:lineRule="exact"/>
        <w:ind w:firstLine="640"/>
        <w:rPr>
          <w:rFonts w:ascii="仿宋" w:hAnsi="仿宋" w:eastAsia="仿宋" w:cs="仿宋_GB2312"/>
          <w:sz w:val="32"/>
          <w:szCs w:val="32"/>
        </w:rPr>
      </w:pPr>
      <w:r>
        <w:rPr>
          <w:rFonts w:hint="eastAsia" w:ascii="仿宋" w:hAnsi="仿宋" w:eastAsia="仿宋" w:cs="仿宋_GB2312"/>
          <w:sz w:val="32"/>
          <w:szCs w:val="32"/>
        </w:rPr>
        <w:t>2021年度收入、支出总计</w:t>
      </w:r>
      <w:r>
        <w:rPr>
          <w:rFonts w:ascii="仿宋" w:hAnsi="仿宋" w:eastAsia="仿宋" w:cs="仿宋_GB2312"/>
          <w:sz w:val="32"/>
          <w:szCs w:val="32"/>
        </w:rPr>
        <w:t>1796.45</w:t>
      </w:r>
      <w:r>
        <w:rPr>
          <w:rFonts w:hint="eastAsia" w:ascii="仿宋" w:hAnsi="仿宋" w:eastAsia="仿宋" w:cs="仿宋_GB2312"/>
          <w:sz w:val="32"/>
          <w:szCs w:val="32"/>
        </w:rPr>
        <w:t>万元。与2020年相比，收入、支出各增加1</w:t>
      </w:r>
      <w:r>
        <w:rPr>
          <w:rFonts w:ascii="仿宋" w:hAnsi="仿宋" w:eastAsia="仿宋" w:cs="仿宋_GB2312"/>
          <w:sz w:val="32"/>
          <w:szCs w:val="32"/>
        </w:rPr>
        <w:t>86.17万元，增长</w:t>
      </w:r>
      <w:r>
        <w:rPr>
          <w:rFonts w:hint="eastAsia" w:ascii="仿宋" w:hAnsi="仿宋" w:eastAsia="仿宋" w:cs="仿宋_GB2312"/>
          <w:sz w:val="32"/>
          <w:szCs w:val="32"/>
        </w:rPr>
        <w:t>1</w:t>
      </w:r>
      <w:r>
        <w:rPr>
          <w:rFonts w:ascii="仿宋" w:hAnsi="仿宋" w:eastAsia="仿宋" w:cs="仿宋_GB2312"/>
          <w:sz w:val="32"/>
          <w:szCs w:val="32"/>
        </w:rPr>
        <w:t>1.5%。</w:t>
      </w:r>
      <w:r>
        <w:rPr>
          <w:rFonts w:hint="eastAsia" w:ascii="仿宋" w:hAnsi="仿宋" w:eastAsia="仿宋" w:cs="仿宋_GB2312"/>
          <w:sz w:val="32"/>
          <w:szCs w:val="32"/>
        </w:rPr>
        <w:t>主要变动原因是本年度人员经费、项目支出增多。</w:t>
      </w:r>
    </w:p>
    <w:p>
      <w:pPr>
        <w:pStyle w:val="20"/>
        <w:ind w:firstLine="0"/>
        <w:rPr>
          <w:rFonts w:ascii="仿宋" w:hAnsi="仿宋" w:eastAsia="仿宋" w:cs="仿宋_GB2312"/>
          <w:sz w:val="32"/>
          <w:szCs w:val="32"/>
        </w:rPr>
      </w:pPr>
    </w:p>
    <w:p>
      <w:pPr>
        <w:pStyle w:val="20"/>
        <w:ind w:firstLine="0"/>
        <w:rPr>
          <w:rFonts w:ascii="仿宋" w:hAnsi="仿宋" w:eastAsia="仿宋" w:cs="仿宋_GB2312"/>
          <w:sz w:val="32"/>
          <w:szCs w:val="32"/>
        </w:rPr>
      </w:pPr>
      <w:r>
        <w:rPr>
          <w:rFonts w:ascii="仿宋" w:hAnsi="仿宋" w:eastAsia="仿宋" w:cs="仿宋_GB2312"/>
          <w:sz w:val="32"/>
          <w:szCs w:val="32"/>
        </w:rP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pPr>
      <w:r>
        <w:rPr>
          <w:rFonts w:hint="eastAsia" w:ascii="黑体" w:hAnsi="黑体" w:eastAsia="黑体" w:cs="黑体"/>
          <w:color w:val="000000"/>
          <w:sz w:val="32"/>
          <w:szCs w:val="32"/>
        </w:rPr>
        <w:t>二、收入决算情况说明</w:t>
      </w:r>
    </w:p>
    <w:p>
      <w:pPr>
        <w:spacing w:line="600" w:lineRule="exact"/>
        <w:ind w:firstLine="640"/>
        <w:rPr>
          <w:rFonts w:ascii="仿宋" w:hAnsi="仿宋" w:eastAsia="仿宋" w:cs="仿宋"/>
          <w:color w:val="000000"/>
          <w:sz w:val="32"/>
          <w:szCs w:val="32"/>
        </w:rPr>
      </w:pPr>
      <w:r>
        <w:rPr>
          <w:rFonts w:ascii="仿宋" w:hAnsi="仿宋" w:eastAsia="仿宋" w:cs="仿宋_GB2312"/>
          <w:sz w:val="32"/>
          <w:szCs w:val="32"/>
        </w:rPr>
        <w:t>202</w:t>
      </w:r>
      <w:r>
        <w:rPr>
          <w:rFonts w:hint="eastAsia" w:ascii="仿宋" w:hAnsi="仿宋" w:eastAsia="仿宋" w:cs="仿宋_GB2312"/>
          <w:sz w:val="32"/>
          <w:szCs w:val="32"/>
        </w:rPr>
        <w:t>1年本年收入合计</w:t>
      </w:r>
      <w:r>
        <w:rPr>
          <w:rFonts w:ascii="仿宋" w:hAnsi="仿宋" w:eastAsia="仿宋" w:cs="仿宋_GB2312"/>
          <w:sz w:val="32"/>
          <w:szCs w:val="32"/>
        </w:rPr>
        <w:t>1795.77</w:t>
      </w:r>
      <w:r>
        <w:rPr>
          <w:rFonts w:hint="eastAsia" w:ascii="仿宋" w:hAnsi="仿宋" w:eastAsia="仿宋" w:cs="仿宋_GB2312"/>
          <w:sz w:val="32"/>
          <w:szCs w:val="32"/>
        </w:rPr>
        <w:t>万元，其中：一般公共预算财政拨款收入</w:t>
      </w:r>
      <w:r>
        <w:rPr>
          <w:rFonts w:ascii="仿宋" w:hAnsi="仿宋" w:eastAsia="仿宋" w:cs="仿宋_GB2312"/>
          <w:sz w:val="32"/>
          <w:szCs w:val="32"/>
        </w:rPr>
        <w:t>1758.56</w:t>
      </w:r>
      <w:r>
        <w:rPr>
          <w:rFonts w:hint="eastAsia" w:ascii="仿宋" w:hAnsi="仿宋" w:eastAsia="仿宋" w:cs="仿宋_GB2312"/>
          <w:sz w:val="32"/>
          <w:szCs w:val="32"/>
        </w:rPr>
        <w:t>万元，占97.9</w:t>
      </w:r>
      <w:r>
        <w:rPr>
          <w:rFonts w:ascii="仿宋" w:hAnsi="仿宋" w:eastAsia="仿宋" w:cs="仿宋_GB2312"/>
          <w:sz w:val="32"/>
          <w:szCs w:val="32"/>
        </w:rPr>
        <w:t>%</w:t>
      </w:r>
      <w:r>
        <w:rPr>
          <w:rFonts w:hint="eastAsia" w:ascii="仿宋" w:hAnsi="仿宋" w:eastAsia="仿宋" w:cs="仿宋_GB2312"/>
          <w:sz w:val="32"/>
          <w:szCs w:val="32"/>
        </w:rPr>
        <w:t>；政府性基金预算财政拨款</w:t>
      </w:r>
      <w:r>
        <w:rPr>
          <w:rFonts w:ascii="仿宋" w:hAnsi="仿宋" w:eastAsia="仿宋" w:cs="仿宋_GB2312"/>
          <w:sz w:val="32"/>
          <w:szCs w:val="32"/>
        </w:rPr>
        <w:t>37.21</w:t>
      </w:r>
      <w:r>
        <w:rPr>
          <w:rFonts w:hint="eastAsia" w:ascii="仿宋" w:hAnsi="仿宋" w:eastAsia="仿宋" w:cs="仿宋_GB2312"/>
          <w:sz w:val="32"/>
          <w:szCs w:val="32"/>
        </w:rPr>
        <w:t>万元，占2.1</w:t>
      </w:r>
      <w:r>
        <w:rPr>
          <w:rFonts w:ascii="仿宋" w:hAnsi="仿宋" w:eastAsia="仿宋" w:cs="仿宋_GB2312"/>
          <w:sz w:val="32"/>
          <w:szCs w:val="32"/>
        </w:rPr>
        <w:t>%</w:t>
      </w:r>
      <w:r>
        <w:rPr>
          <w:rFonts w:hint="eastAsia" w:ascii="仿宋" w:hAnsi="仿宋" w:eastAsia="仿宋" w:cs="仿宋"/>
          <w:color w:val="000000"/>
          <w:sz w:val="32"/>
          <w:szCs w:val="32"/>
        </w:rPr>
        <w:t>。</w:t>
      </w:r>
    </w:p>
    <w:p>
      <w:pPr>
        <w:rPr>
          <w:rFonts w:ascii="仿宋" w:hAnsi="仿宋" w:eastAsia="仿宋" w:cs="仿宋"/>
          <w:color w:val="000000"/>
          <w:sz w:val="32"/>
          <w:szCs w:val="32"/>
        </w:rPr>
      </w:pPr>
    </w:p>
    <w:p>
      <w:pPr>
        <w:ind w:firstLine="641"/>
        <w:rPr>
          <w:rFonts w:ascii="仿宋" w:hAnsi="仿宋" w:eastAsia="仿宋" w:cs="仿宋"/>
          <w:color w:val="000000"/>
          <w:sz w:val="32"/>
          <w:szCs w:val="32"/>
        </w:rPr>
      </w:pPr>
      <w:r>
        <w:rPr>
          <w:rFonts w:hint="eastAsia" w:ascii="仿宋" w:hAnsi="仿宋" w:eastAsia="仿宋" w:cs="仿宋"/>
          <w:color w:val="000000"/>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
      <w:pPr>
        <w:spacing w:line="600" w:lineRule="exact"/>
        <w:ind w:firstLine="640"/>
      </w:pPr>
      <w:r>
        <w:rPr>
          <w:rFonts w:hint="eastAsia" w:ascii="黑体" w:hAnsi="黑体" w:eastAsia="黑体" w:cs="黑体"/>
          <w:color w:val="000000"/>
          <w:sz w:val="32"/>
          <w:szCs w:val="32"/>
        </w:rPr>
        <w:t>三、支出决算情况说明</w:t>
      </w:r>
    </w:p>
    <w:p>
      <w:pPr>
        <w:spacing w:line="600" w:lineRule="exact"/>
        <w:ind w:firstLine="640"/>
        <w:rPr>
          <w:rFonts w:ascii="仿宋" w:hAnsi="仿宋" w:eastAsia="仿宋" w:cs="仿宋_GB2312"/>
          <w:sz w:val="32"/>
          <w:szCs w:val="32"/>
        </w:rPr>
      </w:pPr>
      <w:r>
        <w:rPr>
          <w:rFonts w:ascii="仿宋" w:hAnsi="仿宋" w:eastAsia="仿宋" w:cs="仿宋_GB2312"/>
          <w:sz w:val="32"/>
          <w:szCs w:val="32"/>
        </w:rPr>
        <w:t>202</w:t>
      </w:r>
      <w:r>
        <w:rPr>
          <w:rFonts w:hint="eastAsia" w:ascii="仿宋" w:hAnsi="仿宋" w:eastAsia="仿宋" w:cs="仿宋_GB2312"/>
          <w:sz w:val="32"/>
          <w:szCs w:val="32"/>
        </w:rPr>
        <w:t>1年本年支出合计</w:t>
      </w:r>
      <w:r>
        <w:rPr>
          <w:rFonts w:ascii="仿宋" w:hAnsi="仿宋" w:eastAsia="仿宋" w:cs="仿宋_GB2312"/>
          <w:sz w:val="32"/>
          <w:szCs w:val="32"/>
        </w:rPr>
        <w:t>1796.45</w:t>
      </w:r>
      <w:r>
        <w:rPr>
          <w:rFonts w:hint="eastAsia" w:ascii="仿宋" w:hAnsi="仿宋" w:eastAsia="仿宋" w:cs="仿宋_GB2312"/>
          <w:sz w:val="32"/>
          <w:szCs w:val="32"/>
        </w:rPr>
        <w:t>万元，其中：基本支出</w:t>
      </w:r>
      <w:r>
        <w:rPr>
          <w:rFonts w:ascii="仿宋" w:hAnsi="仿宋" w:eastAsia="仿宋" w:cs="仿宋_GB2312"/>
          <w:sz w:val="32"/>
          <w:szCs w:val="32"/>
        </w:rPr>
        <w:t>287.43</w:t>
      </w:r>
      <w:r>
        <w:rPr>
          <w:rFonts w:hint="eastAsia" w:ascii="仿宋" w:hAnsi="仿宋" w:eastAsia="仿宋" w:cs="仿宋_GB2312"/>
          <w:sz w:val="32"/>
          <w:szCs w:val="32"/>
        </w:rPr>
        <w:t>万元，占16</w:t>
      </w:r>
      <w:r>
        <w:rPr>
          <w:rFonts w:ascii="仿宋" w:hAnsi="仿宋" w:eastAsia="仿宋" w:cs="仿宋_GB2312"/>
          <w:sz w:val="32"/>
          <w:szCs w:val="32"/>
        </w:rPr>
        <w:t>%</w:t>
      </w:r>
      <w:r>
        <w:rPr>
          <w:rFonts w:hint="eastAsia" w:ascii="仿宋" w:hAnsi="仿宋" w:eastAsia="仿宋" w:cs="仿宋_GB2312"/>
          <w:sz w:val="32"/>
          <w:szCs w:val="32"/>
        </w:rPr>
        <w:t>；项目支出</w:t>
      </w:r>
      <w:r>
        <w:rPr>
          <w:rFonts w:ascii="仿宋" w:hAnsi="仿宋" w:eastAsia="仿宋" w:cs="仿宋_GB2312"/>
          <w:sz w:val="32"/>
          <w:szCs w:val="32"/>
        </w:rPr>
        <w:t>1509.02</w:t>
      </w:r>
      <w:r>
        <w:rPr>
          <w:rFonts w:hint="eastAsia" w:ascii="仿宋" w:hAnsi="仿宋" w:eastAsia="仿宋" w:cs="仿宋_GB2312"/>
          <w:sz w:val="32"/>
          <w:szCs w:val="32"/>
        </w:rPr>
        <w:t>万元，占84</w:t>
      </w:r>
      <w:r>
        <w:rPr>
          <w:rFonts w:ascii="仿宋" w:hAnsi="仿宋" w:eastAsia="仿宋" w:cs="仿宋_GB2312"/>
          <w:sz w:val="32"/>
          <w:szCs w:val="32"/>
        </w:rPr>
        <w:t>%</w:t>
      </w:r>
      <w:r>
        <w:rPr>
          <w:rFonts w:hint="eastAsia" w:ascii="仿宋" w:hAnsi="仿宋" w:eastAsia="仿宋" w:cs="仿宋_GB2312"/>
          <w:sz w:val="32"/>
          <w:szCs w:val="32"/>
        </w:rPr>
        <w:t>。</w:t>
      </w:r>
    </w:p>
    <w:p>
      <w:pPr>
        <w:rPr>
          <w:rFonts w:ascii="仿宋" w:hAnsi="仿宋" w:eastAsia="仿宋" w:cs="仿宋_GB2312"/>
          <w:sz w:val="32"/>
          <w:szCs w:val="32"/>
        </w:rPr>
      </w:pPr>
    </w:p>
    <w:p>
      <w:pPr>
        <w:ind w:firstLine="641"/>
        <w:rPr>
          <w:rFonts w:ascii="仿宋" w:hAnsi="仿宋" w:eastAsia="仿宋" w:cs="仿宋_GB2312"/>
          <w:sz w:val="32"/>
          <w:szCs w:val="32"/>
        </w:rPr>
      </w:pPr>
      <w:r>
        <w:rPr>
          <w:rFonts w:hint="eastAsia" w:ascii="仿宋" w:hAnsi="仿宋" w:eastAsia="仿宋" w:cs="仿宋_GB2312"/>
          <w:sz w:val="32"/>
          <w:szCs w:val="32"/>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rPr>
          <w:rFonts w:ascii="仿宋" w:hAnsi="仿宋" w:eastAsia="仿宋" w:cs="仿宋_GB2312"/>
          <w:sz w:val="32"/>
          <w:szCs w:val="32"/>
        </w:rPr>
      </w:pPr>
    </w:p>
    <w:p>
      <w:pPr>
        <w:spacing w:line="600" w:lineRule="exact"/>
        <w:ind w:firstLine="640"/>
      </w:pPr>
      <w:r>
        <w:rPr>
          <w:rFonts w:hint="eastAsia" w:ascii="黑体" w:hAnsi="黑体" w:eastAsia="黑体" w:cs="黑体"/>
          <w:color w:val="000000"/>
          <w:sz w:val="32"/>
          <w:szCs w:val="32"/>
        </w:rPr>
        <w:t>四、财</w:t>
      </w:r>
      <w:r>
        <w:rPr>
          <w:rStyle w:val="18"/>
          <w:rFonts w:hint="eastAsia" w:ascii="黑体" w:hAnsi="黑体" w:eastAsia="黑体" w:cs="黑体"/>
          <w:b w:val="0"/>
        </w:rPr>
        <w:t>政拨款收入支出决算总体情况说明</w:t>
      </w:r>
    </w:p>
    <w:p>
      <w:pPr>
        <w:spacing w:line="600" w:lineRule="exact"/>
        <w:ind w:firstLine="640"/>
        <w:rPr>
          <w:rFonts w:ascii="仿宋" w:hAnsi="仿宋" w:eastAsia="仿宋" w:cs="仿宋_GB2312"/>
          <w:sz w:val="32"/>
          <w:szCs w:val="32"/>
        </w:rPr>
      </w:pPr>
      <w:r>
        <w:rPr>
          <w:rFonts w:hint="eastAsia" w:ascii="仿宋" w:hAnsi="仿宋" w:eastAsia="仿宋" w:cs="仿宋_GB2312"/>
          <w:sz w:val="32"/>
          <w:szCs w:val="32"/>
        </w:rPr>
        <w:t>2021年财政拨款收入、支出总计1</w:t>
      </w:r>
      <w:r>
        <w:rPr>
          <w:rFonts w:ascii="仿宋" w:hAnsi="仿宋" w:eastAsia="仿宋" w:cs="仿宋_GB2312"/>
          <w:sz w:val="32"/>
          <w:szCs w:val="32"/>
        </w:rPr>
        <w:t>796.45万元。</w:t>
      </w:r>
      <w:r>
        <w:rPr>
          <w:rFonts w:hint="eastAsia" w:ascii="仿宋" w:hAnsi="仿宋" w:eastAsia="仿宋" w:cs="仿宋_GB2312"/>
          <w:sz w:val="32"/>
          <w:szCs w:val="32"/>
        </w:rPr>
        <w:t>与2020年相比，财政拨款收入、支出各增加1</w:t>
      </w:r>
      <w:r>
        <w:rPr>
          <w:rFonts w:ascii="仿宋" w:hAnsi="仿宋" w:eastAsia="仿宋" w:cs="仿宋_GB2312"/>
          <w:sz w:val="32"/>
          <w:szCs w:val="32"/>
        </w:rPr>
        <w:t>86.17万元，增长</w:t>
      </w:r>
      <w:r>
        <w:rPr>
          <w:rFonts w:hint="eastAsia" w:ascii="仿宋" w:hAnsi="仿宋" w:eastAsia="仿宋" w:cs="仿宋_GB2312"/>
          <w:sz w:val="32"/>
          <w:szCs w:val="32"/>
        </w:rPr>
        <w:t>1</w:t>
      </w:r>
      <w:r>
        <w:rPr>
          <w:rFonts w:ascii="仿宋" w:hAnsi="仿宋" w:eastAsia="仿宋" w:cs="仿宋_GB2312"/>
          <w:sz w:val="32"/>
          <w:szCs w:val="32"/>
        </w:rPr>
        <w:t>1.5%</w:t>
      </w:r>
      <w:r>
        <w:rPr>
          <w:rFonts w:hint="eastAsia" w:ascii="仿宋" w:hAnsi="仿宋" w:eastAsia="仿宋" w:cs="仿宋_GB2312"/>
          <w:sz w:val="32"/>
          <w:szCs w:val="32"/>
        </w:rPr>
        <w:t>，主要变动原因是本年度人员经费、项目收支增多。</w:t>
      </w:r>
    </w:p>
    <w:p>
      <w:pPr>
        <w:rPr>
          <w:rFonts w:ascii="仿宋" w:hAnsi="仿宋" w:eastAsia="仿宋" w:cs="仿宋_GB2312"/>
          <w:sz w:val="32"/>
          <w:szCs w:val="32"/>
        </w:rPr>
      </w:pPr>
    </w:p>
    <w:p>
      <w:pPr>
        <w:ind w:firstLine="641"/>
        <w:rPr>
          <w:rFonts w:ascii="仿宋" w:hAnsi="仿宋" w:eastAsia="仿宋" w:cs="仿宋_GB2312"/>
          <w:sz w:val="32"/>
          <w:szCs w:val="32"/>
        </w:rPr>
      </w:pPr>
      <w:r>
        <w:rPr>
          <w:rFonts w:hint="eastAsia" w:ascii="仿宋" w:hAnsi="仿宋" w:eastAsia="仿宋" w:cs="仿宋_GB2312"/>
          <w:sz w:val="32"/>
          <w:szCs w:val="32"/>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spacing w:line="600" w:lineRule="exact"/>
        <w:ind w:firstLine="640"/>
      </w:pPr>
      <w:r>
        <w:rPr>
          <w:rFonts w:hint="eastAsia" w:ascii="黑体" w:hAnsi="黑体" w:eastAsia="黑体" w:cs="黑体"/>
          <w:color w:val="000000"/>
          <w:sz w:val="32"/>
          <w:szCs w:val="32"/>
        </w:rPr>
        <w:t>五、</w:t>
      </w:r>
      <w:r>
        <w:rPr>
          <w:rFonts w:hint="eastAsia" w:ascii="黑体" w:hAnsi="黑体" w:eastAsia="黑体" w:cs="黑体"/>
          <w:b/>
          <w:color w:val="000000"/>
          <w:sz w:val="32"/>
          <w:szCs w:val="32"/>
        </w:rPr>
        <w:t>一</w:t>
      </w:r>
      <w:r>
        <w:rPr>
          <w:rStyle w:val="18"/>
          <w:rFonts w:hint="eastAsia" w:ascii="黑体" w:hAnsi="黑体" w:eastAsia="黑体" w:cs="黑体"/>
          <w:b w:val="0"/>
        </w:rPr>
        <w:t>般公共预算财政拨款支出决算情况说明</w:t>
      </w:r>
    </w:p>
    <w:p>
      <w:pPr>
        <w:spacing w:line="600" w:lineRule="exact"/>
        <w:ind w:firstLine="643"/>
      </w:pPr>
      <w:r>
        <w:rPr>
          <w:rFonts w:hint="eastAsia" w:ascii="仿宋" w:hAnsi="仿宋" w:eastAsia="仿宋" w:cs="仿宋"/>
          <w:b/>
          <w:color w:val="000000"/>
          <w:sz w:val="32"/>
          <w:szCs w:val="32"/>
        </w:rPr>
        <w:t>（一）一般公共预算财政拨款支出决算总体情况</w:t>
      </w:r>
    </w:p>
    <w:p>
      <w:pPr>
        <w:spacing w:line="600" w:lineRule="exact"/>
        <w:ind w:firstLine="640"/>
        <w:rPr>
          <w:rFonts w:ascii="仿宋" w:hAnsi="仿宋" w:eastAsia="仿宋" w:cs="仿宋_GB2312"/>
          <w:sz w:val="32"/>
          <w:szCs w:val="32"/>
        </w:rPr>
      </w:pPr>
      <w:r>
        <w:rPr>
          <w:rFonts w:ascii="仿宋" w:hAnsi="仿宋" w:eastAsia="仿宋" w:cs="仿宋_GB2312"/>
          <w:sz w:val="32"/>
          <w:szCs w:val="32"/>
        </w:rPr>
        <w:t>202</w:t>
      </w:r>
      <w:r>
        <w:rPr>
          <w:rFonts w:hint="eastAsia" w:ascii="仿宋" w:hAnsi="仿宋" w:eastAsia="仿宋" w:cs="仿宋_GB2312"/>
          <w:sz w:val="32"/>
          <w:szCs w:val="32"/>
        </w:rPr>
        <w:t>1年一般公共预算财政拨款支出1758.56万元，占本年支出合计的97.9</w:t>
      </w:r>
      <w:r>
        <w:rPr>
          <w:rFonts w:hint="eastAsia" w:ascii="仿宋" w:hAnsi="仿宋" w:eastAsia="仿宋" w:cs="仿宋_GB2312"/>
          <w:sz w:val="32"/>
          <w:szCs w:val="32"/>
          <w:lang w:val="en-US" w:eastAsia="zh-CN"/>
        </w:rPr>
        <w:t>0</w:t>
      </w:r>
      <w:r>
        <w:rPr>
          <w:rFonts w:ascii="仿宋" w:hAnsi="仿宋" w:eastAsia="仿宋" w:cs="仿宋_GB2312"/>
          <w:sz w:val="32"/>
          <w:szCs w:val="32"/>
        </w:rPr>
        <w:t>%</w:t>
      </w:r>
      <w:r>
        <w:rPr>
          <w:rFonts w:hint="eastAsia" w:ascii="仿宋" w:hAnsi="仿宋" w:eastAsia="仿宋" w:cs="仿宋_GB2312"/>
          <w:sz w:val="32"/>
          <w:szCs w:val="32"/>
        </w:rPr>
        <w:t>。与</w:t>
      </w:r>
      <w:r>
        <w:rPr>
          <w:rFonts w:ascii="仿宋" w:hAnsi="仿宋" w:eastAsia="仿宋" w:cs="仿宋_GB2312"/>
          <w:sz w:val="32"/>
          <w:szCs w:val="32"/>
        </w:rPr>
        <w:t>20</w:t>
      </w:r>
      <w:r>
        <w:rPr>
          <w:rFonts w:hint="eastAsia" w:ascii="仿宋" w:hAnsi="仿宋" w:eastAsia="仿宋" w:cs="仿宋_GB2312"/>
          <w:sz w:val="32"/>
          <w:szCs w:val="32"/>
        </w:rPr>
        <w:t>20年相比，一般公共预算财政拨款支出增加365.83万元，</w:t>
      </w:r>
      <w:r>
        <w:rPr>
          <w:rFonts w:hint="eastAsia" w:ascii="仿宋" w:hAnsi="仿宋" w:eastAsia="仿宋" w:cs="仿宋_GB2312"/>
          <w:sz w:val="32"/>
          <w:szCs w:val="32"/>
          <w:lang w:eastAsia="zh-CN"/>
        </w:rPr>
        <w:t>增长</w:t>
      </w:r>
      <w:r>
        <w:rPr>
          <w:rFonts w:hint="eastAsia" w:ascii="仿宋" w:hAnsi="仿宋" w:eastAsia="仿宋" w:cs="仿宋_GB2312"/>
          <w:sz w:val="32"/>
          <w:szCs w:val="32"/>
        </w:rPr>
        <w:t>26.</w:t>
      </w:r>
      <w:r>
        <w:rPr>
          <w:rFonts w:hint="eastAsia" w:ascii="仿宋" w:hAnsi="仿宋" w:eastAsia="仿宋" w:cs="仿宋_GB2312"/>
          <w:sz w:val="32"/>
          <w:szCs w:val="32"/>
          <w:lang w:val="en-US" w:eastAsia="zh-CN"/>
        </w:rPr>
        <w:t>00</w:t>
      </w:r>
      <w:r>
        <w:rPr>
          <w:rFonts w:ascii="仿宋" w:hAnsi="仿宋" w:eastAsia="仿宋" w:cs="仿宋_GB2312"/>
          <w:sz w:val="32"/>
          <w:szCs w:val="32"/>
        </w:rPr>
        <w:t>%</w:t>
      </w:r>
      <w:r>
        <w:rPr>
          <w:rFonts w:hint="eastAsia" w:ascii="仿宋" w:hAnsi="仿宋" w:eastAsia="仿宋" w:cs="仿宋_GB2312"/>
          <w:sz w:val="32"/>
          <w:szCs w:val="32"/>
        </w:rPr>
        <w:t>。主要变动原因是本年度项目收入及人员经费增多。</w:t>
      </w:r>
    </w:p>
    <w:p>
      <w:pPr>
        <w:rPr>
          <w:rFonts w:ascii="仿宋" w:hAnsi="仿宋" w:eastAsia="仿宋" w:cs="仿宋_GB2312"/>
          <w:sz w:val="32"/>
          <w:szCs w:val="32"/>
        </w:rPr>
      </w:pPr>
    </w:p>
    <w:p>
      <w:pPr>
        <w:rPr>
          <w:rFonts w:ascii="仿宋" w:hAnsi="仿宋" w:eastAsia="仿宋" w:cs="仿宋_GB2312"/>
          <w:sz w:val="32"/>
          <w:szCs w:val="32"/>
        </w:rPr>
      </w:pPr>
      <w:r>
        <w:rPr>
          <w:rFonts w:ascii="仿宋" w:hAnsi="仿宋" w:eastAsia="仿宋" w:cs="仿宋_GB2312"/>
          <w:sz w:val="32"/>
          <w:szCs w:val="32"/>
        </w:rPr>
        <w:drawing>
          <wp:inline distT="0" distB="0" distL="0" distR="0">
            <wp:extent cx="5274310" cy="3076575"/>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pPr>
      <w:r>
        <w:rPr>
          <w:rFonts w:hint="eastAsia" w:ascii="仿宋" w:hAnsi="仿宋" w:eastAsia="仿宋" w:cs="仿宋"/>
          <w:b/>
          <w:color w:val="000000"/>
          <w:sz w:val="32"/>
          <w:szCs w:val="32"/>
        </w:rPr>
        <w:t>（二）一般公共预算财政拨款支出决算结构情况</w:t>
      </w:r>
    </w:p>
    <w:p>
      <w:pPr>
        <w:spacing w:line="600" w:lineRule="exact"/>
        <w:ind w:firstLine="640"/>
        <w:rPr>
          <w:rFonts w:ascii="仿宋" w:hAnsi="仿宋" w:eastAsia="仿宋" w:cs="仿宋"/>
          <w:color w:val="000000"/>
          <w:sz w:val="32"/>
          <w:szCs w:val="32"/>
        </w:rPr>
      </w:pPr>
      <w:r>
        <w:rPr>
          <w:rFonts w:ascii="仿宋" w:hAnsi="仿宋" w:eastAsia="仿宋" w:cs="仿宋"/>
          <w:color w:val="000000"/>
          <w:sz w:val="32"/>
          <w:szCs w:val="32"/>
        </w:rPr>
        <w:t>202</w:t>
      </w:r>
      <w:r>
        <w:rPr>
          <w:rFonts w:hint="eastAsia" w:ascii="仿宋" w:hAnsi="仿宋" w:eastAsia="仿宋" w:cs="仿宋"/>
          <w:color w:val="000000"/>
          <w:sz w:val="32"/>
          <w:szCs w:val="32"/>
        </w:rPr>
        <w:t>1年一般公共预算财政拨款支出</w:t>
      </w:r>
      <w:r>
        <w:rPr>
          <w:rFonts w:ascii="宋体" w:hAnsi="宋体" w:cs="仿宋_GB2312"/>
          <w:sz w:val="32"/>
          <w:szCs w:val="32"/>
        </w:rPr>
        <w:t>1759.24</w:t>
      </w:r>
      <w:r>
        <w:rPr>
          <w:rFonts w:hint="eastAsia" w:ascii="仿宋" w:hAnsi="仿宋" w:eastAsia="仿宋" w:cs="仿宋"/>
          <w:color w:val="000000"/>
          <w:sz w:val="32"/>
          <w:szCs w:val="32"/>
        </w:rPr>
        <w:t>万元，主要用于以下方面</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 xml:space="preserve"> 一般公共服务支出0.08万元，占0.01%；社会保障和就业支出</w:t>
      </w:r>
      <w:r>
        <w:rPr>
          <w:rFonts w:ascii="仿宋" w:hAnsi="仿宋" w:eastAsia="仿宋" w:cs="仿宋"/>
          <w:color w:val="000000"/>
          <w:sz w:val="32"/>
          <w:szCs w:val="32"/>
        </w:rPr>
        <w:t>211.38</w:t>
      </w:r>
      <w:r>
        <w:rPr>
          <w:rFonts w:hint="eastAsia" w:ascii="仿宋" w:hAnsi="仿宋" w:eastAsia="仿宋" w:cs="仿宋"/>
          <w:color w:val="000000"/>
          <w:sz w:val="32"/>
          <w:szCs w:val="32"/>
        </w:rPr>
        <w:t>万元，占12.01%；卫生健康支出</w:t>
      </w:r>
      <w:r>
        <w:rPr>
          <w:rFonts w:ascii="仿宋" w:hAnsi="仿宋" w:eastAsia="仿宋" w:cs="仿宋"/>
          <w:color w:val="000000"/>
          <w:sz w:val="32"/>
          <w:szCs w:val="32"/>
        </w:rPr>
        <w:t>1434.62</w:t>
      </w:r>
      <w:r>
        <w:rPr>
          <w:rFonts w:hint="eastAsia" w:ascii="仿宋" w:hAnsi="仿宋" w:eastAsia="仿宋" w:cs="仿宋"/>
          <w:color w:val="000000"/>
          <w:sz w:val="32"/>
          <w:szCs w:val="32"/>
        </w:rPr>
        <w:t>万元，占81.55%；农林水支出</w:t>
      </w:r>
      <w:r>
        <w:rPr>
          <w:rFonts w:ascii="仿宋" w:hAnsi="仿宋" w:eastAsia="仿宋" w:cs="仿宋"/>
          <w:color w:val="000000"/>
          <w:sz w:val="32"/>
          <w:szCs w:val="32"/>
        </w:rPr>
        <w:t>86.78</w:t>
      </w:r>
      <w:r>
        <w:rPr>
          <w:rFonts w:hint="eastAsia" w:ascii="仿宋" w:hAnsi="仿宋" w:eastAsia="仿宋" w:cs="仿宋"/>
          <w:color w:val="000000"/>
          <w:sz w:val="32"/>
          <w:szCs w:val="32"/>
        </w:rPr>
        <w:t>万元，占4.93%；住房保障支出</w:t>
      </w:r>
      <w:r>
        <w:rPr>
          <w:rFonts w:ascii="仿宋" w:hAnsi="仿宋" w:eastAsia="仿宋" w:cs="仿宋"/>
          <w:color w:val="000000"/>
          <w:sz w:val="32"/>
          <w:szCs w:val="32"/>
        </w:rPr>
        <w:t>26.37</w:t>
      </w:r>
      <w:r>
        <w:rPr>
          <w:rFonts w:hint="eastAsia" w:ascii="仿宋" w:hAnsi="仿宋" w:eastAsia="仿宋" w:cs="仿宋"/>
          <w:color w:val="000000"/>
          <w:sz w:val="32"/>
          <w:szCs w:val="32"/>
        </w:rPr>
        <w:t>万元，占1.5%。</w:t>
      </w:r>
    </w:p>
    <w:p>
      <w:pPr>
        <w:rPr>
          <w:rFonts w:ascii="仿宋" w:hAnsi="仿宋" w:eastAsia="仿宋" w:cs="仿宋"/>
          <w:color w:val="000000"/>
          <w:sz w:val="32"/>
          <w:szCs w:val="32"/>
        </w:rPr>
      </w:pPr>
    </w:p>
    <w:p>
      <w:pPr>
        <w:rPr>
          <w:rFonts w:ascii="仿宋" w:hAnsi="仿宋" w:eastAsia="仿宋" w:cs="仿宋"/>
          <w:color w:val="000000"/>
          <w:sz w:val="32"/>
          <w:szCs w:val="32"/>
        </w:rPr>
      </w:pPr>
      <w:r>
        <w:rPr>
          <w:rFonts w:hint="eastAsia" w:ascii="仿宋" w:hAnsi="仿宋" w:eastAsia="仿宋" w:cs="仿宋"/>
          <w:color w:val="000000"/>
          <w:sz w:val="32"/>
          <w:szCs w:val="32"/>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ascii="仿宋" w:hAnsi="仿宋" w:eastAsia="仿宋" w:cs="仿宋"/>
          <w:color w:val="000000"/>
          <w:sz w:val="32"/>
          <w:szCs w:val="32"/>
        </w:rPr>
      </w:pPr>
    </w:p>
    <w:p>
      <w:pPr>
        <w:spacing w:line="600" w:lineRule="exact"/>
        <w:ind w:firstLine="643"/>
      </w:pPr>
      <w:r>
        <w:rPr>
          <w:rFonts w:hint="eastAsia" w:ascii="仿宋" w:hAnsi="仿宋" w:eastAsia="仿宋" w:cs="仿宋"/>
          <w:b/>
          <w:color w:val="000000"/>
          <w:sz w:val="32"/>
          <w:szCs w:val="32"/>
        </w:rPr>
        <w:t>（三）一般公共预算财政拨款支出决算具体情况</w:t>
      </w:r>
    </w:p>
    <w:p>
      <w:pPr>
        <w:spacing w:line="600" w:lineRule="exact"/>
        <w:ind w:firstLine="643"/>
      </w:pPr>
      <w:r>
        <w:rPr>
          <w:rFonts w:ascii="仿宋" w:hAnsi="仿宋" w:eastAsia="仿宋" w:cs="仿宋"/>
          <w:b/>
          <w:color w:val="000000"/>
          <w:sz w:val="32"/>
          <w:szCs w:val="32"/>
        </w:rPr>
        <w:t>202</w:t>
      </w:r>
      <w:r>
        <w:rPr>
          <w:rFonts w:hint="eastAsia" w:ascii="仿宋" w:hAnsi="仿宋" w:eastAsia="仿宋" w:cs="仿宋"/>
          <w:b/>
          <w:color w:val="000000"/>
          <w:sz w:val="32"/>
          <w:szCs w:val="32"/>
        </w:rPr>
        <w:t>1年一般公共预算支出决算数为</w:t>
      </w:r>
      <w:r>
        <w:rPr>
          <w:rFonts w:ascii="宋体" w:hAnsi="宋体" w:cs="仿宋_GB2312"/>
          <w:sz w:val="32"/>
          <w:szCs w:val="32"/>
        </w:rPr>
        <w:t>1759.24</w:t>
      </w:r>
      <w:r>
        <w:rPr>
          <w:rFonts w:hint="eastAsia" w:ascii="仿宋" w:hAnsi="仿宋" w:eastAsia="仿宋" w:cs="仿宋"/>
          <w:b/>
          <w:color w:val="000000"/>
          <w:sz w:val="32"/>
          <w:szCs w:val="32"/>
        </w:rPr>
        <w:t>万元</w:t>
      </w:r>
      <w:r>
        <w:rPr>
          <w:rFonts w:hint="eastAsia" w:ascii="仿宋" w:hAnsi="仿宋" w:eastAsia="仿宋" w:cs="仿宋"/>
          <w:color w:val="000000"/>
          <w:sz w:val="32"/>
          <w:szCs w:val="32"/>
        </w:rPr>
        <w:t>，</w:t>
      </w:r>
      <w:r>
        <w:rPr>
          <w:rStyle w:val="14"/>
          <w:rFonts w:hint="eastAsia" w:ascii="仿宋" w:hAnsi="仿宋" w:eastAsia="仿宋" w:cs="仿宋"/>
          <w:bCs/>
          <w:color w:val="000000"/>
          <w:sz w:val="32"/>
          <w:szCs w:val="32"/>
        </w:rPr>
        <w:t>完成调整预算数的100</w:t>
      </w:r>
      <w:r>
        <w:rPr>
          <w:rStyle w:val="14"/>
          <w:rFonts w:ascii="仿宋" w:hAnsi="仿宋" w:eastAsia="仿宋" w:cs="仿宋"/>
          <w:bCs/>
          <w:color w:val="000000"/>
          <w:sz w:val="32"/>
          <w:szCs w:val="32"/>
        </w:rPr>
        <w:t>%</w:t>
      </w:r>
      <w:r>
        <w:rPr>
          <w:rStyle w:val="14"/>
          <w:rFonts w:hint="eastAsia" w:ascii="仿宋" w:hAnsi="仿宋" w:eastAsia="仿宋" w:cs="仿宋"/>
          <w:bCs/>
          <w:color w:val="000000"/>
          <w:sz w:val="32"/>
          <w:szCs w:val="32"/>
        </w:rPr>
        <w:t>。其中：</w:t>
      </w:r>
    </w:p>
    <w:p>
      <w:pPr>
        <w:spacing w:line="600" w:lineRule="exact"/>
        <w:ind w:firstLine="643"/>
      </w:pPr>
      <w:r>
        <w:rPr>
          <w:rStyle w:val="14"/>
          <w:rFonts w:ascii="仿宋" w:hAnsi="仿宋" w:eastAsia="仿宋" w:cs="仿宋"/>
          <w:bCs/>
          <w:color w:val="000000"/>
          <w:sz w:val="32"/>
          <w:szCs w:val="32"/>
        </w:rPr>
        <w:t>1.</w:t>
      </w:r>
      <w:r>
        <w:rPr>
          <w:rStyle w:val="14"/>
          <w:rFonts w:hint="eastAsia" w:ascii="仿宋" w:hAnsi="仿宋" w:eastAsia="仿宋" w:cs="仿宋"/>
          <w:bCs/>
          <w:color w:val="000000"/>
          <w:sz w:val="32"/>
          <w:szCs w:val="32"/>
        </w:rPr>
        <w:t>一般公共服务（类）财政事务（款） 信息化建设（项）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 w:val="0"/>
          <w:bCs/>
          <w:color w:val="000000"/>
          <w:sz w:val="32"/>
          <w:szCs w:val="32"/>
        </w:rPr>
        <w:t>支出决算为0.08万元，完成调整预算100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w:t>
      </w:r>
    </w:p>
    <w:p>
      <w:pPr>
        <w:spacing w:line="600" w:lineRule="exact"/>
        <w:ind w:firstLine="643"/>
      </w:pPr>
      <w:r>
        <w:rPr>
          <w:rStyle w:val="14"/>
          <w:rFonts w:hint="eastAsia" w:ascii="仿宋" w:hAnsi="仿宋" w:eastAsia="仿宋" w:cs="仿宋"/>
          <w:bCs/>
          <w:color w:val="000000"/>
          <w:sz w:val="32"/>
          <w:szCs w:val="32"/>
        </w:rPr>
        <w:t>2</w:t>
      </w:r>
      <w:r>
        <w:rPr>
          <w:rStyle w:val="14"/>
          <w:rFonts w:ascii="仿宋" w:hAnsi="仿宋" w:eastAsia="仿宋" w:cs="仿宋"/>
          <w:bCs/>
          <w:color w:val="000000"/>
          <w:sz w:val="32"/>
          <w:szCs w:val="32"/>
        </w:rPr>
        <w:t>.</w:t>
      </w:r>
      <w:r>
        <w:rPr>
          <w:rStyle w:val="14"/>
          <w:rFonts w:hint="eastAsia" w:ascii="仿宋" w:hAnsi="仿宋" w:eastAsia="仿宋" w:cs="仿宋"/>
          <w:bCs/>
          <w:color w:val="000000"/>
          <w:sz w:val="32"/>
          <w:szCs w:val="32"/>
        </w:rPr>
        <w:t>社会保障和就业（类）行政事业单位养老支出（款）  行政单位离退休（项）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 w:val="0"/>
          <w:bCs/>
          <w:color w:val="000000"/>
          <w:sz w:val="32"/>
          <w:szCs w:val="32"/>
        </w:rPr>
        <w:t>支出决算为</w:t>
      </w:r>
      <w:r>
        <w:rPr>
          <w:rStyle w:val="14"/>
          <w:rFonts w:ascii="仿宋" w:hAnsi="仿宋" w:eastAsia="仿宋" w:cs="仿宋"/>
          <w:b w:val="0"/>
          <w:bCs/>
          <w:color w:val="000000"/>
          <w:sz w:val="32"/>
          <w:szCs w:val="32"/>
        </w:rPr>
        <w:t>1.43</w:t>
      </w:r>
      <w:r>
        <w:rPr>
          <w:rStyle w:val="14"/>
          <w:rFonts w:hint="eastAsia" w:ascii="仿宋" w:hAnsi="仿宋" w:eastAsia="仿宋" w:cs="仿宋"/>
          <w:b w:val="0"/>
          <w:bCs/>
          <w:color w:val="000000"/>
          <w:sz w:val="32"/>
          <w:szCs w:val="32"/>
        </w:rPr>
        <w:t>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，决算数等于调整预算数的；</w:t>
      </w:r>
      <w:r>
        <w:rPr>
          <w:rStyle w:val="14"/>
          <w:rFonts w:hint="eastAsia" w:ascii="仿宋" w:hAnsi="仿宋" w:eastAsia="仿宋" w:cs="仿宋"/>
          <w:bCs/>
          <w:color w:val="000000"/>
          <w:sz w:val="32"/>
          <w:szCs w:val="32"/>
        </w:rPr>
        <w:t>机关事业单位基本养老保险缴费支出（项）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 w:val="0"/>
          <w:bCs/>
          <w:color w:val="000000"/>
          <w:sz w:val="32"/>
          <w:szCs w:val="32"/>
        </w:rPr>
        <w:t>支出决算为</w:t>
      </w:r>
      <w:r>
        <w:rPr>
          <w:rStyle w:val="14"/>
          <w:rFonts w:ascii="仿宋" w:hAnsi="仿宋" w:eastAsia="仿宋" w:cs="仿宋"/>
          <w:b w:val="0"/>
          <w:bCs/>
          <w:color w:val="000000"/>
          <w:sz w:val="32"/>
          <w:szCs w:val="32"/>
        </w:rPr>
        <w:t>18.62</w:t>
      </w:r>
      <w:r>
        <w:rPr>
          <w:rStyle w:val="14"/>
          <w:rFonts w:hint="eastAsia" w:ascii="仿宋" w:hAnsi="仿宋" w:eastAsia="仿宋" w:cs="仿宋"/>
          <w:b w:val="0"/>
          <w:bCs/>
          <w:color w:val="000000"/>
          <w:sz w:val="32"/>
          <w:szCs w:val="32"/>
        </w:rPr>
        <w:t>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，决算数等于调整预算数的；</w:t>
      </w:r>
      <w:r>
        <w:rPr>
          <w:rStyle w:val="14"/>
          <w:rFonts w:hint="eastAsia" w:ascii="仿宋" w:hAnsi="仿宋" w:eastAsia="仿宋" w:cs="仿宋"/>
          <w:bCs/>
          <w:color w:val="000000"/>
          <w:sz w:val="32"/>
          <w:szCs w:val="32"/>
        </w:rPr>
        <w:t>机关事业单位职业年金缴费支出（项）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 w:val="0"/>
          <w:bCs/>
          <w:color w:val="000000"/>
          <w:sz w:val="32"/>
          <w:szCs w:val="32"/>
        </w:rPr>
        <w:t>支出决算为</w:t>
      </w:r>
      <w:r>
        <w:rPr>
          <w:rStyle w:val="14"/>
          <w:rFonts w:ascii="仿宋" w:hAnsi="仿宋" w:eastAsia="仿宋" w:cs="仿宋"/>
          <w:b w:val="0"/>
          <w:bCs/>
          <w:color w:val="000000"/>
          <w:sz w:val="32"/>
          <w:szCs w:val="32"/>
        </w:rPr>
        <w:t>3.92</w:t>
      </w:r>
      <w:r>
        <w:rPr>
          <w:rStyle w:val="14"/>
          <w:rFonts w:hint="eastAsia" w:ascii="仿宋" w:hAnsi="仿宋" w:eastAsia="仿宋" w:cs="仿宋"/>
          <w:b w:val="0"/>
          <w:bCs/>
          <w:color w:val="000000"/>
          <w:sz w:val="32"/>
          <w:szCs w:val="32"/>
        </w:rPr>
        <w:t>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，决算数等于调整预算数的；</w:t>
      </w:r>
      <w:r>
        <w:rPr>
          <w:rStyle w:val="14"/>
          <w:rFonts w:hint="eastAsia" w:ascii="仿宋" w:hAnsi="仿宋" w:eastAsia="仿宋" w:cs="仿宋"/>
          <w:bCs/>
          <w:color w:val="000000"/>
          <w:sz w:val="32"/>
          <w:szCs w:val="32"/>
        </w:rPr>
        <w:t>财政代缴社会保险费支出（款）财政代缴其他社会保险费支出（项）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 w:val="0"/>
          <w:bCs/>
          <w:color w:val="000000"/>
          <w:sz w:val="32"/>
          <w:szCs w:val="32"/>
        </w:rPr>
        <w:t>支出决算为187.41万元，完成调整预算100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，决算数等于调整预算数的。</w:t>
      </w:r>
    </w:p>
    <w:p>
      <w:pPr>
        <w:spacing w:line="600" w:lineRule="exact"/>
        <w:ind w:firstLine="643"/>
      </w:pPr>
      <w:r>
        <w:rPr>
          <w:rStyle w:val="14"/>
          <w:rFonts w:hint="eastAsia" w:ascii="仿宋" w:hAnsi="仿宋" w:eastAsia="仿宋" w:cs="仿宋"/>
          <w:bCs/>
          <w:color w:val="000000"/>
          <w:sz w:val="32"/>
          <w:szCs w:val="32"/>
        </w:rPr>
        <w:t>3</w:t>
      </w:r>
      <w:r>
        <w:rPr>
          <w:rStyle w:val="14"/>
          <w:rFonts w:ascii="仿宋" w:hAnsi="仿宋" w:eastAsia="仿宋" w:cs="仿宋"/>
          <w:bCs/>
          <w:color w:val="000000"/>
          <w:sz w:val="32"/>
          <w:szCs w:val="32"/>
        </w:rPr>
        <w:t>.</w:t>
      </w:r>
      <w:r>
        <w:rPr>
          <w:rFonts w:hint="eastAsia" w:ascii="仿宋" w:hAnsi="仿宋" w:eastAsia="仿宋" w:cs="仿宋"/>
          <w:b/>
          <w:bCs/>
          <w:color w:val="000000"/>
          <w:sz w:val="32"/>
          <w:szCs w:val="32"/>
        </w:rPr>
        <w:t>卫生健康</w:t>
      </w:r>
      <w:r>
        <w:rPr>
          <w:rStyle w:val="14"/>
          <w:rFonts w:hint="eastAsia" w:ascii="仿宋" w:hAnsi="仿宋" w:eastAsia="仿宋" w:cs="仿宋"/>
          <w:bCs/>
          <w:color w:val="000000"/>
          <w:sz w:val="32"/>
          <w:szCs w:val="32"/>
        </w:rPr>
        <w:t>（类）行政事业单位医疗（款）  行政单位医疗（项）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 w:val="0"/>
          <w:bCs/>
          <w:color w:val="000000"/>
          <w:sz w:val="32"/>
          <w:szCs w:val="32"/>
        </w:rPr>
        <w:t>支出决算为</w:t>
      </w:r>
      <w:r>
        <w:rPr>
          <w:rStyle w:val="14"/>
          <w:rFonts w:ascii="仿宋" w:hAnsi="仿宋" w:eastAsia="仿宋" w:cs="仿宋"/>
          <w:b w:val="0"/>
          <w:bCs/>
          <w:color w:val="000000"/>
          <w:sz w:val="32"/>
          <w:szCs w:val="32"/>
        </w:rPr>
        <w:t>13</w:t>
      </w:r>
      <w:r>
        <w:rPr>
          <w:rStyle w:val="14"/>
          <w:rFonts w:hint="eastAsia" w:ascii="仿宋" w:hAnsi="仿宋" w:eastAsia="仿宋" w:cs="仿宋"/>
          <w:b w:val="0"/>
          <w:bCs/>
          <w:color w:val="000000"/>
          <w:sz w:val="32"/>
          <w:szCs w:val="32"/>
        </w:rPr>
        <w:t>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w:t>
      </w:r>
      <w:r>
        <w:rPr>
          <w:rStyle w:val="14"/>
          <w:rFonts w:hint="eastAsia" w:ascii="仿宋" w:hAnsi="仿宋" w:eastAsia="仿宋" w:cs="仿宋"/>
          <w:bCs/>
          <w:color w:val="000000"/>
          <w:sz w:val="32"/>
          <w:szCs w:val="32"/>
        </w:rPr>
        <w:t>事业单位医疗（项）</w:t>
      </w:r>
      <w:r>
        <w:rPr>
          <w:rStyle w:val="14"/>
          <w:rFonts w:hint="eastAsia" w:ascii="仿宋" w:hAnsi="仿宋" w:eastAsia="仿宋" w:cs="仿宋"/>
          <w:b w:val="0"/>
          <w:bCs/>
          <w:color w:val="000000"/>
          <w:sz w:val="32"/>
          <w:szCs w:val="32"/>
        </w:rPr>
        <w:t>：支出决算为1</w:t>
      </w:r>
      <w:r>
        <w:rPr>
          <w:rFonts w:hint="eastAsia" w:ascii="仿宋" w:hAnsi="仿宋" w:eastAsia="仿宋" w:cs="仿宋"/>
          <w:color w:val="000000"/>
          <w:sz w:val="32"/>
          <w:szCs w:val="32"/>
        </w:rPr>
        <w:t>.28</w:t>
      </w:r>
      <w:r>
        <w:rPr>
          <w:rStyle w:val="14"/>
          <w:rFonts w:hint="eastAsia" w:ascii="仿宋" w:hAnsi="仿宋" w:eastAsia="仿宋" w:cs="仿宋"/>
          <w:b w:val="0"/>
          <w:bCs/>
          <w:color w:val="000000"/>
          <w:sz w:val="32"/>
          <w:szCs w:val="32"/>
        </w:rPr>
        <w:t>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w:t>
      </w:r>
      <w:r>
        <w:rPr>
          <w:rStyle w:val="14"/>
          <w:rFonts w:hint="eastAsia" w:ascii="仿宋" w:hAnsi="仿宋" w:eastAsia="仿宋" w:cs="仿宋"/>
          <w:bCs/>
          <w:color w:val="000000"/>
          <w:sz w:val="32"/>
          <w:szCs w:val="32"/>
        </w:rPr>
        <w:t>公务员医疗补助（项）：</w:t>
      </w:r>
      <w:r>
        <w:rPr>
          <w:rStyle w:val="14"/>
          <w:rFonts w:hint="eastAsia" w:ascii="仿宋" w:hAnsi="仿宋" w:eastAsia="仿宋" w:cs="仿宋"/>
          <w:b w:val="0"/>
          <w:bCs/>
          <w:color w:val="000000"/>
          <w:sz w:val="32"/>
          <w:szCs w:val="32"/>
        </w:rPr>
        <w:t>支出决算为</w:t>
      </w:r>
      <w:r>
        <w:rPr>
          <w:rFonts w:ascii="仿宋" w:hAnsi="仿宋" w:eastAsia="仿宋" w:cs="仿宋"/>
          <w:color w:val="000000"/>
          <w:sz w:val="32"/>
          <w:szCs w:val="32"/>
        </w:rPr>
        <w:t>0.</w:t>
      </w:r>
      <w:r>
        <w:rPr>
          <w:rFonts w:hint="eastAsia" w:ascii="仿宋" w:hAnsi="仿宋" w:eastAsia="仿宋" w:cs="仿宋"/>
          <w:color w:val="000000"/>
          <w:sz w:val="32"/>
          <w:szCs w:val="32"/>
        </w:rPr>
        <w:t>72</w:t>
      </w:r>
      <w:r>
        <w:rPr>
          <w:rStyle w:val="14"/>
          <w:rFonts w:hint="eastAsia" w:ascii="仿宋" w:hAnsi="仿宋" w:eastAsia="仿宋" w:cs="仿宋"/>
          <w:b w:val="0"/>
          <w:bCs/>
          <w:color w:val="000000"/>
          <w:sz w:val="32"/>
          <w:szCs w:val="32"/>
        </w:rPr>
        <w:t>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w:t>
      </w:r>
      <w:r>
        <w:rPr>
          <w:rStyle w:val="14"/>
          <w:rFonts w:hint="eastAsia" w:ascii="仿宋" w:hAnsi="仿宋" w:eastAsia="仿宋" w:cs="仿宋"/>
          <w:bCs/>
          <w:color w:val="000000"/>
          <w:sz w:val="32"/>
          <w:szCs w:val="32"/>
        </w:rPr>
        <w:t>医疗救助（款）城乡医疗救助（项）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 w:val="0"/>
          <w:bCs/>
          <w:color w:val="000000"/>
          <w:sz w:val="32"/>
          <w:szCs w:val="32"/>
        </w:rPr>
        <w:t>支出决算为630.48万元，完成调整预算100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w:t>
      </w:r>
      <w:r>
        <w:rPr>
          <w:rStyle w:val="14"/>
          <w:rFonts w:hint="eastAsia" w:ascii="仿宋" w:hAnsi="仿宋" w:eastAsia="仿宋" w:cs="仿宋"/>
          <w:bCs/>
          <w:color w:val="000000"/>
          <w:sz w:val="32"/>
          <w:szCs w:val="32"/>
        </w:rPr>
        <w:t>医疗保障管理事务（款）行政运行（项）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 w:val="0"/>
          <w:bCs/>
          <w:color w:val="000000"/>
          <w:sz w:val="32"/>
          <w:szCs w:val="32"/>
        </w:rPr>
        <w:t>支出决算为205.8万元，完成调整预算100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w:t>
      </w:r>
      <w:r>
        <w:rPr>
          <w:rStyle w:val="14"/>
          <w:rFonts w:hint="eastAsia" w:ascii="仿宋" w:hAnsi="仿宋" w:eastAsia="仿宋" w:cs="仿宋"/>
          <w:bCs/>
          <w:color w:val="000000"/>
          <w:sz w:val="32"/>
          <w:szCs w:val="32"/>
        </w:rPr>
        <w:t>信息化建设（项）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 w:val="0"/>
          <w:bCs/>
          <w:color w:val="000000"/>
          <w:sz w:val="32"/>
          <w:szCs w:val="32"/>
        </w:rPr>
        <w:t>支出决算为7.2万元，完成调整预算100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w:t>
      </w:r>
      <w:r>
        <w:rPr>
          <w:rStyle w:val="14"/>
          <w:rFonts w:hint="eastAsia" w:ascii="仿宋" w:hAnsi="仿宋" w:eastAsia="仿宋" w:cs="仿宋"/>
          <w:bCs/>
          <w:color w:val="000000"/>
          <w:sz w:val="32"/>
          <w:szCs w:val="32"/>
        </w:rPr>
        <w:t>事业运行（项）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 w:val="0"/>
          <w:bCs/>
          <w:color w:val="000000"/>
          <w:sz w:val="32"/>
          <w:szCs w:val="32"/>
        </w:rPr>
        <w:t>支出决算为16.29万元，完成调整预算100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w:t>
      </w:r>
      <w:r>
        <w:rPr>
          <w:rStyle w:val="14"/>
          <w:rFonts w:hint="eastAsia" w:ascii="仿宋" w:hAnsi="仿宋" w:eastAsia="仿宋" w:cs="仿宋"/>
          <w:bCs/>
          <w:color w:val="000000"/>
          <w:sz w:val="32"/>
          <w:szCs w:val="32"/>
        </w:rPr>
        <w:t>其他医疗保障管理事务支出（项）</w:t>
      </w:r>
      <w:r>
        <w:rPr>
          <w:rStyle w:val="14"/>
          <w:rFonts w:hint="eastAsia" w:ascii="仿宋" w:hAnsi="仿宋" w:eastAsia="仿宋" w:cs="仿宋"/>
          <w:bCs/>
          <w:color w:val="000000"/>
          <w:sz w:val="32"/>
          <w:szCs w:val="32"/>
          <w:lang w:eastAsia="zh-CN"/>
        </w:rPr>
        <w:t>：</w:t>
      </w:r>
      <w:r>
        <w:rPr>
          <w:rStyle w:val="14"/>
          <w:rFonts w:hint="eastAsia" w:ascii="仿宋" w:hAnsi="仿宋" w:eastAsia="仿宋" w:cs="仿宋"/>
          <w:b w:val="0"/>
          <w:bCs/>
          <w:color w:val="000000"/>
          <w:sz w:val="32"/>
          <w:szCs w:val="32"/>
        </w:rPr>
        <w:t>支出决算为559.85万元，完成调整预算100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w:t>
      </w:r>
    </w:p>
    <w:p>
      <w:pPr>
        <w:spacing w:line="600" w:lineRule="exact"/>
        <w:ind w:firstLine="643"/>
      </w:pPr>
      <w:r>
        <w:rPr>
          <w:rStyle w:val="14"/>
          <w:rFonts w:hint="eastAsia" w:ascii="仿宋" w:hAnsi="仿宋" w:eastAsia="仿宋" w:cs="仿宋"/>
          <w:color w:val="000000"/>
          <w:sz w:val="32"/>
          <w:szCs w:val="32"/>
        </w:rPr>
        <w:t>4</w:t>
      </w:r>
      <w:r>
        <w:rPr>
          <w:rStyle w:val="14"/>
          <w:rFonts w:ascii="仿宋" w:hAnsi="仿宋" w:eastAsia="仿宋" w:cs="仿宋"/>
          <w:color w:val="000000"/>
          <w:sz w:val="32"/>
          <w:szCs w:val="32"/>
        </w:rPr>
        <w:t>.</w:t>
      </w:r>
      <w:r>
        <w:rPr>
          <w:rFonts w:hint="eastAsia" w:ascii="仿宋" w:hAnsi="仿宋" w:eastAsia="仿宋" w:cs="仿宋"/>
          <w:b/>
          <w:bCs/>
          <w:color w:val="000000"/>
          <w:sz w:val="32"/>
          <w:szCs w:val="32"/>
        </w:rPr>
        <w:t>农林水支出（类）扶贫（款）其他扶贫支出（项）</w:t>
      </w:r>
      <w:r>
        <w:rPr>
          <w:rFonts w:hint="eastAsia" w:ascii="仿宋" w:hAnsi="仿宋" w:eastAsia="仿宋" w:cs="仿宋"/>
          <w:b/>
          <w:bCs/>
          <w:color w:val="000000"/>
          <w:sz w:val="32"/>
          <w:szCs w:val="32"/>
          <w:lang w:eastAsia="zh-CN"/>
        </w:rPr>
        <w:t>：</w:t>
      </w:r>
      <w:r>
        <w:rPr>
          <w:rStyle w:val="14"/>
          <w:rFonts w:hint="eastAsia" w:ascii="仿宋" w:hAnsi="仿宋" w:eastAsia="仿宋" w:cs="仿宋"/>
          <w:b w:val="0"/>
          <w:bCs/>
          <w:color w:val="000000"/>
          <w:sz w:val="32"/>
          <w:szCs w:val="32"/>
        </w:rPr>
        <w:t>支出决算为</w:t>
      </w:r>
      <w:r>
        <w:rPr>
          <w:rFonts w:hint="eastAsia" w:ascii="仿宋" w:hAnsi="仿宋" w:eastAsia="仿宋" w:cs="仿宋"/>
          <w:color w:val="000000"/>
          <w:sz w:val="32"/>
          <w:szCs w:val="32"/>
        </w:rPr>
        <w:t>86.78</w:t>
      </w:r>
      <w:r>
        <w:rPr>
          <w:rStyle w:val="14"/>
          <w:rFonts w:hint="eastAsia" w:ascii="仿宋" w:hAnsi="仿宋" w:eastAsia="仿宋" w:cs="仿宋"/>
          <w:b w:val="0"/>
          <w:bCs/>
          <w:color w:val="000000"/>
          <w:sz w:val="32"/>
          <w:szCs w:val="32"/>
        </w:rPr>
        <w:t>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w:t>
      </w:r>
    </w:p>
    <w:p>
      <w:pPr>
        <w:spacing w:line="600" w:lineRule="exact"/>
        <w:ind w:firstLine="643"/>
      </w:pPr>
      <w:r>
        <w:rPr>
          <w:rStyle w:val="14"/>
          <w:rFonts w:hint="eastAsia" w:ascii="仿宋" w:hAnsi="仿宋" w:eastAsia="仿宋" w:cs="仿宋"/>
          <w:color w:val="000000"/>
          <w:sz w:val="32"/>
          <w:szCs w:val="32"/>
        </w:rPr>
        <w:t>5.</w:t>
      </w:r>
      <w:r>
        <w:rPr>
          <w:rFonts w:hint="eastAsia" w:ascii="仿宋" w:hAnsi="仿宋" w:eastAsia="仿宋" w:cs="仿宋"/>
          <w:b/>
          <w:bCs/>
          <w:color w:val="000000"/>
          <w:sz w:val="32"/>
          <w:szCs w:val="32"/>
        </w:rPr>
        <w:t>住房保障支出（类）住房改革支出（款）住房公积金（项）</w:t>
      </w:r>
      <w:r>
        <w:rPr>
          <w:rFonts w:hint="eastAsia" w:ascii="仿宋" w:hAnsi="仿宋" w:eastAsia="仿宋" w:cs="仿宋"/>
          <w:b/>
          <w:bCs/>
          <w:color w:val="000000"/>
          <w:sz w:val="32"/>
          <w:szCs w:val="32"/>
          <w:lang w:eastAsia="zh-CN"/>
        </w:rPr>
        <w:t>：</w:t>
      </w:r>
      <w:r>
        <w:rPr>
          <w:rStyle w:val="14"/>
          <w:rFonts w:hint="eastAsia" w:ascii="仿宋" w:hAnsi="仿宋" w:eastAsia="仿宋" w:cs="仿宋"/>
          <w:b w:val="0"/>
          <w:bCs/>
          <w:color w:val="000000"/>
          <w:sz w:val="32"/>
          <w:szCs w:val="32"/>
        </w:rPr>
        <w:t>支出决算为</w:t>
      </w:r>
      <w:r>
        <w:rPr>
          <w:rFonts w:hint="eastAsia" w:ascii="仿宋" w:hAnsi="仿宋" w:eastAsia="仿宋" w:cs="仿宋"/>
          <w:color w:val="000000"/>
          <w:sz w:val="32"/>
          <w:szCs w:val="32"/>
        </w:rPr>
        <w:t>26.37</w:t>
      </w:r>
      <w:r>
        <w:rPr>
          <w:rStyle w:val="14"/>
          <w:rFonts w:hint="eastAsia" w:ascii="仿宋" w:hAnsi="仿宋" w:eastAsia="仿宋" w:cs="仿宋"/>
          <w:b w:val="0"/>
          <w:bCs/>
          <w:color w:val="000000"/>
          <w:sz w:val="32"/>
          <w:szCs w:val="32"/>
        </w:rPr>
        <w:t>万元，完成调整预算100</w:t>
      </w:r>
      <w:r>
        <w:rPr>
          <w:rStyle w:val="14"/>
          <w:rFonts w:ascii="仿宋" w:hAnsi="仿宋" w:eastAsia="仿宋" w:cs="仿宋"/>
          <w:b w:val="0"/>
          <w:bCs/>
          <w:color w:val="000000"/>
          <w:sz w:val="32"/>
          <w:szCs w:val="32"/>
        </w:rPr>
        <w:t>%</w:t>
      </w:r>
      <w:r>
        <w:rPr>
          <w:rStyle w:val="14"/>
          <w:rFonts w:hint="eastAsia" w:ascii="仿宋" w:hAnsi="仿宋" w:eastAsia="仿宋" w:cs="仿宋"/>
          <w:b w:val="0"/>
          <w:bCs/>
          <w:color w:val="000000"/>
          <w:sz w:val="32"/>
          <w:szCs w:val="32"/>
        </w:rPr>
        <w:t>，决算数等于调整预算数。</w:t>
      </w:r>
    </w:p>
    <w:p>
      <w:pPr>
        <w:spacing w:line="600" w:lineRule="exact"/>
      </w:pPr>
    </w:p>
    <w:p>
      <w:pPr>
        <w:tabs>
          <w:tab w:val="right" w:pos="8306"/>
        </w:tabs>
        <w:spacing w:line="600" w:lineRule="exact"/>
        <w:ind w:firstLine="640"/>
      </w:pPr>
      <w:r>
        <w:rPr>
          <w:rFonts w:hint="eastAsia" w:ascii="黑体" w:hAnsi="黑体" w:eastAsia="黑体"/>
          <w:color w:val="000000"/>
          <w:sz w:val="32"/>
          <w:szCs w:val="32"/>
        </w:rPr>
        <w:t>六</w:t>
      </w:r>
      <w:r>
        <w:rPr>
          <w:rFonts w:hint="eastAsia" w:ascii="黑体" w:hAnsi="黑体" w:eastAsia="黑体"/>
          <w:b/>
          <w:color w:val="000000"/>
          <w:sz w:val="32"/>
          <w:szCs w:val="32"/>
        </w:rPr>
        <w:t>、</w:t>
      </w:r>
      <w:r>
        <w:rPr>
          <w:rFonts w:hint="eastAsia" w:ascii="黑体" w:hAnsi="黑体" w:eastAsia="黑体" w:cs="黑体"/>
          <w:b/>
          <w:color w:val="000000"/>
          <w:sz w:val="32"/>
          <w:szCs w:val="32"/>
        </w:rPr>
        <w:t>一</w:t>
      </w:r>
      <w:r>
        <w:rPr>
          <w:rStyle w:val="18"/>
          <w:rFonts w:hint="eastAsia" w:ascii="黑体" w:hAnsi="黑体" w:eastAsia="黑体" w:cs="黑体"/>
          <w:b w:val="0"/>
        </w:rPr>
        <w:t>般公共预算财政拨款基本支出决算情况说明</w:t>
      </w:r>
      <w:r>
        <w:rPr>
          <w:rStyle w:val="18"/>
          <w:rFonts w:ascii="黑体" w:hAnsi="黑体" w:eastAsia="黑体" w:cs="黑体"/>
          <w:b w:val="0"/>
        </w:rPr>
        <w:tab/>
      </w:r>
    </w:p>
    <w:p>
      <w:pPr>
        <w:spacing w:line="600" w:lineRule="exact"/>
        <w:ind w:firstLine="645"/>
      </w:pPr>
      <w:r>
        <w:rPr>
          <w:rFonts w:ascii="仿宋" w:hAnsi="仿宋" w:eastAsia="仿宋" w:cs="仿宋"/>
          <w:color w:val="000000"/>
          <w:sz w:val="32"/>
          <w:szCs w:val="32"/>
        </w:rPr>
        <w:t>202</w:t>
      </w:r>
      <w:r>
        <w:rPr>
          <w:rFonts w:hint="eastAsia" w:ascii="仿宋" w:hAnsi="仿宋" w:eastAsia="仿宋" w:cs="仿宋"/>
          <w:color w:val="000000"/>
          <w:sz w:val="32"/>
          <w:szCs w:val="32"/>
        </w:rPr>
        <w:t>1年一般公共预算财政拨款基本支出</w:t>
      </w:r>
      <w:r>
        <w:rPr>
          <w:rFonts w:ascii="仿宋" w:hAnsi="仿宋" w:eastAsia="仿宋" w:cs="仿宋"/>
          <w:color w:val="000000"/>
          <w:sz w:val="32"/>
          <w:szCs w:val="32"/>
        </w:rPr>
        <w:t>287.43</w:t>
      </w:r>
      <w:r>
        <w:rPr>
          <w:rFonts w:hint="eastAsia" w:ascii="仿宋" w:hAnsi="仿宋" w:eastAsia="仿宋" w:cs="仿宋"/>
          <w:color w:val="000000"/>
          <w:sz w:val="32"/>
          <w:szCs w:val="32"/>
        </w:rPr>
        <w:t>万元，其中：</w:t>
      </w:r>
    </w:p>
    <w:p>
      <w:pPr>
        <w:spacing w:line="600" w:lineRule="exact"/>
        <w:ind w:firstLine="645"/>
      </w:pPr>
      <w:r>
        <w:rPr>
          <w:rFonts w:hint="eastAsia" w:ascii="仿宋" w:hAnsi="仿宋" w:eastAsia="仿宋" w:cs="仿宋"/>
          <w:color w:val="000000"/>
          <w:sz w:val="32"/>
          <w:szCs w:val="32"/>
        </w:rPr>
        <w:t>人员经费263.48万元，主要包括：基本工资</w:t>
      </w:r>
      <w:r>
        <w:rPr>
          <w:rFonts w:ascii="仿宋" w:hAnsi="仿宋" w:eastAsia="仿宋" w:cs="仿宋"/>
          <w:color w:val="000000"/>
          <w:sz w:val="32"/>
          <w:szCs w:val="32"/>
        </w:rPr>
        <w:t>59.21</w:t>
      </w:r>
      <w:r>
        <w:rPr>
          <w:rFonts w:hint="eastAsia" w:ascii="仿宋" w:hAnsi="仿宋" w:eastAsia="仿宋" w:cs="仿宋"/>
          <w:color w:val="000000"/>
          <w:sz w:val="32"/>
          <w:szCs w:val="32"/>
        </w:rPr>
        <w:t>万元、津贴补贴</w:t>
      </w:r>
      <w:r>
        <w:rPr>
          <w:rFonts w:ascii="仿宋" w:hAnsi="仿宋" w:eastAsia="仿宋" w:cs="仿宋"/>
          <w:color w:val="000000"/>
          <w:sz w:val="32"/>
          <w:szCs w:val="32"/>
        </w:rPr>
        <w:t>118.63</w:t>
      </w:r>
      <w:r>
        <w:rPr>
          <w:rFonts w:hint="eastAsia" w:ascii="仿宋" w:hAnsi="仿宋" w:eastAsia="仿宋" w:cs="仿宋"/>
          <w:color w:val="000000"/>
          <w:sz w:val="32"/>
          <w:szCs w:val="32"/>
        </w:rPr>
        <w:t>万元、奖金4.92万元、绩效工资</w:t>
      </w:r>
      <w:r>
        <w:rPr>
          <w:rFonts w:ascii="仿宋" w:hAnsi="仿宋" w:eastAsia="仿宋" w:cs="仿宋"/>
          <w:color w:val="000000"/>
          <w:sz w:val="32"/>
          <w:szCs w:val="32"/>
        </w:rPr>
        <w:t>5.69</w:t>
      </w:r>
      <w:r>
        <w:rPr>
          <w:rFonts w:hint="eastAsia" w:ascii="仿宋" w:hAnsi="仿宋" w:eastAsia="仿宋" w:cs="仿宋"/>
          <w:color w:val="000000"/>
          <w:sz w:val="32"/>
          <w:szCs w:val="32"/>
        </w:rPr>
        <w:t>万元、机关事业单位基本养老保险缴费</w:t>
      </w:r>
      <w:r>
        <w:rPr>
          <w:rFonts w:ascii="仿宋" w:hAnsi="仿宋" w:eastAsia="仿宋" w:cs="仿宋"/>
          <w:color w:val="000000"/>
          <w:sz w:val="32"/>
          <w:szCs w:val="32"/>
        </w:rPr>
        <w:t>18.62</w:t>
      </w:r>
      <w:r>
        <w:rPr>
          <w:rFonts w:hint="eastAsia" w:ascii="仿宋" w:hAnsi="仿宋" w:eastAsia="仿宋" w:cs="仿宋"/>
          <w:color w:val="000000"/>
          <w:sz w:val="32"/>
          <w:szCs w:val="32"/>
        </w:rPr>
        <w:t>万元、职业年金缴费</w:t>
      </w:r>
      <w:r>
        <w:rPr>
          <w:rFonts w:ascii="仿宋" w:hAnsi="仿宋" w:eastAsia="仿宋" w:cs="仿宋"/>
          <w:color w:val="000000"/>
          <w:sz w:val="32"/>
          <w:szCs w:val="32"/>
        </w:rPr>
        <w:t>3.92</w:t>
      </w:r>
      <w:r>
        <w:rPr>
          <w:rFonts w:hint="eastAsia" w:ascii="仿宋" w:hAnsi="仿宋" w:eastAsia="仿宋" w:cs="仿宋"/>
          <w:color w:val="000000"/>
          <w:sz w:val="32"/>
          <w:szCs w:val="32"/>
        </w:rPr>
        <w:t>万元、职工基本医疗保险缴费</w:t>
      </w:r>
      <w:r>
        <w:rPr>
          <w:rFonts w:ascii="仿宋" w:hAnsi="仿宋" w:eastAsia="仿宋" w:cs="仿宋"/>
          <w:color w:val="000000"/>
          <w:sz w:val="32"/>
          <w:szCs w:val="32"/>
        </w:rPr>
        <w:t>14.28</w:t>
      </w:r>
      <w:r>
        <w:rPr>
          <w:rFonts w:hint="eastAsia" w:ascii="仿宋" w:hAnsi="仿宋" w:eastAsia="仿宋" w:cs="仿宋"/>
          <w:color w:val="000000"/>
          <w:sz w:val="32"/>
          <w:szCs w:val="32"/>
        </w:rPr>
        <w:t>万元、公务员医疗补助缴费</w:t>
      </w:r>
      <w:r>
        <w:rPr>
          <w:rFonts w:ascii="仿宋" w:hAnsi="仿宋" w:eastAsia="仿宋" w:cs="仿宋"/>
          <w:color w:val="000000"/>
          <w:sz w:val="32"/>
          <w:szCs w:val="32"/>
        </w:rPr>
        <w:t>0.72</w:t>
      </w:r>
      <w:r>
        <w:rPr>
          <w:rFonts w:hint="eastAsia" w:ascii="仿宋" w:hAnsi="仿宋" w:eastAsia="仿宋" w:cs="仿宋"/>
          <w:color w:val="000000"/>
          <w:sz w:val="32"/>
          <w:szCs w:val="32"/>
        </w:rPr>
        <w:t>万元、其他社会保障缴费</w:t>
      </w:r>
      <w:r>
        <w:rPr>
          <w:rFonts w:ascii="仿宋" w:hAnsi="仿宋" w:eastAsia="仿宋" w:cs="仿宋"/>
          <w:color w:val="000000"/>
          <w:sz w:val="32"/>
          <w:szCs w:val="32"/>
        </w:rPr>
        <w:t>0.9</w:t>
      </w:r>
      <w:r>
        <w:rPr>
          <w:rFonts w:hint="eastAsia" w:ascii="仿宋" w:hAnsi="仿宋" w:eastAsia="仿宋" w:cs="仿宋"/>
          <w:color w:val="000000"/>
          <w:sz w:val="32"/>
          <w:szCs w:val="32"/>
        </w:rPr>
        <w:t>万元、住房公积金</w:t>
      </w:r>
      <w:r>
        <w:rPr>
          <w:rFonts w:ascii="仿宋" w:hAnsi="仿宋" w:eastAsia="仿宋" w:cs="仿宋"/>
          <w:color w:val="000000"/>
          <w:sz w:val="32"/>
          <w:szCs w:val="32"/>
        </w:rPr>
        <w:t>26.37</w:t>
      </w:r>
      <w:r>
        <w:rPr>
          <w:rFonts w:hint="eastAsia" w:ascii="仿宋" w:hAnsi="仿宋" w:eastAsia="仿宋" w:cs="仿宋"/>
          <w:color w:val="000000"/>
          <w:sz w:val="32"/>
          <w:szCs w:val="32"/>
        </w:rPr>
        <w:t>万元、其他工资福利支出8.67万元、生活补助1.53万元。</w:t>
      </w:r>
    </w:p>
    <w:p>
      <w:pPr>
        <w:spacing w:line="600" w:lineRule="exact"/>
        <w:ind w:firstLine="645"/>
      </w:pPr>
      <w:r>
        <w:rPr>
          <w:rFonts w:hint="eastAsia" w:ascii="仿宋" w:hAnsi="仿宋" w:eastAsia="仿宋" w:cs="仿宋"/>
          <w:color w:val="000000"/>
          <w:sz w:val="32"/>
          <w:szCs w:val="32"/>
        </w:rPr>
        <w:t>日常公用经费</w:t>
      </w:r>
      <w:r>
        <w:rPr>
          <w:rFonts w:ascii="仿宋" w:hAnsi="仿宋" w:eastAsia="仿宋" w:cs="仿宋"/>
          <w:color w:val="000000"/>
          <w:sz w:val="32"/>
          <w:szCs w:val="32"/>
        </w:rPr>
        <w:t>23.96</w:t>
      </w:r>
      <w:r>
        <w:rPr>
          <w:rFonts w:hint="eastAsia" w:ascii="仿宋" w:hAnsi="仿宋" w:eastAsia="仿宋" w:cs="仿宋"/>
          <w:color w:val="000000"/>
          <w:sz w:val="32"/>
          <w:szCs w:val="32"/>
        </w:rPr>
        <w:t>万元，主要包括：办公费</w:t>
      </w:r>
      <w:r>
        <w:rPr>
          <w:rFonts w:ascii="仿宋" w:hAnsi="仿宋" w:eastAsia="仿宋" w:cs="仿宋"/>
          <w:color w:val="000000"/>
          <w:sz w:val="32"/>
          <w:szCs w:val="32"/>
        </w:rPr>
        <w:t>2.72</w:t>
      </w:r>
      <w:r>
        <w:rPr>
          <w:rFonts w:hint="eastAsia" w:ascii="仿宋" w:hAnsi="仿宋" w:eastAsia="仿宋" w:cs="仿宋"/>
          <w:color w:val="000000"/>
          <w:sz w:val="32"/>
          <w:szCs w:val="32"/>
        </w:rPr>
        <w:t>万元、手续费</w:t>
      </w:r>
      <w:r>
        <w:rPr>
          <w:rFonts w:ascii="仿宋" w:hAnsi="仿宋" w:eastAsia="仿宋" w:cs="仿宋"/>
          <w:color w:val="000000"/>
          <w:sz w:val="32"/>
          <w:szCs w:val="32"/>
        </w:rPr>
        <w:t>0.05</w:t>
      </w:r>
      <w:r>
        <w:rPr>
          <w:rFonts w:hint="eastAsia" w:ascii="仿宋" w:hAnsi="仿宋" w:eastAsia="仿宋" w:cs="仿宋"/>
          <w:color w:val="000000"/>
          <w:sz w:val="32"/>
          <w:szCs w:val="32"/>
        </w:rPr>
        <w:t>万元、水费</w:t>
      </w:r>
      <w:r>
        <w:rPr>
          <w:rFonts w:ascii="仿宋" w:hAnsi="仿宋" w:eastAsia="仿宋" w:cs="仿宋"/>
          <w:color w:val="000000"/>
          <w:sz w:val="32"/>
          <w:szCs w:val="32"/>
        </w:rPr>
        <w:t>0.</w:t>
      </w:r>
      <w:r>
        <w:rPr>
          <w:rFonts w:hint="eastAsia" w:ascii="仿宋" w:hAnsi="仿宋" w:eastAsia="仿宋" w:cs="仿宋"/>
          <w:color w:val="000000"/>
          <w:sz w:val="32"/>
          <w:szCs w:val="32"/>
        </w:rPr>
        <w:t>05万元、电费</w:t>
      </w:r>
      <w:r>
        <w:rPr>
          <w:rFonts w:ascii="仿宋" w:hAnsi="仿宋" w:eastAsia="仿宋" w:cs="仿宋"/>
          <w:color w:val="000000"/>
          <w:sz w:val="32"/>
          <w:szCs w:val="32"/>
        </w:rPr>
        <w:t>0.</w:t>
      </w:r>
      <w:r>
        <w:rPr>
          <w:rFonts w:hint="eastAsia" w:ascii="仿宋" w:hAnsi="仿宋" w:eastAsia="仿宋" w:cs="仿宋"/>
          <w:color w:val="000000"/>
          <w:sz w:val="32"/>
          <w:szCs w:val="32"/>
        </w:rPr>
        <w:t>4万元、邮电费</w:t>
      </w:r>
      <w:r>
        <w:rPr>
          <w:rFonts w:ascii="仿宋" w:hAnsi="仿宋" w:eastAsia="仿宋" w:cs="仿宋"/>
          <w:color w:val="000000"/>
          <w:sz w:val="32"/>
          <w:szCs w:val="32"/>
        </w:rPr>
        <w:t>1.95</w:t>
      </w:r>
      <w:r>
        <w:rPr>
          <w:rFonts w:hint="eastAsia" w:ascii="仿宋" w:hAnsi="仿宋" w:eastAsia="仿宋" w:cs="仿宋"/>
          <w:color w:val="000000"/>
          <w:sz w:val="32"/>
          <w:szCs w:val="32"/>
        </w:rPr>
        <w:t>万元、差旅费</w:t>
      </w:r>
      <w:r>
        <w:rPr>
          <w:rFonts w:ascii="仿宋" w:hAnsi="仿宋" w:eastAsia="仿宋" w:cs="仿宋"/>
          <w:color w:val="000000"/>
          <w:sz w:val="32"/>
          <w:szCs w:val="32"/>
        </w:rPr>
        <w:t>4.81</w:t>
      </w:r>
      <w:r>
        <w:rPr>
          <w:rFonts w:hint="eastAsia" w:ascii="仿宋" w:hAnsi="仿宋" w:eastAsia="仿宋" w:cs="仿宋"/>
          <w:color w:val="000000"/>
          <w:sz w:val="32"/>
          <w:szCs w:val="32"/>
        </w:rPr>
        <w:t>万元、维修（护）费0.03万元、培训费</w:t>
      </w:r>
      <w:r>
        <w:rPr>
          <w:rFonts w:ascii="仿宋" w:hAnsi="仿宋" w:eastAsia="仿宋" w:cs="仿宋"/>
          <w:color w:val="000000"/>
          <w:sz w:val="32"/>
          <w:szCs w:val="32"/>
        </w:rPr>
        <w:t>0.02</w:t>
      </w:r>
      <w:r>
        <w:rPr>
          <w:rFonts w:hint="eastAsia" w:ascii="仿宋" w:hAnsi="仿宋" w:eastAsia="仿宋" w:cs="仿宋"/>
          <w:color w:val="000000"/>
          <w:sz w:val="32"/>
          <w:szCs w:val="32"/>
        </w:rPr>
        <w:t>万元、公务接待费0.13万元、劳务费</w:t>
      </w:r>
      <w:r>
        <w:rPr>
          <w:rFonts w:ascii="仿宋" w:hAnsi="仿宋" w:eastAsia="仿宋" w:cs="仿宋"/>
          <w:color w:val="000000"/>
          <w:sz w:val="32"/>
          <w:szCs w:val="32"/>
        </w:rPr>
        <w:t>0.</w:t>
      </w:r>
      <w:r>
        <w:rPr>
          <w:rFonts w:hint="eastAsia" w:ascii="仿宋" w:hAnsi="仿宋" w:eastAsia="仿宋" w:cs="仿宋"/>
          <w:color w:val="000000"/>
          <w:sz w:val="32"/>
          <w:szCs w:val="32"/>
        </w:rPr>
        <w:t>1万元、委托业务费0.17万元、工会经费2.58万元、福利费0.18万元、其他交通费</w:t>
      </w:r>
      <w:r>
        <w:rPr>
          <w:rFonts w:ascii="仿宋" w:hAnsi="仿宋" w:eastAsia="仿宋" w:cs="仿宋"/>
          <w:color w:val="000000"/>
          <w:sz w:val="32"/>
          <w:szCs w:val="32"/>
        </w:rPr>
        <w:t>10.74</w:t>
      </w:r>
      <w:r>
        <w:rPr>
          <w:rFonts w:hint="eastAsia" w:ascii="仿宋" w:hAnsi="仿宋" w:eastAsia="仿宋" w:cs="仿宋"/>
          <w:color w:val="000000"/>
          <w:sz w:val="32"/>
          <w:szCs w:val="32"/>
        </w:rPr>
        <w:t>万元、其他商品和服务支出0.02万元。</w:t>
      </w:r>
    </w:p>
    <w:p>
      <w:pPr>
        <w:spacing w:line="600" w:lineRule="exact"/>
        <w:ind w:firstLine="640"/>
      </w:pPr>
      <w:r>
        <w:rPr>
          <w:rFonts w:hint="eastAsia" w:ascii="黑体" w:hAnsi="黑体" w:eastAsia="黑体"/>
          <w:color w:val="000000"/>
          <w:sz w:val="32"/>
          <w:szCs w:val="32"/>
        </w:rPr>
        <w:t>七、</w:t>
      </w:r>
      <w:r>
        <w:rPr>
          <w:rStyle w:val="18"/>
          <w:rFonts w:hint="eastAsia" w:ascii="黑体" w:hAnsi="黑体" w:eastAsia="黑体" w:cs="黑体"/>
        </w:rPr>
        <w:t>“</w:t>
      </w:r>
      <w:r>
        <w:rPr>
          <w:rStyle w:val="18"/>
          <w:rFonts w:hint="eastAsia" w:ascii="黑体" w:hAnsi="黑体" w:eastAsia="黑体" w:cs="黑体"/>
          <w:b w:val="0"/>
        </w:rPr>
        <w:t>三公”经费财政拨款支出决算情况说明</w:t>
      </w:r>
    </w:p>
    <w:p>
      <w:pPr>
        <w:spacing w:line="600" w:lineRule="exact"/>
        <w:ind w:firstLine="640"/>
      </w:pPr>
      <w:r>
        <w:rPr>
          <w:rFonts w:hint="eastAsia" w:ascii="仿宋" w:hAnsi="仿宋" w:eastAsia="仿宋" w:cs="仿宋"/>
          <w:b/>
          <w:color w:val="000000"/>
          <w:sz w:val="32"/>
          <w:szCs w:val="32"/>
        </w:rPr>
        <w:t>（一）“三公”经费财政拨款支出决算总体情况说明</w:t>
      </w:r>
    </w:p>
    <w:p>
      <w:pPr>
        <w:spacing w:line="600" w:lineRule="exact"/>
        <w:ind w:firstLine="640"/>
      </w:pPr>
      <w:r>
        <w:rPr>
          <w:rFonts w:ascii="仿宋" w:hAnsi="仿宋" w:eastAsia="仿宋" w:cs="仿宋"/>
          <w:color w:val="000000"/>
          <w:sz w:val="32"/>
          <w:szCs w:val="32"/>
        </w:rPr>
        <w:t>202</w:t>
      </w:r>
      <w:r>
        <w:rPr>
          <w:rFonts w:hint="eastAsia" w:ascii="仿宋" w:hAnsi="仿宋" w:eastAsia="仿宋" w:cs="仿宋"/>
          <w:color w:val="000000"/>
          <w:sz w:val="32"/>
          <w:szCs w:val="32"/>
        </w:rPr>
        <w:t>1年“三公”经费财政拨款支出决算为</w:t>
      </w:r>
      <w:r>
        <w:rPr>
          <w:rFonts w:ascii="仿宋" w:hAnsi="仿宋" w:eastAsia="仿宋" w:cs="仿宋"/>
          <w:color w:val="000000"/>
          <w:sz w:val="32"/>
          <w:szCs w:val="32"/>
        </w:rPr>
        <w:t>0.13</w:t>
      </w:r>
      <w:r>
        <w:rPr>
          <w:rFonts w:hint="eastAsia" w:ascii="仿宋" w:hAnsi="仿宋" w:eastAsia="仿宋" w:cs="仿宋"/>
          <w:color w:val="000000"/>
          <w:sz w:val="32"/>
          <w:szCs w:val="32"/>
        </w:rPr>
        <w:t>万元，完成预算26.5</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%，决算数小于预算数的主要原因是</w:t>
      </w:r>
      <w:r>
        <w:rPr>
          <w:rFonts w:hint="eastAsia" w:ascii="仿宋" w:hAnsi="仿宋" w:eastAsia="仿宋" w:cs="仿宋"/>
          <w:color w:val="000000"/>
          <w:sz w:val="32"/>
          <w:szCs w:val="32"/>
          <w:lang w:eastAsia="zh-CN"/>
        </w:rPr>
        <w:t>厉行节约</w:t>
      </w:r>
      <w:r>
        <w:rPr>
          <w:rFonts w:hint="eastAsia" w:ascii="仿宋" w:hAnsi="仿宋" w:eastAsia="仿宋" w:cs="仿宋"/>
          <w:color w:val="000000"/>
          <w:sz w:val="32"/>
          <w:szCs w:val="32"/>
        </w:rPr>
        <w:t>，减少不必要开支。</w:t>
      </w:r>
    </w:p>
    <w:p>
      <w:pPr>
        <w:spacing w:line="600" w:lineRule="exact"/>
        <w:ind w:firstLine="640"/>
      </w:pPr>
      <w:r>
        <w:rPr>
          <w:rFonts w:hint="eastAsia" w:ascii="仿宋" w:hAnsi="仿宋" w:eastAsia="仿宋" w:cs="仿宋"/>
          <w:b/>
          <w:color w:val="000000"/>
          <w:sz w:val="32"/>
          <w:szCs w:val="32"/>
        </w:rPr>
        <w:t>（二）“三公”经费财政拨款支出决算具体情况说明</w:t>
      </w:r>
    </w:p>
    <w:p>
      <w:pPr>
        <w:spacing w:line="600" w:lineRule="exact"/>
        <w:ind w:firstLine="640"/>
        <w:rPr>
          <w:rFonts w:ascii="仿宋" w:hAnsi="仿宋" w:eastAsia="仿宋" w:cs="仿宋"/>
          <w:color w:val="000000"/>
          <w:sz w:val="32"/>
          <w:szCs w:val="32"/>
        </w:rPr>
      </w:pPr>
      <w:r>
        <w:rPr>
          <w:rFonts w:ascii="仿宋" w:hAnsi="仿宋" w:eastAsia="仿宋" w:cs="仿宋"/>
          <w:color w:val="000000"/>
          <w:sz w:val="32"/>
          <w:szCs w:val="32"/>
        </w:rPr>
        <w:t>202</w:t>
      </w:r>
      <w:r>
        <w:rPr>
          <w:rFonts w:hint="eastAsia" w:ascii="仿宋" w:hAnsi="仿宋" w:eastAsia="仿宋" w:cs="仿宋"/>
          <w:color w:val="000000"/>
          <w:sz w:val="32"/>
          <w:szCs w:val="32"/>
        </w:rPr>
        <w:t>1年“三公”经费财政拨款支出决算中，因公出国（境）费支出决算0万元，占0</w:t>
      </w:r>
      <w:r>
        <w:rPr>
          <w:rFonts w:ascii="仿宋" w:hAnsi="仿宋" w:eastAsia="仿宋" w:cs="仿宋"/>
          <w:color w:val="000000"/>
          <w:sz w:val="32"/>
          <w:szCs w:val="32"/>
        </w:rPr>
        <w:t>%</w:t>
      </w:r>
      <w:r>
        <w:rPr>
          <w:rFonts w:hint="eastAsia" w:ascii="仿宋" w:hAnsi="仿宋" w:eastAsia="仿宋" w:cs="仿宋"/>
          <w:color w:val="000000"/>
          <w:sz w:val="32"/>
          <w:szCs w:val="32"/>
        </w:rPr>
        <w:t>；公务用车购置及运行维护费支出决算0万元，占0</w:t>
      </w:r>
      <w:r>
        <w:rPr>
          <w:rFonts w:ascii="仿宋" w:hAnsi="仿宋" w:eastAsia="仿宋" w:cs="仿宋"/>
          <w:color w:val="000000"/>
          <w:sz w:val="32"/>
          <w:szCs w:val="32"/>
        </w:rPr>
        <w:t>%</w:t>
      </w:r>
      <w:r>
        <w:rPr>
          <w:rFonts w:hint="eastAsia" w:ascii="仿宋" w:hAnsi="仿宋" w:eastAsia="仿宋" w:cs="仿宋"/>
          <w:color w:val="000000"/>
          <w:sz w:val="32"/>
          <w:szCs w:val="32"/>
        </w:rPr>
        <w:t>；公务接待费支出决算0.13万元，占0</w:t>
      </w:r>
      <w:r>
        <w:rPr>
          <w:rFonts w:ascii="仿宋" w:hAnsi="仿宋" w:eastAsia="仿宋" w:cs="仿宋"/>
          <w:color w:val="000000"/>
          <w:sz w:val="32"/>
          <w:szCs w:val="32"/>
        </w:rPr>
        <w:t>%</w:t>
      </w:r>
      <w:r>
        <w:rPr>
          <w:rFonts w:hint="eastAsia" w:ascii="仿宋" w:hAnsi="仿宋" w:eastAsia="仿宋" w:cs="仿宋"/>
          <w:color w:val="000000"/>
          <w:sz w:val="32"/>
          <w:szCs w:val="32"/>
        </w:rPr>
        <w:t>。具体情况如下：</w:t>
      </w:r>
    </w:p>
    <w:p>
      <w:pPr>
        <w:rPr>
          <w:rFonts w:ascii="仿宋_GB2312" w:hAnsi="仿宋_GB2312" w:eastAsia="仿宋_GB2312"/>
          <w:b/>
          <w:color w:val="000000"/>
          <w:sz w:val="32"/>
          <w:szCs w:val="32"/>
        </w:rPr>
      </w:pPr>
    </w:p>
    <w:p>
      <w:pPr>
        <w:rPr>
          <w:rFonts w:ascii="仿宋_GB2312" w:hAnsi="仿宋_GB2312" w:eastAsia="仿宋_GB2312"/>
          <w:b/>
          <w:color w:val="000000"/>
          <w:sz w:val="32"/>
          <w:szCs w:val="32"/>
        </w:rPr>
      </w:pPr>
      <w:r>
        <w:rPr>
          <w:rFonts w:hint="eastAsia" w:ascii="仿宋_GB2312" w:hAnsi="仿宋_GB2312" w:eastAsia="仿宋_GB2312"/>
          <w:b/>
          <w:color w:val="000000"/>
          <w:sz w:val="32"/>
          <w:szCs w:val="32"/>
        </w:rPr>
        <w:drawing>
          <wp:inline distT="0" distB="0" distL="0" distR="0">
            <wp:extent cx="5274310" cy="3076575"/>
            <wp:effectExtent l="19050" t="0" r="21590" b="0"/>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rPr>
          <w:rFonts w:ascii="仿宋_GB2312" w:hAnsi="仿宋_GB2312" w:eastAsia="仿宋_GB2312"/>
          <w:b/>
          <w:color w:val="000000"/>
          <w:sz w:val="32"/>
          <w:szCs w:val="32"/>
        </w:rPr>
      </w:pPr>
    </w:p>
    <w:p>
      <w:pPr>
        <w:spacing w:line="600" w:lineRule="exact"/>
        <w:ind w:firstLine="640"/>
      </w:pPr>
      <w:r>
        <w:rPr>
          <w:rFonts w:ascii="仿宋_GB2312" w:hAnsi="仿宋_GB2312" w:eastAsia="仿宋_GB2312"/>
          <w:b/>
          <w:color w:val="000000"/>
          <w:sz w:val="32"/>
          <w:szCs w:val="32"/>
        </w:rPr>
        <w:t>1.</w:t>
      </w:r>
      <w:r>
        <w:rPr>
          <w:rFonts w:hint="eastAsia" w:ascii="仿宋_GB2312" w:hAnsi="仿宋_GB2312" w:eastAsia="仿宋_GB2312"/>
          <w:b/>
          <w:color w:val="000000"/>
          <w:sz w:val="32"/>
          <w:szCs w:val="32"/>
        </w:rPr>
        <w:t>因公出国（境）经费支出</w:t>
      </w:r>
      <w:r>
        <w:rPr>
          <w:rFonts w:hint="eastAsia" w:ascii="仿宋_GB2312" w:hAnsi="仿宋_GB2312" w:eastAsia="仿宋_GB2312"/>
          <w:color w:val="000000"/>
          <w:sz w:val="32"/>
          <w:szCs w:val="32"/>
        </w:rPr>
        <w:t>0万元，完成预算0</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。全年安排因公出国（境）团组0次，出国（境）0人。因公出国（境）支出决算与</w:t>
      </w:r>
      <w:r>
        <w:rPr>
          <w:rFonts w:ascii="仿宋_GB2312" w:hAnsi="仿宋_GB2312" w:eastAsia="仿宋_GB2312"/>
          <w:color w:val="000000"/>
          <w:sz w:val="32"/>
          <w:szCs w:val="32"/>
        </w:rPr>
        <w:t>20</w:t>
      </w:r>
      <w:r>
        <w:rPr>
          <w:rFonts w:hint="eastAsia" w:ascii="仿宋_GB2312" w:hAnsi="仿宋_GB2312" w:eastAsia="仿宋_GB2312"/>
          <w:color w:val="000000"/>
          <w:sz w:val="32"/>
          <w:szCs w:val="32"/>
        </w:rPr>
        <w:t>20年持平。</w:t>
      </w:r>
    </w:p>
    <w:p>
      <w:pPr>
        <w:spacing w:line="600" w:lineRule="exact"/>
        <w:ind w:firstLine="640"/>
      </w:pPr>
      <w:r>
        <w:rPr>
          <w:rFonts w:ascii="仿宋_GB2312" w:hAnsi="仿宋_GB2312" w:eastAsia="仿宋_GB2312"/>
          <w:b/>
          <w:color w:val="000000"/>
          <w:sz w:val="32"/>
          <w:szCs w:val="32"/>
        </w:rPr>
        <w:t>2.</w:t>
      </w:r>
      <w:r>
        <w:rPr>
          <w:rFonts w:hint="eastAsia" w:ascii="仿宋_GB2312" w:hAnsi="仿宋_GB2312" w:eastAsia="仿宋_GB2312"/>
          <w:b/>
          <w:color w:val="000000"/>
          <w:sz w:val="32"/>
          <w:szCs w:val="32"/>
        </w:rPr>
        <w:t>公务用车购置及运行维护费支出</w:t>
      </w:r>
      <w:r>
        <w:rPr>
          <w:rFonts w:hint="eastAsia" w:ascii="仿宋" w:hAnsi="仿宋" w:eastAsia="仿宋" w:cs="仿宋"/>
          <w:color w:val="000000"/>
          <w:sz w:val="32"/>
          <w:szCs w:val="32"/>
        </w:rPr>
        <w:t>0</w:t>
      </w:r>
      <w:r>
        <w:rPr>
          <w:rFonts w:hint="eastAsia" w:ascii="仿宋_GB2312" w:hAnsi="仿宋_GB2312" w:eastAsia="仿宋_GB2312"/>
          <w:color w:val="000000"/>
          <w:sz w:val="32"/>
          <w:szCs w:val="32"/>
        </w:rPr>
        <w:t>万元</w:t>
      </w: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rPr>
        <w:t>完成预算0</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。公务用车购置及运行维护费支出决算与</w:t>
      </w:r>
      <w:r>
        <w:rPr>
          <w:rFonts w:ascii="仿宋_GB2312" w:hAnsi="仿宋_GB2312" w:eastAsia="仿宋_GB2312"/>
          <w:color w:val="000000"/>
          <w:sz w:val="32"/>
          <w:szCs w:val="32"/>
        </w:rPr>
        <w:t>20</w:t>
      </w:r>
      <w:r>
        <w:rPr>
          <w:rFonts w:hint="eastAsia" w:ascii="仿宋_GB2312" w:hAnsi="仿宋_GB2312" w:eastAsia="仿宋_GB2312"/>
          <w:color w:val="000000"/>
          <w:sz w:val="32"/>
          <w:szCs w:val="32"/>
        </w:rPr>
        <w:t>20年持平。</w:t>
      </w:r>
    </w:p>
    <w:p>
      <w:pPr>
        <w:spacing w:line="600" w:lineRule="exact"/>
        <w:ind w:firstLine="640"/>
      </w:pPr>
      <w:r>
        <w:rPr>
          <w:rFonts w:hint="eastAsia" w:ascii="仿宋_GB2312" w:hAnsi="仿宋_GB2312" w:eastAsia="仿宋_GB2312"/>
          <w:color w:val="000000"/>
          <w:sz w:val="32"/>
          <w:szCs w:val="32"/>
        </w:rPr>
        <w:t>其中：</w:t>
      </w:r>
      <w:r>
        <w:rPr>
          <w:rFonts w:hint="eastAsia" w:ascii="仿宋_GB2312" w:hAnsi="仿宋_GB2312" w:eastAsia="仿宋_GB2312"/>
          <w:b/>
          <w:color w:val="000000"/>
          <w:sz w:val="32"/>
          <w:szCs w:val="32"/>
        </w:rPr>
        <w:t>公务用车购置支出</w:t>
      </w:r>
      <w:r>
        <w:rPr>
          <w:rFonts w:hint="eastAsia" w:ascii="仿宋_GB2312" w:hAnsi="仿宋_GB2312" w:eastAsia="仿宋_GB2312"/>
          <w:color w:val="000000"/>
          <w:sz w:val="32"/>
          <w:szCs w:val="32"/>
        </w:rPr>
        <w:t>0万元。全年按规定更新购置公务用车0辆，其中：轿车0辆、金额0万元，越野车0辆、金额0万元，小型载客汽车0辆、金额0万元，大中型载客汽车0辆、金额0万元，其他车型0辆、金额0万元。截至</w:t>
      </w:r>
      <w:r>
        <w:rPr>
          <w:rFonts w:ascii="仿宋_GB2312" w:hAnsi="仿宋_GB2312" w:eastAsia="仿宋_GB2312"/>
          <w:color w:val="000000"/>
          <w:sz w:val="32"/>
          <w:szCs w:val="32"/>
        </w:rPr>
        <w:t>202</w:t>
      </w:r>
      <w:r>
        <w:rPr>
          <w:rFonts w:hint="eastAsia" w:ascii="仿宋_GB2312" w:hAnsi="仿宋_GB2312" w:eastAsia="仿宋_GB2312"/>
          <w:color w:val="000000"/>
          <w:sz w:val="32"/>
          <w:szCs w:val="32"/>
        </w:rPr>
        <w:t>1年</w:t>
      </w:r>
      <w:r>
        <w:rPr>
          <w:rFonts w:ascii="仿宋_GB2312" w:hAnsi="仿宋_GB2312" w:eastAsia="仿宋_GB2312"/>
          <w:color w:val="000000"/>
          <w:sz w:val="32"/>
          <w:szCs w:val="32"/>
        </w:rPr>
        <w:t>12</w:t>
      </w:r>
      <w:r>
        <w:rPr>
          <w:rFonts w:hint="eastAsia" w:ascii="仿宋_GB2312" w:hAnsi="仿宋_GB2312" w:eastAsia="仿宋_GB2312"/>
          <w:color w:val="000000"/>
          <w:sz w:val="32"/>
          <w:szCs w:val="32"/>
        </w:rPr>
        <w:t>月底，本部门共有公务用车0辆，其中：轿车0辆、越野车0辆、小型载客汽车0辆、大中型载客汽车0辆、其他车型0辆。</w:t>
      </w:r>
    </w:p>
    <w:p>
      <w:pPr>
        <w:spacing w:line="600" w:lineRule="exact"/>
        <w:ind w:firstLine="640"/>
      </w:pPr>
      <w:r>
        <w:rPr>
          <w:rFonts w:hint="eastAsia" w:ascii="仿宋_GB2312" w:hAnsi="仿宋_GB2312" w:eastAsia="仿宋_GB2312"/>
          <w:b/>
          <w:color w:val="000000"/>
          <w:sz w:val="32"/>
          <w:szCs w:val="32"/>
        </w:rPr>
        <w:t>公务用车运行维护费支出</w:t>
      </w:r>
      <w:r>
        <w:rPr>
          <w:rFonts w:hint="eastAsia" w:ascii="仿宋" w:hAnsi="仿宋" w:eastAsia="仿宋" w:cs="仿宋"/>
          <w:color w:val="000000"/>
          <w:sz w:val="32"/>
          <w:szCs w:val="32"/>
        </w:rPr>
        <w:t>0</w:t>
      </w:r>
      <w:r>
        <w:rPr>
          <w:rFonts w:hint="eastAsia" w:ascii="仿宋_GB2312" w:hAnsi="仿宋_GB2312" w:eastAsia="仿宋_GB2312"/>
          <w:color w:val="000000"/>
          <w:sz w:val="32"/>
          <w:szCs w:val="32"/>
        </w:rPr>
        <w:t>万元。</w:t>
      </w:r>
    </w:p>
    <w:p>
      <w:pPr>
        <w:spacing w:line="600" w:lineRule="exact"/>
        <w:ind w:firstLine="640"/>
      </w:pPr>
      <w:r>
        <w:rPr>
          <w:rFonts w:ascii="仿宋_GB2312" w:hAnsi="仿宋_GB2312" w:eastAsia="仿宋_GB2312"/>
          <w:b/>
          <w:color w:val="000000"/>
          <w:sz w:val="32"/>
          <w:szCs w:val="32"/>
        </w:rPr>
        <w:t>3.</w:t>
      </w:r>
      <w:r>
        <w:rPr>
          <w:rFonts w:hint="eastAsia" w:ascii="仿宋_GB2312" w:hAnsi="仿宋_GB2312" w:eastAsia="仿宋_GB2312"/>
          <w:b/>
          <w:color w:val="000000"/>
          <w:sz w:val="32"/>
          <w:szCs w:val="32"/>
        </w:rPr>
        <w:t>公务接待费支出</w:t>
      </w:r>
      <w:r>
        <w:rPr>
          <w:rFonts w:ascii="仿宋" w:hAnsi="仿宋" w:eastAsia="仿宋" w:cs="仿宋"/>
          <w:color w:val="000000"/>
          <w:sz w:val="32"/>
          <w:szCs w:val="32"/>
        </w:rPr>
        <w:t>0.13</w:t>
      </w:r>
      <w:r>
        <w:rPr>
          <w:rFonts w:hint="eastAsia" w:ascii="仿宋_GB2312" w:hAnsi="仿宋_GB2312" w:eastAsia="仿宋_GB2312"/>
          <w:color w:val="000000"/>
          <w:sz w:val="32"/>
          <w:szCs w:val="32"/>
        </w:rPr>
        <w:t>万元，完成预算26.5</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。公务接待费支出决算比</w:t>
      </w:r>
      <w:r>
        <w:rPr>
          <w:rFonts w:ascii="仿宋_GB2312" w:hAnsi="仿宋_GB2312" w:eastAsia="仿宋_GB2312"/>
          <w:color w:val="000000"/>
          <w:sz w:val="32"/>
          <w:szCs w:val="32"/>
        </w:rPr>
        <w:t>20</w:t>
      </w:r>
      <w:r>
        <w:rPr>
          <w:rFonts w:hint="eastAsia" w:ascii="仿宋_GB2312" w:hAnsi="仿宋_GB2312" w:eastAsia="仿宋_GB2312"/>
          <w:color w:val="000000"/>
          <w:sz w:val="32"/>
          <w:szCs w:val="32"/>
        </w:rPr>
        <w:t>20年减少0.12万元，降低48.</w:t>
      </w:r>
      <w:r>
        <w:rPr>
          <w:rFonts w:ascii="仿宋_GB2312" w:hAnsi="仿宋_GB2312" w:eastAsia="仿宋_GB2312"/>
          <w:color w:val="000000"/>
          <w:sz w:val="32"/>
          <w:szCs w:val="32"/>
        </w:rPr>
        <w:t>3%</w:t>
      </w:r>
      <w:r>
        <w:rPr>
          <w:rFonts w:hint="eastAsia" w:ascii="仿宋_GB2312" w:hAnsi="仿宋_GB2312" w:eastAsia="仿宋_GB2312"/>
          <w:color w:val="000000"/>
          <w:sz w:val="32"/>
          <w:szCs w:val="32"/>
        </w:rPr>
        <w:t>。主要原因是</w:t>
      </w:r>
      <w:r>
        <w:rPr>
          <w:rFonts w:hint="eastAsia" w:ascii="仿宋_GB2312" w:hAnsi="仿宋_GB2312" w:eastAsia="仿宋_GB2312"/>
          <w:color w:val="000000"/>
          <w:sz w:val="32"/>
          <w:szCs w:val="32"/>
          <w:lang w:eastAsia="zh-CN"/>
        </w:rPr>
        <w:t>厉行节约</w:t>
      </w:r>
      <w:r>
        <w:rPr>
          <w:rFonts w:hint="eastAsia" w:ascii="仿宋_GB2312" w:hAnsi="仿宋_GB2312" w:eastAsia="仿宋_GB2312"/>
          <w:color w:val="000000"/>
          <w:sz w:val="32"/>
          <w:szCs w:val="32"/>
        </w:rPr>
        <w:t>，减少不必要开支。其中：</w:t>
      </w:r>
    </w:p>
    <w:p>
      <w:pPr>
        <w:spacing w:line="600" w:lineRule="exact"/>
        <w:ind w:firstLine="640"/>
      </w:pPr>
      <w:r>
        <w:rPr>
          <w:rFonts w:hint="eastAsia" w:ascii="仿宋" w:hAnsi="仿宋" w:eastAsia="仿宋" w:cs="仿宋"/>
          <w:b/>
          <w:color w:val="000000"/>
          <w:sz w:val="32"/>
          <w:szCs w:val="32"/>
        </w:rPr>
        <w:t>国内公务接待支出</w:t>
      </w:r>
      <w:r>
        <w:rPr>
          <w:rFonts w:ascii="仿宋" w:hAnsi="仿宋" w:eastAsia="仿宋" w:cs="仿宋"/>
          <w:color w:val="000000"/>
          <w:sz w:val="32"/>
          <w:szCs w:val="32"/>
        </w:rPr>
        <w:t>0.13</w:t>
      </w:r>
      <w:r>
        <w:rPr>
          <w:rFonts w:hint="eastAsia" w:ascii="仿宋_GB2312" w:hAnsi="仿宋_GB2312" w:eastAsia="仿宋_GB2312"/>
          <w:color w:val="000000"/>
          <w:sz w:val="32"/>
          <w:szCs w:val="32"/>
        </w:rPr>
        <w:t>万元。主要用于执行公务、开展业务活动开支的用餐费。国内公务接待1批次，11人次，共计支出</w:t>
      </w:r>
      <w:r>
        <w:rPr>
          <w:rFonts w:ascii="仿宋" w:hAnsi="仿宋" w:eastAsia="仿宋" w:cs="仿宋"/>
          <w:color w:val="000000"/>
          <w:sz w:val="32"/>
          <w:szCs w:val="32"/>
        </w:rPr>
        <w:t>0.</w:t>
      </w:r>
      <w:r>
        <w:rPr>
          <w:rFonts w:hint="eastAsia" w:ascii="仿宋" w:hAnsi="仿宋" w:eastAsia="仿宋" w:cs="仿宋"/>
          <w:color w:val="000000"/>
          <w:sz w:val="32"/>
          <w:szCs w:val="32"/>
        </w:rPr>
        <w:t>13</w:t>
      </w:r>
      <w:r>
        <w:rPr>
          <w:rFonts w:hint="eastAsia" w:ascii="仿宋_GB2312" w:hAnsi="仿宋_GB2312" w:eastAsia="仿宋_GB2312"/>
          <w:color w:val="000000"/>
          <w:sz w:val="32"/>
          <w:szCs w:val="32"/>
        </w:rPr>
        <w:t>万元，具体内容包括：本年度公务接待为主。</w:t>
      </w:r>
    </w:p>
    <w:p>
      <w:pPr>
        <w:spacing w:line="600" w:lineRule="exact"/>
        <w:ind w:firstLine="643"/>
      </w:pPr>
      <w:r>
        <w:rPr>
          <w:rFonts w:hint="eastAsia" w:ascii="仿宋" w:hAnsi="仿宋" w:eastAsia="仿宋" w:cs="仿宋"/>
          <w:b/>
          <w:color w:val="000000"/>
          <w:sz w:val="32"/>
          <w:szCs w:val="32"/>
        </w:rPr>
        <w:t>外事接待支出</w:t>
      </w:r>
      <w:r>
        <w:rPr>
          <w:rFonts w:hint="eastAsia" w:ascii="仿宋" w:hAnsi="仿宋" w:eastAsia="仿宋" w:cs="仿宋"/>
          <w:color w:val="000000"/>
          <w:sz w:val="32"/>
          <w:szCs w:val="32"/>
        </w:rPr>
        <w:t>0</w:t>
      </w:r>
      <w:r>
        <w:rPr>
          <w:rFonts w:hint="eastAsia" w:ascii="仿宋_GB2312" w:hAnsi="仿宋_GB2312" w:eastAsia="仿宋_GB2312"/>
          <w:color w:val="000000"/>
          <w:sz w:val="32"/>
          <w:szCs w:val="32"/>
        </w:rPr>
        <w:t>万元，外事接待0批次，0人，共计支出0万元。</w:t>
      </w:r>
    </w:p>
    <w:p>
      <w:pPr>
        <w:spacing w:line="600" w:lineRule="exact"/>
        <w:ind w:firstLine="640"/>
      </w:pPr>
      <w:r>
        <w:rPr>
          <w:rFonts w:hint="eastAsia" w:ascii="黑体" w:hAnsi="黑体" w:eastAsia="黑体"/>
          <w:color w:val="000000"/>
          <w:sz w:val="32"/>
          <w:szCs w:val="32"/>
        </w:rPr>
        <w:t>八、</w:t>
      </w:r>
      <w:r>
        <w:rPr>
          <w:rStyle w:val="18"/>
          <w:rFonts w:hint="eastAsia" w:ascii="黑体" w:hAnsi="黑体" w:eastAsia="黑体" w:cs="黑体"/>
          <w:b w:val="0"/>
        </w:rPr>
        <w:t>政府性基金预算支出决算情况说明</w:t>
      </w:r>
    </w:p>
    <w:p>
      <w:pPr>
        <w:spacing w:line="600" w:lineRule="exact"/>
        <w:ind w:firstLine="640"/>
      </w:pPr>
      <w:r>
        <w:rPr>
          <w:rFonts w:ascii="仿宋_GB2312" w:hAnsi="仿宋_GB2312" w:eastAsia="仿宋_GB2312"/>
          <w:color w:val="000000"/>
          <w:sz w:val="32"/>
          <w:szCs w:val="32"/>
        </w:rPr>
        <w:t>202</w:t>
      </w:r>
      <w:r>
        <w:rPr>
          <w:rFonts w:hint="eastAsia" w:ascii="仿宋_GB2312" w:hAnsi="仿宋_GB2312" w:eastAsia="仿宋_GB2312"/>
          <w:color w:val="000000"/>
          <w:sz w:val="32"/>
          <w:szCs w:val="32"/>
        </w:rPr>
        <w:t>1年政府性基金预算拨款支出</w:t>
      </w:r>
      <w:r>
        <w:rPr>
          <w:rFonts w:ascii="仿宋_GB2312" w:hAnsi="仿宋_GB2312" w:eastAsia="仿宋_GB2312"/>
          <w:color w:val="000000"/>
          <w:sz w:val="32"/>
          <w:szCs w:val="32"/>
        </w:rPr>
        <w:t>37.21</w:t>
      </w:r>
      <w:r>
        <w:rPr>
          <w:rFonts w:hint="eastAsia" w:ascii="仿宋_GB2312" w:hAnsi="仿宋_GB2312" w:eastAsia="仿宋_GB2312"/>
          <w:color w:val="000000"/>
          <w:sz w:val="32"/>
          <w:szCs w:val="32"/>
        </w:rPr>
        <w:t>万元。</w:t>
      </w:r>
    </w:p>
    <w:p>
      <w:pPr>
        <w:numPr>
          <w:ilvl w:val="0"/>
          <w:numId w:val="4"/>
        </w:numPr>
        <w:spacing w:line="600" w:lineRule="exact"/>
        <w:ind w:firstLine="640"/>
        <w:rPr>
          <w:rStyle w:val="18"/>
          <w:rFonts w:ascii="黑体" w:hAnsi="黑体" w:eastAsia="黑体" w:cs="黑体"/>
          <w:b w:val="0"/>
        </w:rPr>
      </w:pPr>
      <w:r>
        <w:rPr>
          <w:rStyle w:val="18"/>
          <w:rFonts w:hint="eastAsia" w:ascii="黑体" w:hAnsi="黑体" w:eastAsia="黑体" w:cs="黑体"/>
          <w:b w:val="0"/>
          <w:bCs w:val="0"/>
        </w:rPr>
        <w:t>国有资本经营预算支出决算情况说明</w:t>
      </w:r>
    </w:p>
    <w:p>
      <w:pPr>
        <w:spacing w:line="600" w:lineRule="exact"/>
        <w:ind w:firstLine="640"/>
      </w:pPr>
      <w:r>
        <w:rPr>
          <w:rFonts w:ascii="仿宋_GB2312" w:hAnsi="仿宋_GB2312" w:eastAsia="仿宋_GB2312"/>
          <w:color w:val="000000"/>
          <w:sz w:val="32"/>
          <w:szCs w:val="32"/>
        </w:rPr>
        <w:t>202</w:t>
      </w:r>
      <w:r>
        <w:rPr>
          <w:rFonts w:hint="eastAsia" w:ascii="仿宋_GB2312" w:hAnsi="仿宋_GB2312" w:eastAsia="仿宋_GB2312"/>
          <w:color w:val="000000"/>
          <w:sz w:val="32"/>
          <w:szCs w:val="32"/>
        </w:rPr>
        <w:t>1年国有资本经营预算拨款支出0万元。</w:t>
      </w:r>
    </w:p>
    <w:p>
      <w:pPr>
        <w:spacing w:line="600" w:lineRule="exact"/>
        <w:ind w:firstLine="800"/>
      </w:pPr>
      <w:r>
        <w:rPr>
          <w:rFonts w:hint="eastAsia" w:ascii="黑体" w:hAnsi="黑体" w:eastAsia="黑体" w:cs="黑体"/>
          <w:color w:val="000000"/>
          <w:sz w:val="32"/>
          <w:szCs w:val="32"/>
        </w:rPr>
        <w:t>十</w:t>
      </w:r>
      <w:r>
        <w:rPr>
          <w:rStyle w:val="18"/>
          <w:rFonts w:hint="eastAsia" w:ascii="黑体" w:hAnsi="黑体" w:eastAsia="黑体" w:cs="黑体"/>
        </w:rPr>
        <w:t>、</w:t>
      </w:r>
      <w:r>
        <w:rPr>
          <w:rStyle w:val="18"/>
          <w:rFonts w:hint="eastAsia" w:ascii="黑体" w:hAnsi="黑体" w:eastAsia="黑体" w:cs="黑体"/>
          <w:b w:val="0"/>
        </w:rPr>
        <w:t>其他重要事项的情况说明</w:t>
      </w:r>
    </w:p>
    <w:p>
      <w:pPr>
        <w:spacing w:line="600" w:lineRule="exact"/>
        <w:ind w:firstLine="643"/>
      </w:pPr>
      <w:r>
        <w:rPr>
          <w:rFonts w:hint="eastAsia" w:ascii="仿宋" w:hAnsi="仿宋" w:eastAsia="仿宋" w:cs="仿宋"/>
          <w:b/>
          <w:color w:val="000000"/>
          <w:sz w:val="32"/>
          <w:szCs w:val="32"/>
        </w:rPr>
        <w:t>（一）机关运行经费支出情况</w:t>
      </w:r>
    </w:p>
    <w:p>
      <w:pPr>
        <w:spacing w:line="600" w:lineRule="exact"/>
        <w:ind w:firstLine="640"/>
      </w:pPr>
      <w:r>
        <w:rPr>
          <w:rFonts w:ascii="仿宋_GB2312" w:hAnsi="仿宋_GB2312" w:eastAsia="仿宋_GB2312"/>
          <w:color w:val="000000"/>
          <w:sz w:val="32"/>
          <w:szCs w:val="32"/>
        </w:rPr>
        <w:t>202</w:t>
      </w:r>
      <w:r>
        <w:rPr>
          <w:rFonts w:hint="eastAsia" w:ascii="仿宋_GB2312" w:hAnsi="仿宋_GB2312" w:eastAsia="仿宋_GB2312"/>
          <w:color w:val="000000"/>
          <w:sz w:val="32"/>
          <w:szCs w:val="32"/>
        </w:rPr>
        <w:t>1年，攀枝花市仁和区医疗保障局机关运行经费支出23.96万元，比</w:t>
      </w:r>
      <w:r>
        <w:rPr>
          <w:rFonts w:ascii="仿宋_GB2312" w:hAnsi="仿宋_GB2312" w:eastAsia="仿宋_GB2312"/>
          <w:color w:val="000000"/>
          <w:sz w:val="32"/>
          <w:szCs w:val="32"/>
        </w:rPr>
        <w:t>20</w:t>
      </w:r>
      <w:r>
        <w:rPr>
          <w:rFonts w:hint="eastAsia" w:ascii="仿宋_GB2312" w:hAnsi="仿宋_GB2312" w:eastAsia="仿宋_GB2312"/>
          <w:color w:val="000000"/>
          <w:sz w:val="32"/>
          <w:szCs w:val="32"/>
        </w:rPr>
        <w:t>20年减少1.38万元，下降5.4</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。主要原因是</w:t>
      </w:r>
      <w:r>
        <w:rPr>
          <w:rFonts w:hint="eastAsia" w:ascii="仿宋_GB2312" w:hAnsi="仿宋_GB2312" w:eastAsia="仿宋_GB2312"/>
          <w:color w:val="000000"/>
          <w:sz w:val="32"/>
          <w:szCs w:val="32"/>
          <w:lang w:eastAsia="zh-CN"/>
        </w:rPr>
        <w:t>厉行节约</w:t>
      </w:r>
      <w:r>
        <w:rPr>
          <w:rFonts w:hint="eastAsia" w:ascii="仿宋_GB2312" w:hAnsi="仿宋_GB2312" w:eastAsia="仿宋_GB2312"/>
          <w:color w:val="000000"/>
          <w:sz w:val="32"/>
          <w:szCs w:val="32"/>
        </w:rPr>
        <w:t>，减少不必要开支。</w:t>
      </w:r>
    </w:p>
    <w:p>
      <w:pPr>
        <w:autoSpaceDE w:val="0"/>
        <w:spacing w:line="600" w:lineRule="exact"/>
        <w:ind w:firstLine="643"/>
        <w:jc w:val="left"/>
      </w:pPr>
      <w:r>
        <w:rPr>
          <w:rFonts w:hint="eastAsia" w:ascii="仿宋" w:hAnsi="仿宋" w:eastAsia="仿宋" w:cs="仿宋"/>
          <w:b/>
          <w:color w:val="000000"/>
          <w:sz w:val="32"/>
          <w:szCs w:val="32"/>
        </w:rPr>
        <w:t>（二）政府采购支出情况</w:t>
      </w:r>
    </w:p>
    <w:p>
      <w:pPr>
        <w:spacing w:line="600" w:lineRule="exact"/>
        <w:ind w:firstLine="640"/>
      </w:pPr>
      <w:r>
        <w:rPr>
          <w:rFonts w:ascii="仿宋_GB2312" w:hAnsi="仿宋_GB2312" w:eastAsia="仿宋_GB2312"/>
          <w:color w:val="000000"/>
          <w:sz w:val="32"/>
          <w:szCs w:val="32"/>
        </w:rPr>
        <w:t>202</w:t>
      </w:r>
      <w:r>
        <w:rPr>
          <w:rFonts w:hint="eastAsia" w:ascii="仿宋_GB2312" w:hAnsi="仿宋_GB2312" w:eastAsia="仿宋_GB2312"/>
          <w:color w:val="000000"/>
          <w:sz w:val="32"/>
          <w:szCs w:val="32"/>
        </w:rPr>
        <w:t>1年，攀枝花市仁和区医疗保障局支出总额6.07万元，其中：政府采购货物支出6.07万元、政府采购工程支出0万元、政府采购服务支出0万元。主要用于办公</w:t>
      </w:r>
      <w:r>
        <w:rPr>
          <w:rFonts w:ascii="仿宋_GB2312" w:hAnsi="仿宋_GB2312" w:eastAsia="仿宋_GB2312"/>
          <w:color w:val="000000"/>
          <w:sz w:val="32"/>
          <w:szCs w:val="32"/>
        </w:rPr>
        <w:t>设备更新换代。</w:t>
      </w:r>
      <w:r>
        <w:rPr>
          <w:rFonts w:hint="eastAsia" w:ascii="仿宋_GB2312" w:hAnsi="仿宋_GB2312" w:eastAsia="仿宋_GB2312"/>
          <w:color w:val="000000"/>
          <w:sz w:val="32"/>
          <w:szCs w:val="32"/>
        </w:rPr>
        <w:t>授予中小企业合同金额6.07万元，占政府采购支出总额的100</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，其中：授予小微企业合同金额6.07万元，占政府采购支出总额的100</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w:t>
      </w:r>
    </w:p>
    <w:p>
      <w:pPr>
        <w:autoSpaceDE w:val="0"/>
        <w:spacing w:line="600" w:lineRule="exact"/>
        <w:ind w:firstLine="643"/>
        <w:jc w:val="left"/>
      </w:pPr>
      <w:r>
        <w:rPr>
          <w:rFonts w:hint="eastAsia" w:ascii="仿宋" w:hAnsi="仿宋" w:eastAsia="仿宋" w:cs="仿宋"/>
          <w:b/>
          <w:color w:val="000000"/>
          <w:sz w:val="32"/>
          <w:szCs w:val="32"/>
        </w:rPr>
        <w:t>（三）国有资产占有使用情况</w:t>
      </w:r>
    </w:p>
    <w:p>
      <w:pPr>
        <w:autoSpaceDE w:val="0"/>
        <w:spacing w:line="600" w:lineRule="exact"/>
        <w:ind w:firstLine="640"/>
        <w:jc w:val="left"/>
      </w:pPr>
      <w:r>
        <w:rPr>
          <w:rFonts w:hint="eastAsia" w:ascii="仿宋_GB2312" w:hAnsi="仿宋_GB2312" w:eastAsia="仿宋_GB2312"/>
          <w:color w:val="000000"/>
          <w:sz w:val="32"/>
          <w:szCs w:val="32"/>
        </w:rPr>
        <w:t>截至</w:t>
      </w:r>
      <w:r>
        <w:rPr>
          <w:rFonts w:ascii="仿宋_GB2312" w:hAnsi="仿宋_GB2312" w:eastAsia="仿宋_GB2312"/>
          <w:color w:val="000000"/>
          <w:sz w:val="32"/>
          <w:szCs w:val="32"/>
        </w:rPr>
        <w:t>202</w:t>
      </w:r>
      <w:r>
        <w:rPr>
          <w:rFonts w:hint="eastAsia" w:ascii="仿宋_GB2312" w:hAnsi="仿宋_GB2312" w:eastAsia="仿宋_GB2312"/>
          <w:color w:val="000000"/>
          <w:sz w:val="32"/>
          <w:szCs w:val="32"/>
        </w:rPr>
        <w:t>1年</w:t>
      </w:r>
      <w:r>
        <w:rPr>
          <w:rFonts w:ascii="仿宋_GB2312" w:hAnsi="仿宋_GB2312" w:eastAsia="仿宋_GB2312"/>
          <w:color w:val="000000"/>
          <w:sz w:val="32"/>
          <w:szCs w:val="32"/>
        </w:rPr>
        <w:t>12</w:t>
      </w:r>
      <w:r>
        <w:rPr>
          <w:rFonts w:hint="eastAsia" w:ascii="仿宋_GB2312" w:hAnsi="仿宋_GB2312" w:eastAsia="仿宋_GB2312"/>
          <w:color w:val="000000"/>
          <w:sz w:val="32"/>
          <w:szCs w:val="32"/>
        </w:rPr>
        <w:t>月</w:t>
      </w:r>
      <w:r>
        <w:rPr>
          <w:rFonts w:ascii="仿宋_GB2312" w:hAnsi="仿宋_GB2312" w:eastAsia="仿宋_GB2312"/>
          <w:color w:val="000000"/>
          <w:sz w:val="32"/>
          <w:szCs w:val="32"/>
        </w:rPr>
        <w:t>31</w:t>
      </w:r>
      <w:r>
        <w:rPr>
          <w:rFonts w:hint="eastAsia" w:ascii="仿宋_GB2312" w:hAnsi="仿宋_GB2312" w:eastAsia="仿宋_GB2312"/>
          <w:color w:val="000000"/>
          <w:sz w:val="32"/>
          <w:szCs w:val="32"/>
        </w:rPr>
        <w:t>日，攀枝花市仁和区医疗保障局共有车辆0辆，其中：副部（省）级及以上领导用车0辆、主要领导干部用车0辆、机要通信用车0辆、应急保障用车0辆、应急保障用车0辆、执法执勤用车0辆、特种专业技术用车0辆、离退休干部用车0辆、其他用车0辆。</w:t>
      </w:r>
    </w:p>
    <w:p>
      <w:pPr>
        <w:autoSpaceDE w:val="0"/>
        <w:spacing w:line="600" w:lineRule="exact"/>
        <w:ind w:firstLine="640"/>
        <w:jc w:val="left"/>
      </w:pPr>
      <w:r>
        <w:rPr>
          <w:rFonts w:hint="eastAsia" w:ascii="仿宋_GB2312" w:hAnsi="仿宋_GB2312" w:eastAsia="仿宋_GB2312"/>
          <w:color w:val="000000"/>
          <w:sz w:val="32"/>
          <w:szCs w:val="32"/>
        </w:rPr>
        <w:t>单价</w:t>
      </w:r>
      <w:r>
        <w:rPr>
          <w:rFonts w:ascii="仿宋_GB2312" w:hAnsi="仿宋_GB2312" w:eastAsia="仿宋_GB2312"/>
          <w:color w:val="000000"/>
          <w:sz w:val="32"/>
          <w:szCs w:val="32"/>
        </w:rPr>
        <w:t>50</w:t>
      </w:r>
      <w:r>
        <w:rPr>
          <w:rFonts w:hint="eastAsia" w:ascii="仿宋_GB2312" w:hAnsi="仿宋_GB2312" w:eastAsia="仿宋_GB2312"/>
          <w:color w:val="000000"/>
          <w:sz w:val="32"/>
          <w:szCs w:val="32"/>
        </w:rPr>
        <w:t>万元以上通用设备0台</w:t>
      </w:r>
      <w:r>
        <w:rPr>
          <w:rFonts w:hint="eastAsia" w:ascii="仿宋_GB2312" w:hAnsi="仿宋_GB2312" w:eastAsia="仿宋_GB2312"/>
          <w:i/>
          <w:color w:val="000000"/>
          <w:sz w:val="32"/>
          <w:szCs w:val="32"/>
        </w:rPr>
        <w:t>（套）</w:t>
      </w:r>
      <w:r>
        <w:rPr>
          <w:rFonts w:hint="eastAsia" w:ascii="仿宋_GB2312" w:hAnsi="仿宋_GB2312" w:eastAsia="仿宋_GB2312"/>
          <w:color w:val="000000"/>
          <w:sz w:val="32"/>
          <w:szCs w:val="32"/>
        </w:rPr>
        <w:t>，单价</w:t>
      </w:r>
      <w:r>
        <w:rPr>
          <w:rFonts w:ascii="仿宋_GB2312" w:hAnsi="仿宋_GB2312" w:eastAsia="仿宋_GB2312"/>
          <w:color w:val="000000"/>
          <w:sz w:val="32"/>
          <w:szCs w:val="32"/>
        </w:rPr>
        <w:t>100</w:t>
      </w:r>
      <w:r>
        <w:rPr>
          <w:rFonts w:hint="eastAsia" w:ascii="仿宋_GB2312" w:hAnsi="仿宋_GB2312" w:eastAsia="仿宋_GB2312"/>
          <w:color w:val="000000"/>
          <w:sz w:val="32"/>
          <w:szCs w:val="32"/>
        </w:rPr>
        <w:t>万元以上专用设备0台</w:t>
      </w:r>
      <w:r>
        <w:rPr>
          <w:rFonts w:hint="eastAsia" w:ascii="仿宋_GB2312" w:hAnsi="仿宋_GB2312" w:eastAsia="仿宋_GB2312"/>
          <w:i/>
          <w:color w:val="000000"/>
          <w:sz w:val="32"/>
          <w:szCs w:val="32"/>
        </w:rPr>
        <w:t>（套）</w:t>
      </w:r>
      <w:r>
        <w:rPr>
          <w:rFonts w:hint="eastAsia" w:ascii="仿宋_GB2312" w:hAnsi="仿宋_GB2312" w:eastAsia="仿宋_GB2312"/>
          <w:color w:val="000000"/>
          <w:sz w:val="32"/>
          <w:szCs w:val="32"/>
        </w:rPr>
        <w:t>。</w:t>
      </w:r>
    </w:p>
    <w:p>
      <w:pPr>
        <w:autoSpaceDE w:val="0"/>
        <w:spacing w:line="600" w:lineRule="exact"/>
        <w:ind w:firstLine="643"/>
        <w:jc w:val="left"/>
      </w:pPr>
      <w:r>
        <w:rPr>
          <w:rFonts w:hint="eastAsia" w:ascii="仿宋" w:hAnsi="仿宋" w:eastAsia="仿宋" w:cs="仿宋"/>
          <w:b/>
          <w:sz w:val="32"/>
          <w:szCs w:val="32"/>
        </w:rPr>
        <w:t>（四）预算绩效管理情况。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年度预算编制阶段，组织对</w:t>
      </w:r>
      <w:r>
        <w:rPr>
          <w:rFonts w:ascii="仿宋_GB2312" w:hAnsi="仿宋_GB2312" w:eastAsia="仿宋_GB2312" w:cs="仿宋_GB2312"/>
          <w:sz w:val="32"/>
          <w:szCs w:val="32"/>
        </w:rPr>
        <w:t>城乡医疗救助资金、村卫生室使用医保“村医通”金保工程业务专网费用、县级以上离休干部、二等乙级革命伤残军人等人员医疗费、建国初期参加革命工作老干部医疗补助经费、城乡居民基本医疗保险补助</w:t>
      </w:r>
      <w:r>
        <w:rPr>
          <w:rFonts w:hint="eastAsia" w:ascii="仿宋_GB2312" w:hAnsi="仿宋_GB2312" w:eastAsia="仿宋_GB2312" w:cs="仿宋_GB2312"/>
          <w:sz w:val="32"/>
          <w:szCs w:val="32"/>
        </w:rPr>
        <w:t>5个项目开展了预算事前绩效评估</w:t>
      </w:r>
      <w:r>
        <w:rPr>
          <w:rFonts w:hint="eastAsia" w:ascii="仿宋_GB2312" w:hAnsi="仿宋_GB2312" w:eastAsia="仿宋_GB2312" w:cs="仿宋_GB2312"/>
          <w:i/>
          <w:sz w:val="32"/>
          <w:szCs w:val="32"/>
        </w:rPr>
        <w:t>，</w:t>
      </w:r>
      <w:r>
        <w:rPr>
          <w:rFonts w:hint="eastAsia" w:ascii="仿宋_GB2312" w:hAnsi="仿宋_GB2312" w:eastAsia="仿宋_GB2312" w:cs="仿宋_GB2312"/>
          <w:sz w:val="32"/>
          <w:szCs w:val="32"/>
        </w:rPr>
        <w:t>对5个项目编制了绩效目标</w:t>
      </w:r>
      <w:r>
        <w:rPr>
          <w:rFonts w:hint="eastAsia" w:ascii="仿宋_GB2312" w:hAnsi="仿宋_GB2312" w:eastAsia="仿宋_GB2312" w:cs="仿宋_GB2312"/>
          <w:i/>
          <w:kern w:val="0"/>
          <w:sz w:val="32"/>
          <w:szCs w:val="32"/>
        </w:rPr>
        <w:t>，</w:t>
      </w:r>
      <w:r>
        <w:rPr>
          <w:rFonts w:hint="eastAsia" w:ascii="仿宋_GB2312" w:hAnsi="仿宋_GB2312" w:eastAsia="仿宋_GB2312" w:cs="仿宋_GB2312"/>
          <w:sz w:val="32"/>
          <w:szCs w:val="32"/>
        </w:rPr>
        <w:t>预算执行过程中，选取5个项目开展绩效监控</w:t>
      </w:r>
      <w:r>
        <w:rPr>
          <w:rFonts w:hint="eastAsia" w:ascii="仿宋_GB2312" w:hAnsi="仿宋_GB2312" w:eastAsia="仿宋_GB2312" w:cs="仿宋_GB2312"/>
          <w:i/>
          <w:kern w:val="0"/>
          <w:sz w:val="32"/>
          <w:szCs w:val="32"/>
        </w:rPr>
        <w:t>，</w:t>
      </w:r>
      <w:r>
        <w:rPr>
          <w:rFonts w:hint="eastAsia" w:ascii="仿宋_GB2312" w:hAnsi="仿宋_GB2312" w:eastAsia="仿宋_GB2312" w:cs="仿宋_GB2312"/>
          <w:sz w:val="32"/>
          <w:szCs w:val="32"/>
        </w:rPr>
        <w:t>年终执行完毕后，对9个项目开展了绩效自评。同时，本部门对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年部门整体开展绩效自评，《</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年攀</w:t>
      </w:r>
      <w:r>
        <w:rPr>
          <w:rFonts w:ascii="仿宋_GB2312" w:hAnsi="仿宋_GB2312" w:eastAsia="仿宋_GB2312" w:cs="仿宋_GB2312"/>
          <w:sz w:val="32"/>
          <w:szCs w:val="32"/>
        </w:rPr>
        <w:t>枝花市仁和区医疗保障局</w:t>
      </w:r>
      <w:r>
        <w:rPr>
          <w:rFonts w:hint="eastAsia" w:ascii="仿宋_GB2312" w:hAnsi="仿宋_GB2312" w:eastAsia="仿宋_GB2312" w:cs="仿宋_GB2312"/>
          <w:sz w:val="32"/>
          <w:szCs w:val="32"/>
        </w:rPr>
        <w:t>部门整体绩效评价报告》见附件（第四部分）。</w:t>
      </w:r>
    </w:p>
    <w:p>
      <w:pPr>
        <w:pageBreakBefore/>
        <w:widowControl/>
        <w:jc w:val="left"/>
        <w:rPr>
          <w:rFonts w:ascii="仿宋_GB2312" w:hAnsi="仿宋_GB2312" w:eastAsia="仿宋_GB2312" w:cs="仿宋_GB2312"/>
          <w:b/>
          <w:i/>
          <w:color w:val="000000"/>
          <w:kern w:val="0"/>
          <w:sz w:val="32"/>
          <w:szCs w:val="32"/>
        </w:rPr>
      </w:pPr>
    </w:p>
    <w:p>
      <w:pPr>
        <w:numPr>
          <w:ilvl w:val="0"/>
          <w:numId w:val="5"/>
        </w:numPr>
        <w:spacing w:line="600" w:lineRule="exact"/>
        <w:ind w:firstLine="660"/>
        <w:jc w:val="center"/>
        <w:rPr>
          <w:rFonts w:ascii="黑体" w:hAnsi="黑体" w:eastAsia="黑体" w:cs="黑体"/>
          <w:color w:val="000000"/>
          <w:sz w:val="44"/>
          <w:szCs w:val="44"/>
        </w:rPr>
      </w:pPr>
      <w:r>
        <w:rPr>
          <w:rFonts w:hint="eastAsia" w:ascii="黑体" w:hAnsi="黑体" w:eastAsia="黑体" w:cs="黑体"/>
          <w:color w:val="000000"/>
          <w:sz w:val="44"/>
          <w:szCs w:val="44"/>
        </w:rPr>
        <w:t>名词解释</w:t>
      </w:r>
    </w:p>
    <w:p>
      <w:pPr>
        <w:spacing w:line="600" w:lineRule="exact"/>
        <w:jc w:val="left"/>
      </w:pPr>
    </w:p>
    <w:p>
      <w:pPr>
        <w:pStyle w:val="19"/>
        <w:spacing w:line="560" w:lineRule="exact"/>
        <w:ind w:firstLine="640"/>
      </w:pPr>
      <w:r>
        <w:rPr>
          <w:rFonts w:ascii="仿宋_GB2312" w:hAnsi="仿宋_GB2312" w:eastAsia="仿宋_GB2312"/>
          <w:sz w:val="32"/>
          <w:szCs w:val="32"/>
        </w:rPr>
        <w:t>1.</w:t>
      </w:r>
      <w:r>
        <w:rPr>
          <w:rFonts w:hint="eastAsia" w:ascii="仿宋_GB2312" w:hAnsi="仿宋_GB2312" w:eastAsia="仿宋_GB2312"/>
          <w:sz w:val="32"/>
          <w:szCs w:val="32"/>
        </w:rPr>
        <w:t>财政拨款收入：指单位从同级财政部门取得的财政预算资金。</w:t>
      </w:r>
    </w:p>
    <w:p>
      <w:pPr>
        <w:pStyle w:val="19"/>
        <w:spacing w:line="560" w:lineRule="exact"/>
        <w:ind w:firstLine="640"/>
      </w:pPr>
      <w:r>
        <w:rPr>
          <w:rFonts w:ascii="仿宋_GB2312" w:hAnsi="仿宋_GB2312" w:eastAsia="仿宋_GB2312"/>
          <w:sz w:val="32"/>
          <w:szCs w:val="32"/>
        </w:rPr>
        <w:t>2.</w:t>
      </w:r>
      <w:r>
        <w:rPr>
          <w:rFonts w:hint="eastAsia" w:ascii="仿宋_GB2312" w:hAnsi="仿宋_GB2312" w:eastAsia="仿宋_GB2312"/>
          <w:sz w:val="32"/>
          <w:szCs w:val="32"/>
        </w:rPr>
        <w:t>事业收入：指事业单位开展专业业务活动及辅助活动取得的收入。</w:t>
      </w:r>
    </w:p>
    <w:p>
      <w:pPr>
        <w:pStyle w:val="19"/>
        <w:spacing w:line="560" w:lineRule="exact"/>
        <w:ind w:firstLine="640"/>
      </w:pPr>
      <w:r>
        <w:rPr>
          <w:rFonts w:ascii="仿宋_GB2312" w:hAnsi="仿宋_GB2312" w:eastAsia="仿宋_GB2312"/>
          <w:sz w:val="32"/>
          <w:szCs w:val="32"/>
        </w:rPr>
        <w:t>3.</w:t>
      </w:r>
      <w:r>
        <w:rPr>
          <w:rFonts w:hint="eastAsia" w:ascii="仿宋_GB2312" w:hAnsi="仿宋_GB2312" w:eastAsia="仿宋_GB2312"/>
          <w:sz w:val="32"/>
          <w:szCs w:val="32"/>
        </w:rPr>
        <w:t>经营收入：指事业单位在专业业务活动及其辅助活动之外开展非独立核算经营活动取得的收入。</w:t>
      </w:r>
    </w:p>
    <w:p>
      <w:pPr>
        <w:pStyle w:val="19"/>
        <w:spacing w:line="560" w:lineRule="exact"/>
        <w:ind w:firstLine="640"/>
      </w:pPr>
      <w:r>
        <w:rPr>
          <w:rFonts w:ascii="仿宋_GB2312" w:hAnsi="仿宋_GB2312" w:eastAsia="仿宋_GB2312"/>
          <w:sz w:val="32"/>
          <w:szCs w:val="32"/>
        </w:rPr>
        <w:t>4.</w:t>
      </w:r>
      <w:r>
        <w:rPr>
          <w:rFonts w:hint="eastAsia" w:ascii="仿宋_GB2312" w:hAnsi="仿宋_GB2312" w:eastAsia="仿宋_GB2312"/>
          <w:sz w:val="32"/>
          <w:szCs w:val="32"/>
        </w:rPr>
        <w:t>其他收入：指单位取得的除上述收入以外的各项收入。</w:t>
      </w:r>
    </w:p>
    <w:p>
      <w:pPr>
        <w:pStyle w:val="19"/>
        <w:spacing w:line="560" w:lineRule="exact"/>
        <w:ind w:firstLine="640"/>
      </w:pPr>
      <w:r>
        <w:rPr>
          <w:rFonts w:ascii="仿宋_GB2312" w:hAnsi="仿宋_GB2312" w:eastAsia="仿宋_GB2312"/>
          <w:sz w:val="32"/>
          <w:szCs w:val="32"/>
        </w:rPr>
        <w:t>5.</w:t>
      </w:r>
      <w:r>
        <w:rPr>
          <w:rFonts w:hint="eastAsia" w:ascii="仿宋_GB2312" w:hAnsi="仿宋_GB2312" w:eastAsia="仿宋_GB2312"/>
          <w:sz w:val="32"/>
          <w:szCs w:val="32"/>
        </w:rPr>
        <w:t>使用非财政拨款结余：指事业单位使用以前年度积累的非财政拨款结余弥补当年收支差额的金额。</w:t>
      </w:r>
    </w:p>
    <w:p>
      <w:pPr>
        <w:pStyle w:val="19"/>
        <w:spacing w:line="560" w:lineRule="exact"/>
        <w:ind w:firstLine="640"/>
      </w:pPr>
      <w:r>
        <w:rPr>
          <w:rFonts w:ascii="仿宋_GB2312" w:hAnsi="仿宋_GB2312" w:eastAsia="仿宋_GB2312"/>
          <w:sz w:val="32"/>
          <w:szCs w:val="32"/>
        </w:rPr>
        <w:t>6.</w:t>
      </w:r>
      <w:r>
        <w:rPr>
          <w:rFonts w:hint="eastAsia" w:ascii="仿宋_GB2312" w:hAnsi="仿宋_GB2312" w:eastAsia="仿宋_GB2312"/>
          <w:sz w:val="32"/>
          <w:szCs w:val="32"/>
        </w:rPr>
        <w:t>年初结转和结余：指以前年度尚未完成、结转到本年按有关规定继续使用的资金。</w:t>
      </w:r>
    </w:p>
    <w:p>
      <w:pPr>
        <w:pStyle w:val="19"/>
        <w:spacing w:line="560" w:lineRule="exact"/>
        <w:ind w:firstLine="640"/>
      </w:pPr>
      <w:r>
        <w:rPr>
          <w:rFonts w:ascii="仿宋_GB2312" w:hAnsi="仿宋_GB2312" w:eastAsia="仿宋_GB2312"/>
          <w:sz w:val="32"/>
          <w:szCs w:val="32"/>
        </w:rPr>
        <w:t>7.</w:t>
      </w:r>
      <w:r>
        <w:rPr>
          <w:rFonts w:hint="eastAsia" w:ascii="仿宋_GB2312" w:hAnsi="仿宋_GB2312" w:eastAsia="仿宋_GB2312"/>
          <w:sz w:val="32"/>
          <w:szCs w:val="32"/>
        </w:rPr>
        <w:t>结余分配：指事业单位按照会计制度规定缴纳的所得税、提取的专用结余以及转入非财政拨款结余的金额等。</w:t>
      </w:r>
    </w:p>
    <w:p>
      <w:pPr>
        <w:pStyle w:val="19"/>
        <w:spacing w:line="560" w:lineRule="exact"/>
        <w:ind w:firstLine="640"/>
      </w:pPr>
      <w:r>
        <w:rPr>
          <w:rFonts w:ascii="仿宋_GB2312" w:hAnsi="仿宋_GB2312" w:eastAsia="仿宋_GB2312"/>
          <w:sz w:val="32"/>
          <w:szCs w:val="32"/>
        </w:rPr>
        <w:t>8</w:t>
      </w:r>
      <w:r>
        <w:rPr>
          <w:rFonts w:hint="eastAsia" w:ascii="仿宋_GB2312" w:hAnsi="仿宋_GB2312" w:eastAsia="仿宋_GB2312"/>
          <w:sz w:val="32"/>
          <w:szCs w:val="32"/>
        </w:rPr>
        <w:t>、年末结转和结余：指单位按有关规定结转到下年或以后年度继续使用的资金。</w:t>
      </w:r>
    </w:p>
    <w:p>
      <w:pPr>
        <w:ind w:firstLine="640"/>
      </w:pPr>
      <w:r>
        <w:rPr>
          <w:rFonts w:hint="eastAsia" w:ascii="仿宋_GB2312" w:hAnsi="仿宋_GB2312" w:eastAsia="仿宋_GB2312"/>
          <w:sz w:val="32"/>
          <w:szCs w:val="32"/>
        </w:rPr>
        <w:t>9.一般公共服务（类）财政事务（款） 信息化建设（项）：指财政部门用于“金财工程”等信息化建设方面的支出。</w:t>
      </w:r>
    </w:p>
    <w:p>
      <w:pPr>
        <w:pStyle w:val="19"/>
        <w:spacing w:line="560" w:lineRule="exact"/>
        <w:ind w:firstLine="640"/>
      </w:pPr>
      <w:r>
        <w:rPr>
          <w:rFonts w:ascii="仿宋_GB2312" w:hAnsi="仿宋_GB2312" w:eastAsia="仿宋_GB2312"/>
          <w:sz w:val="32"/>
          <w:szCs w:val="32"/>
        </w:rPr>
        <w:t>1</w:t>
      </w:r>
      <w:r>
        <w:rPr>
          <w:rFonts w:hint="eastAsia" w:ascii="仿宋_GB2312" w:hAnsi="仿宋_GB2312" w:eastAsia="仿宋_GB2312"/>
          <w:sz w:val="32"/>
          <w:szCs w:val="32"/>
        </w:rPr>
        <w:t>0</w:t>
      </w:r>
      <w:r>
        <w:rPr>
          <w:rFonts w:ascii="仿宋_GB2312" w:hAnsi="仿宋_GB2312" w:eastAsia="仿宋_GB2312"/>
          <w:sz w:val="32"/>
          <w:szCs w:val="32"/>
        </w:rPr>
        <w:t>.</w:t>
      </w:r>
      <w:r>
        <w:rPr>
          <w:rFonts w:hint="eastAsia" w:ascii="仿宋_GB2312" w:hAnsi="仿宋_GB2312" w:eastAsia="仿宋_GB2312"/>
          <w:sz w:val="32"/>
          <w:szCs w:val="32"/>
        </w:rPr>
        <w:t>社会保障和就业（类）行政事业单位养老支出（款） 行政单位离退休（项）：指行政单位包括实行公务员管理的事业单位）开支的离退休支出。</w:t>
      </w:r>
    </w:p>
    <w:p>
      <w:pPr>
        <w:pStyle w:val="19"/>
        <w:spacing w:line="560" w:lineRule="exact"/>
        <w:ind w:firstLine="640"/>
      </w:pPr>
      <w:r>
        <w:rPr>
          <w:rFonts w:ascii="仿宋_GB2312" w:hAnsi="仿宋_GB2312" w:eastAsia="仿宋_GB2312"/>
          <w:sz w:val="32"/>
          <w:szCs w:val="32"/>
        </w:rPr>
        <w:t>1</w:t>
      </w:r>
      <w:r>
        <w:rPr>
          <w:rFonts w:hint="eastAsia" w:ascii="仿宋_GB2312" w:hAnsi="仿宋_GB2312" w:eastAsia="仿宋_GB2312"/>
          <w:sz w:val="32"/>
          <w:szCs w:val="32"/>
        </w:rPr>
        <w:t>1</w:t>
      </w:r>
      <w:r>
        <w:rPr>
          <w:rFonts w:ascii="仿宋_GB2312" w:hAnsi="仿宋_GB2312" w:eastAsia="仿宋_GB2312"/>
          <w:sz w:val="32"/>
          <w:szCs w:val="32"/>
        </w:rPr>
        <w:t>.</w:t>
      </w:r>
      <w:r>
        <w:rPr>
          <w:rFonts w:hint="eastAsia" w:ascii="仿宋_GB2312" w:hAnsi="仿宋_GB2312" w:eastAsia="仿宋_GB2312"/>
          <w:sz w:val="32"/>
          <w:szCs w:val="32"/>
        </w:rPr>
        <w:t>社会保障和就业（类）行政事业单位养老支出（款） 机关事业单位基本养老保险缴费支出（项）：指机关事业单位实施养老保险制度由单位缴纳的基本养老保险费支出。</w:t>
      </w:r>
    </w:p>
    <w:p>
      <w:pPr>
        <w:pStyle w:val="19"/>
        <w:spacing w:line="560" w:lineRule="exact"/>
        <w:ind w:firstLine="640"/>
      </w:pPr>
      <w:r>
        <w:rPr>
          <w:rFonts w:ascii="仿宋_GB2312" w:hAnsi="仿宋_GB2312" w:eastAsia="仿宋_GB2312"/>
          <w:sz w:val="32"/>
          <w:szCs w:val="32"/>
        </w:rPr>
        <w:t>1</w:t>
      </w:r>
      <w:r>
        <w:rPr>
          <w:rFonts w:hint="eastAsia" w:ascii="仿宋_GB2312" w:hAnsi="仿宋_GB2312" w:eastAsia="仿宋_GB2312"/>
          <w:sz w:val="32"/>
          <w:szCs w:val="32"/>
        </w:rPr>
        <w:t>2</w:t>
      </w:r>
      <w:r>
        <w:rPr>
          <w:rFonts w:ascii="仿宋_GB2312" w:hAnsi="仿宋_GB2312" w:eastAsia="仿宋_GB2312"/>
          <w:sz w:val="32"/>
          <w:szCs w:val="32"/>
        </w:rPr>
        <w:t>.</w:t>
      </w:r>
      <w:r>
        <w:rPr>
          <w:rFonts w:hint="eastAsia" w:ascii="仿宋_GB2312" w:hAnsi="仿宋_GB2312" w:eastAsia="仿宋_GB2312"/>
          <w:sz w:val="32"/>
          <w:szCs w:val="32"/>
        </w:rPr>
        <w:t>社会保障和就业（类）行政事业单位养老支出（款） 机关事业单位职业年金缴费支出（项）：指机关事业单位实施养老保险制度由单位缴纳的职业年金的支出。</w:t>
      </w:r>
    </w:p>
    <w:p>
      <w:pPr>
        <w:pStyle w:val="19"/>
        <w:spacing w:line="560" w:lineRule="exact"/>
        <w:ind w:firstLine="640"/>
      </w:pPr>
      <w:r>
        <w:rPr>
          <w:rFonts w:hint="eastAsia" w:ascii="仿宋_GB2312" w:hAnsi="仿宋_GB2312" w:eastAsia="仿宋_GB2312"/>
          <w:sz w:val="32"/>
          <w:szCs w:val="32"/>
        </w:rPr>
        <w:t>13.卫生健康支出（类）行政事业单位医疗（款）行政单位医疗（项）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指财政部门安排行政单位用于缴纳单位基本医疗保险支出。</w:t>
      </w:r>
    </w:p>
    <w:p>
      <w:pPr>
        <w:pStyle w:val="19"/>
        <w:spacing w:line="560" w:lineRule="exact"/>
        <w:ind w:firstLine="640"/>
      </w:pPr>
      <w:r>
        <w:rPr>
          <w:rFonts w:hint="eastAsia" w:ascii="仿宋_GB2312" w:hAnsi="仿宋_GB2312" w:eastAsia="仿宋_GB2312"/>
          <w:sz w:val="32"/>
          <w:szCs w:val="32"/>
        </w:rPr>
        <w:t>14.卫生健康支出（类）行政事业单位医疗（款）事业单位医疗（项）：指财政部门安排的事业单位用于缴纳单位基本医疗保险支出。</w:t>
      </w:r>
    </w:p>
    <w:p>
      <w:pPr>
        <w:pStyle w:val="19"/>
        <w:spacing w:line="560" w:lineRule="exact"/>
        <w:ind w:firstLine="640"/>
      </w:pPr>
      <w:r>
        <w:rPr>
          <w:rFonts w:hint="eastAsia" w:ascii="仿宋_GB2312" w:hAnsi="仿宋_GB2312" w:eastAsia="仿宋_GB2312"/>
          <w:sz w:val="32"/>
          <w:szCs w:val="32"/>
        </w:rPr>
        <w:t>15.卫生健康支出（类）行政事业单位医疗（款） 公务员医疗补助（项）：指财政部门安排的用于集中缴纳公务员医疗补助支出。</w:t>
      </w:r>
    </w:p>
    <w:p>
      <w:pPr>
        <w:pStyle w:val="19"/>
        <w:spacing w:line="560" w:lineRule="exact"/>
        <w:ind w:firstLine="640"/>
      </w:pPr>
      <w:r>
        <w:rPr>
          <w:rFonts w:hint="eastAsia" w:ascii="仿宋_GB2312" w:hAnsi="仿宋_GB2312" w:eastAsia="仿宋_GB2312"/>
          <w:sz w:val="32"/>
          <w:szCs w:val="32"/>
        </w:rPr>
        <w:t>16. 住房保障支出（类）住房改革支出（款）住房公积金（项）：指按人力资源和社会保障部、财政部规定的基本工资和津贴补贴以及规定比例为职工缴纳的住房公积金。</w:t>
      </w:r>
    </w:p>
    <w:p>
      <w:pPr>
        <w:spacing w:line="600" w:lineRule="exact"/>
        <w:ind w:firstLine="640"/>
      </w:pPr>
      <w:r>
        <w:rPr>
          <w:rFonts w:hint="eastAsia" w:ascii="仿宋_GB2312" w:hAnsi="仿宋_GB2312" w:eastAsia="仿宋_GB2312"/>
          <w:color w:val="000000"/>
          <w:sz w:val="32"/>
          <w:szCs w:val="32"/>
        </w:rPr>
        <w:t>17</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基本支出：指为保障机构正常运转、完成日常工作任务而发生的人员支出和公用支出。</w:t>
      </w:r>
    </w:p>
    <w:p>
      <w:pPr>
        <w:ind w:firstLine="640"/>
      </w:pPr>
      <w:r>
        <w:rPr>
          <w:rFonts w:hint="eastAsia" w:ascii="仿宋_GB2312" w:hAnsi="仿宋_GB2312" w:eastAsia="仿宋_GB2312"/>
          <w:color w:val="000000"/>
          <w:sz w:val="32"/>
          <w:szCs w:val="32"/>
        </w:rPr>
        <w:t>18</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项目支出：指在基本支出之外为完成特定行政任务和事业发展目标所发生的支出。</w:t>
      </w:r>
    </w:p>
    <w:p>
      <w:pPr>
        <w:ind w:firstLine="640"/>
      </w:pPr>
      <w:r>
        <w:rPr>
          <w:rFonts w:hint="eastAsia" w:ascii="仿宋_GB2312" w:hAnsi="仿宋_GB2312" w:eastAsia="仿宋_GB2312"/>
          <w:color w:val="000000"/>
          <w:sz w:val="32"/>
          <w:szCs w:val="32"/>
        </w:rPr>
        <w:t>19</w:t>
      </w:r>
      <w:r>
        <w:rPr>
          <w:rFonts w:ascii="仿宋_GB2312" w:hAnsi="仿宋_GB2312" w:eastAsia="仿宋_GB2312"/>
          <w:color w:val="000000"/>
          <w:sz w:val="32"/>
          <w:szCs w:val="32"/>
        </w:rPr>
        <w:t>.</w:t>
      </w:r>
      <w:r>
        <w:rPr>
          <w:rFonts w:hint="eastAsia" w:ascii="仿宋_GB2312" w:hAnsi="仿宋_GB2312" w:eastAsia="仿宋_GB2312"/>
          <w:color w:val="000000"/>
          <w:sz w:val="32"/>
          <w:szCs w:val="32"/>
        </w:rPr>
        <w:t>经营支出：指事业单位在专业业务活动及其辅助活动之外开展非独立核算经营活动发生的支出。</w:t>
      </w:r>
    </w:p>
    <w:p>
      <w:pPr>
        <w:pStyle w:val="19"/>
        <w:spacing w:line="560" w:lineRule="exact"/>
        <w:ind w:firstLine="640"/>
      </w:pPr>
      <w:r>
        <w:rPr>
          <w:rFonts w:hint="eastAsia" w:ascii="仿宋_GB2312" w:hAnsi="仿宋_GB2312" w:eastAsia="仿宋_GB2312"/>
          <w:sz w:val="32"/>
          <w:szCs w:val="32"/>
        </w:rPr>
        <w:t>20</w:t>
      </w:r>
      <w:r>
        <w:rPr>
          <w:rFonts w:ascii="仿宋_GB2312" w:hAnsi="仿宋_GB2312" w:eastAsia="仿宋_GB2312"/>
          <w:sz w:val="32"/>
          <w:szCs w:val="32"/>
        </w:rPr>
        <w:t>.</w:t>
      </w:r>
      <w:r>
        <w:rPr>
          <w:rFonts w:hint="eastAsia" w:ascii="仿宋_GB2312" w:hAns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pPr>
      <w:r>
        <w:rPr>
          <w:rFonts w:hint="eastAsia" w:ascii="仿宋_GB2312" w:hAnsi="仿宋_GB2312" w:eastAsia="仿宋_GB2312"/>
          <w:sz w:val="32"/>
          <w:szCs w:val="32"/>
        </w:rPr>
        <w:t>21</w:t>
      </w:r>
      <w:r>
        <w:rPr>
          <w:rFonts w:ascii="仿宋_GB2312" w:hAnsi="仿宋_GB2312" w:eastAsia="仿宋_GB2312"/>
          <w:sz w:val="32"/>
          <w:szCs w:val="32"/>
        </w:rPr>
        <w:t>.</w:t>
      </w:r>
      <w:r>
        <w:rPr>
          <w:rFonts w:hint="eastAsia" w:ascii="仿宋_GB2312" w:hAns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pPr>
      <w:r>
        <w:rPr>
          <w:rFonts w:hint="eastAsia" w:ascii="黑体" w:hAnsi="黑体" w:eastAsia="黑体" w:cs="黑体"/>
          <w:color w:val="000000"/>
          <w:sz w:val="44"/>
          <w:szCs w:val="44"/>
        </w:rPr>
        <w:t>第</w:t>
      </w:r>
      <w:r>
        <w:rPr>
          <w:rStyle w:val="17"/>
          <w:rFonts w:hint="eastAsia" w:ascii="黑体" w:hAnsi="黑体" w:eastAsia="黑体" w:cs="黑体"/>
          <w:b w:val="0"/>
        </w:rPr>
        <w:t>四部分附件</w:t>
      </w:r>
    </w:p>
    <w:p>
      <w:pPr>
        <w:spacing w:line="600" w:lineRule="exact"/>
        <w:jc w:val="left"/>
      </w:pPr>
      <w:r>
        <w:rPr>
          <w:rFonts w:hint="eastAsia" w:ascii="黑体" w:hAnsi="黑体" w:eastAsia="黑体" w:cs="黑体"/>
          <w:sz w:val="32"/>
          <w:szCs w:val="32"/>
        </w:rPr>
        <w:t>附件</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pPr>
      <w:r>
        <w:rPr>
          <w:rFonts w:ascii="方正小标宋简体" w:hAnsi="方正小标宋简体" w:eastAsia="方正小标宋简体" w:cs="宋体"/>
          <w:color w:val="000000"/>
          <w:kern w:val="0"/>
          <w:sz w:val="40"/>
          <w:szCs w:val="44"/>
        </w:rPr>
        <w:t>202</w:t>
      </w:r>
      <w:r>
        <w:rPr>
          <w:rFonts w:hint="eastAsia" w:ascii="方正小标宋简体" w:hAnsi="方正小标宋简体" w:eastAsia="方正小标宋简体" w:cs="宋体"/>
          <w:color w:val="000000"/>
          <w:kern w:val="0"/>
          <w:sz w:val="40"/>
          <w:szCs w:val="44"/>
        </w:rPr>
        <w:t>1年攀枝花市仁和区医疗保障局</w:t>
      </w:r>
      <w:r>
        <w:rPr>
          <w:rFonts w:hint="eastAsia" w:ascii="方正小标宋简体" w:hAnsi="方正小标宋简体" w:eastAsia="方正小标宋简体" w:cs="宋体"/>
          <w:color w:val="000000"/>
          <w:kern w:val="0"/>
          <w:sz w:val="40"/>
          <w:szCs w:val="44"/>
          <w:lang w:val="zh-CN"/>
        </w:rPr>
        <w:t>部门整体支出绩效评价报告</w:t>
      </w:r>
    </w:p>
    <w:p>
      <w:pPr>
        <w:widowControl/>
        <w:spacing w:line="572" w:lineRule="exact"/>
        <w:ind w:firstLine="640"/>
        <w:contextualSpacing/>
        <w:jc w:val="center"/>
      </w:pPr>
    </w:p>
    <w:p>
      <w:pPr>
        <w:widowControl/>
        <w:snapToGrid w:val="0"/>
        <w:spacing w:line="580" w:lineRule="exact"/>
        <w:ind w:firstLine="640"/>
        <w:contextualSpacing/>
        <w:jc w:val="left"/>
      </w:pPr>
      <w:r>
        <w:rPr>
          <w:rFonts w:hint="eastAsia" w:ascii="黑体" w:hAnsi="黑体" w:eastAsia="黑体" w:cs="宋体"/>
          <w:color w:val="000000"/>
          <w:kern w:val="0"/>
          <w:sz w:val="32"/>
          <w:szCs w:val="32"/>
          <w:shd w:val="clear" w:color="auto" w:fill="FFFFFF"/>
        </w:rPr>
        <w:t>一、</w:t>
      </w:r>
      <w:r>
        <w:rPr>
          <w:rFonts w:hint="eastAsia" w:ascii="黑体" w:hAnsi="黑体" w:eastAsia="黑体" w:cs="宋体"/>
          <w:color w:val="000000"/>
          <w:kern w:val="0"/>
          <w:sz w:val="32"/>
          <w:szCs w:val="32"/>
          <w:shd w:val="clear" w:color="auto" w:fill="FFFFFF"/>
          <w:lang w:val="zh-CN"/>
        </w:rPr>
        <w:t>部门概况</w:t>
      </w:r>
    </w:p>
    <w:p>
      <w:pPr>
        <w:widowControl/>
        <w:snapToGrid w:val="0"/>
        <w:spacing w:line="580" w:lineRule="exact"/>
        <w:ind w:firstLine="640"/>
        <w:contextualSpacing/>
        <w:jc w:val="left"/>
        <w:rPr>
          <w:rFonts w:ascii="仿宋_GB2312" w:hAnsi="仿宋_GB2312" w:eastAsia="仿宋_GB2312" w:cs="宋体"/>
          <w:color w:val="000000"/>
          <w:kern w:val="0"/>
          <w:sz w:val="32"/>
          <w:szCs w:val="32"/>
          <w:shd w:val="clear" w:color="auto" w:fill="FFFFFF"/>
          <w:lang w:val="zh-CN"/>
        </w:rPr>
      </w:pPr>
      <w:r>
        <w:rPr>
          <w:rFonts w:hint="eastAsia" w:ascii="仿宋_GB2312" w:hAnsi="仿宋_GB2312" w:eastAsia="仿宋_GB2312" w:cs="宋体"/>
          <w:color w:val="000000"/>
          <w:kern w:val="0"/>
          <w:sz w:val="32"/>
          <w:szCs w:val="32"/>
          <w:shd w:val="clear" w:color="auto" w:fill="FFFFFF"/>
          <w:lang w:val="zh-CN"/>
        </w:rPr>
        <w:t>（一）机构组成。</w:t>
      </w:r>
    </w:p>
    <w:p>
      <w:pPr>
        <w:widowControl/>
        <w:snapToGrid w:val="0"/>
        <w:spacing w:line="580" w:lineRule="exact"/>
        <w:ind w:firstLine="640"/>
        <w:contextualSpacing/>
        <w:jc w:val="left"/>
      </w:pPr>
      <w:r>
        <w:rPr>
          <w:rFonts w:hint="eastAsia" w:ascii="仿宋_GB2312" w:hAnsi="仿宋_GB2312" w:eastAsia="仿宋_GB2312" w:cs="宋体"/>
          <w:color w:val="000000"/>
          <w:kern w:val="0"/>
          <w:sz w:val="32"/>
          <w:szCs w:val="32"/>
          <w:shd w:val="clear" w:color="auto" w:fill="FFFFFF"/>
          <w:lang w:val="zh-CN"/>
        </w:rPr>
        <w:t>攀枝花市仁和区医疗保障局下设1个科室，独立编制的1个参照公务员管理的事业单位。</w:t>
      </w:r>
    </w:p>
    <w:p>
      <w:pPr>
        <w:widowControl/>
        <w:snapToGrid w:val="0"/>
        <w:spacing w:line="580" w:lineRule="exact"/>
        <w:ind w:firstLine="640"/>
        <w:contextualSpacing/>
        <w:jc w:val="left"/>
        <w:rPr>
          <w:rFonts w:ascii="仿宋_GB2312" w:hAnsi="仿宋_GB2312" w:eastAsia="仿宋_GB2312" w:cs="宋体"/>
          <w:color w:val="000000"/>
          <w:kern w:val="0"/>
          <w:sz w:val="32"/>
          <w:szCs w:val="32"/>
          <w:shd w:val="clear" w:color="auto" w:fill="FFFFFF"/>
          <w:lang w:val="zh-CN"/>
        </w:rPr>
      </w:pPr>
      <w:r>
        <w:rPr>
          <w:rFonts w:hint="eastAsia" w:ascii="仿宋_GB2312" w:hAnsi="仿宋_GB2312" w:eastAsia="仿宋_GB2312" w:cs="宋体"/>
          <w:color w:val="000000"/>
          <w:kern w:val="0"/>
          <w:sz w:val="32"/>
          <w:szCs w:val="32"/>
          <w:shd w:val="clear" w:color="auto" w:fill="FFFFFF"/>
          <w:lang w:val="zh-CN"/>
        </w:rPr>
        <w:t>（二）机构职能。</w:t>
      </w:r>
    </w:p>
    <w:p>
      <w:pPr>
        <w:ind w:firstLine="640" w:firstLineChars="200"/>
        <w:rPr>
          <w:rFonts w:ascii="仿宋_GB2312" w:hAnsi="仿宋_GB2312" w:eastAsia="仿宋_GB2312" w:cs="宋体"/>
          <w:color w:val="000000"/>
          <w:kern w:val="0"/>
          <w:sz w:val="32"/>
          <w:szCs w:val="32"/>
          <w:shd w:val="clear" w:color="auto" w:fill="FFFFFF"/>
          <w:lang w:val="zh-CN"/>
        </w:rPr>
      </w:pPr>
      <w:r>
        <w:rPr>
          <w:rFonts w:hint="eastAsia" w:ascii="仿宋_GB2312" w:hAnsi="仿宋_GB2312" w:eastAsia="仿宋_GB2312" w:cs="宋体"/>
          <w:color w:val="000000"/>
          <w:kern w:val="0"/>
          <w:sz w:val="32"/>
          <w:szCs w:val="32"/>
          <w:shd w:val="clear" w:color="auto" w:fill="FFFFFF"/>
          <w:lang w:val="zh-CN"/>
        </w:rPr>
        <w:t>1. 贯彻执行医疗保险、生育保险、医疗救助等医疗保障的各项法律法规、规章。参与拟订医疗保障事业发展规划、政策和标准，并组织实施和监督检查。2.组织拟订并实施医疗保障基（资）金监督管理制度，建立健全医疗保障基（资）金安全防控机制，监督强化全区医疗保障基（资）金运行管理。3.组织拟订并组织实施医疗保障筹资和待遇政策，落实医疗保障筹资标准动态调整机制，统筹城乡医疗保障待遇标准，建立健全与筹资水平相适应的待遇调整机制。组织实施长期护理保险制度改革方案。组织实施医疗救助。4.组织实施全省、全市统一的药品、医用耗材、医疗服务项目、医疗服务设施等医疗保障目录和支付标准，根据授权在医疗保障目录准入谈判规则下进行目录增补和支付标准的调整。5.参与拟订并组织实施全市城乡统一的药品、医用耗材价格和医疗服务项目、医疗服务设施收费等政策，建立医保支付医药服务价格合理确定和动态调整机制，推动建立市场主导的社会医药服务价格形成机制，建立价格信息监测和信息发布制度。6.贯彻执行全省药品、医用耗材的招标采购政策并监督实施，根据省、市统一安排部署，参与全省药品、医用耗材招标采购平台建设，承担并完成相关工作任务。7.推进医疗保障基金支付方式改革，组织拟订全区定点医药机构服务协议和基金支付管理办法并组织实施。承担全区医疗保障定点机构管理，建立健全医疗保障信用评价体系和信息披露制度，监督管理纳入医疗保障范围内的医疗服务行为和医疗费用，依法查处医疗保障领域违法违规行为。8.负责全区医疗保障业务经办管理和公共服务体系建设。组织实施异地就医管理规定和费用结算政策。执行医疗保障关系转移接续规定。指导和监督管理全区医保经办服务工作。开展医疗保障领域对外合作交流。9.组织拟订全区医疗保障信息化规划并参与全市医疗保障信息化建设。组织开展医疗保障大数据管理和应用。10.拟订并组织实施区本级离休干部、六级以上革命伤残军人的医疗保障政策和副县级及以上干部、高级知识分子的医疗照顾政策。11.负责职责范围内的安全生产和职业健康、生态环境保护、审批服务便民化等工作。按省、市的要求和指导，推进相对集中行政许可权改革。12.指导各乡镇（街道）医疗保障相关政策实施和工作落实。13.完成区委、区政府交办的其他任务。14.职能转变。完善统一的城乡居民基本医疗保险和大病保险制度，不断提高医疗保障水平，建立健全覆盖全民、城乡统筹的多层次医疗保障体系，确保医疗保障资金合理使用、安全可控，推进医疗、医保、医药“三医联动”改革，更好地保障人民群众就医需求、减轻医药费用负担。15.有关职责分工。（1）与区卫生健康局的有关职责分工。两部门在医疗、医保、医药等方面加强制度、政策衔接，建立沟通</w:t>
      </w:r>
      <w:r>
        <w:rPr>
          <w:rFonts w:hint="eastAsia" w:ascii="仿宋_GB2312" w:hAnsi="仿宋_GB2312" w:eastAsia="仿宋_GB2312" w:cs="宋体"/>
          <w:color w:val="000000"/>
          <w:kern w:val="0"/>
          <w:sz w:val="32"/>
          <w:szCs w:val="32"/>
          <w:shd w:val="clear" w:color="auto" w:fill="FFFFFF"/>
          <w:lang w:val="en-US" w:eastAsia="zh-CN"/>
        </w:rPr>
        <w:t>协</w:t>
      </w:r>
      <w:r>
        <w:rPr>
          <w:rFonts w:hint="eastAsia" w:ascii="仿宋_GB2312" w:hAnsi="仿宋_GB2312" w:eastAsia="仿宋_GB2312" w:cs="宋体"/>
          <w:color w:val="000000"/>
          <w:kern w:val="0"/>
          <w:sz w:val="32"/>
          <w:szCs w:val="32"/>
          <w:shd w:val="clear" w:color="auto" w:fill="FFFFFF"/>
          <w:lang w:val="zh-CN"/>
        </w:rPr>
        <w:t>商机制，协同推进改革，提高医疗资源使用效率和医疗保障水平。（2）与国家税务总局攀枝花市仁和区税务局有关职责分工。两部门在医疗、生育、长期护理保险基金征缴工作等方面加强协调，建立沟通机制，共同做好社会保险费税务征缴的相关工作。</w:t>
      </w:r>
    </w:p>
    <w:p>
      <w:pPr>
        <w:widowControl/>
        <w:snapToGrid w:val="0"/>
        <w:spacing w:line="580" w:lineRule="exact"/>
        <w:ind w:firstLine="640"/>
        <w:contextualSpacing/>
        <w:jc w:val="left"/>
        <w:rPr>
          <w:rFonts w:ascii="仿宋_GB2312" w:hAnsi="仿宋_GB2312" w:eastAsia="仿宋_GB2312" w:cs="宋体"/>
          <w:color w:val="000000"/>
          <w:kern w:val="0"/>
          <w:sz w:val="32"/>
          <w:szCs w:val="32"/>
          <w:shd w:val="clear" w:color="auto" w:fill="FFFFFF"/>
          <w:lang w:val="zh-CN"/>
        </w:rPr>
      </w:pPr>
      <w:r>
        <w:rPr>
          <w:rFonts w:hint="eastAsia" w:ascii="仿宋_GB2312" w:hAnsi="仿宋_GB2312" w:eastAsia="仿宋_GB2312" w:cs="宋体"/>
          <w:color w:val="000000"/>
          <w:kern w:val="0"/>
          <w:sz w:val="32"/>
          <w:szCs w:val="32"/>
          <w:shd w:val="clear" w:color="auto" w:fill="FFFFFF"/>
          <w:lang w:val="zh-CN"/>
        </w:rPr>
        <w:t>（三）人员概况。</w:t>
      </w:r>
    </w:p>
    <w:p>
      <w:pPr>
        <w:widowControl/>
        <w:shd w:val="clear" w:color="auto" w:fill="FFFFFF"/>
        <w:spacing w:before="255" w:after="255"/>
        <w:ind w:firstLine="640"/>
        <w:jc w:val="left"/>
        <w:rPr>
          <w:rFonts w:ascii="仿宋_GB2312" w:hAnsi="仿宋_GB2312" w:eastAsia="仿宋_GB2312" w:cs="宋体"/>
          <w:color w:val="000000"/>
          <w:kern w:val="0"/>
          <w:sz w:val="32"/>
          <w:szCs w:val="32"/>
          <w:shd w:val="clear" w:color="auto" w:fill="FFFFFF"/>
          <w:lang w:val="zh-CN"/>
        </w:rPr>
      </w:pPr>
      <w:r>
        <w:rPr>
          <w:rFonts w:hint="eastAsia" w:ascii="仿宋_GB2312" w:hAnsi="仿宋_GB2312" w:eastAsia="仿宋_GB2312" w:cs="宋体"/>
          <w:color w:val="000000"/>
          <w:kern w:val="0"/>
          <w:sz w:val="32"/>
          <w:szCs w:val="32"/>
          <w:shd w:val="clear" w:color="auto" w:fill="FFFFFF"/>
          <w:lang w:val="zh-CN"/>
        </w:rPr>
        <w:t>2</w:t>
      </w:r>
      <w:r>
        <w:rPr>
          <w:rFonts w:ascii="仿宋_GB2312" w:hAnsi="仿宋_GB2312" w:eastAsia="仿宋_GB2312" w:cs="宋体"/>
          <w:color w:val="000000"/>
          <w:kern w:val="0"/>
          <w:sz w:val="32"/>
          <w:szCs w:val="32"/>
          <w:shd w:val="clear" w:color="auto" w:fill="FFFFFF"/>
          <w:lang w:val="zh-CN"/>
        </w:rPr>
        <w:t>021年年底</w:t>
      </w:r>
      <w:r>
        <w:rPr>
          <w:rFonts w:hint="eastAsia" w:ascii="仿宋_GB2312" w:hAnsi="仿宋_GB2312" w:eastAsia="仿宋_GB2312" w:cs="宋体"/>
          <w:color w:val="000000"/>
          <w:kern w:val="0"/>
          <w:sz w:val="32"/>
          <w:szCs w:val="32"/>
          <w:shd w:val="clear" w:color="auto" w:fill="FFFFFF"/>
          <w:lang w:val="zh-CN"/>
        </w:rPr>
        <w:t>实有在职人数</w:t>
      </w:r>
      <w:r>
        <w:rPr>
          <w:rFonts w:ascii="仿宋_GB2312" w:hAnsi="仿宋_GB2312" w:eastAsia="仿宋_GB2312" w:cs="宋体"/>
          <w:color w:val="000000"/>
          <w:kern w:val="0"/>
          <w:sz w:val="32"/>
          <w:szCs w:val="32"/>
          <w:shd w:val="clear" w:color="auto" w:fill="FFFFFF"/>
          <w:lang w:val="zh-CN"/>
        </w:rPr>
        <w:t>22</w:t>
      </w:r>
      <w:r>
        <w:rPr>
          <w:rFonts w:hint="eastAsia" w:ascii="仿宋_GB2312" w:hAnsi="仿宋_GB2312" w:eastAsia="仿宋_GB2312" w:cs="宋体"/>
          <w:color w:val="000000"/>
          <w:kern w:val="0"/>
          <w:sz w:val="32"/>
          <w:szCs w:val="32"/>
          <w:shd w:val="clear" w:color="auto" w:fill="FFFFFF"/>
          <w:lang w:val="zh-CN"/>
        </w:rPr>
        <w:t>人，行政编制3人，参公编制1</w:t>
      </w:r>
      <w:r>
        <w:rPr>
          <w:rFonts w:ascii="仿宋_GB2312" w:hAnsi="仿宋_GB2312" w:eastAsia="仿宋_GB2312" w:cs="宋体"/>
          <w:color w:val="000000"/>
          <w:kern w:val="0"/>
          <w:sz w:val="32"/>
          <w:szCs w:val="32"/>
          <w:shd w:val="clear" w:color="auto" w:fill="FFFFFF"/>
          <w:lang w:val="zh-CN"/>
        </w:rPr>
        <w:t>2</w:t>
      </w:r>
      <w:r>
        <w:rPr>
          <w:rFonts w:hint="eastAsia" w:ascii="仿宋_GB2312" w:hAnsi="仿宋_GB2312" w:eastAsia="仿宋_GB2312" w:cs="宋体"/>
          <w:color w:val="000000"/>
          <w:kern w:val="0"/>
          <w:sz w:val="32"/>
          <w:szCs w:val="32"/>
          <w:shd w:val="clear" w:color="auto" w:fill="FFFFFF"/>
          <w:lang w:val="zh-CN"/>
        </w:rPr>
        <w:t>人，参公工人</w:t>
      </w:r>
      <w:r>
        <w:rPr>
          <w:rFonts w:ascii="仿宋_GB2312" w:hAnsi="仿宋_GB2312" w:eastAsia="仿宋_GB2312" w:cs="宋体"/>
          <w:color w:val="000000"/>
          <w:kern w:val="0"/>
          <w:sz w:val="32"/>
          <w:szCs w:val="32"/>
          <w:shd w:val="clear" w:color="auto" w:fill="FFFFFF"/>
          <w:lang w:val="zh-CN"/>
        </w:rPr>
        <w:t>1</w:t>
      </w:r>
      <w:r>
        <w:rPr>
          <w:rFonts w:hint="eastAsia" w:ascii="仿宋_GB2312" w:hAnsi="仿宋_GB2312" w:eastAsia="仿宋_GB2312" w:cs="宋体"/>
          <w:color w:val="000000"/>
          <w:kern w:val="0"/>
          <w:sz w:val="32"/>
          <w:szCs w:val="32"/>
          <w:shd w:val="clear" w:color="auto" w:fill="FFFFFF"/>
          <w:lang w:val="zh-CN"/>
        </w:rPr>
        <w:t>人，事业编制1人，编内聘用1人，购买劳务4人。退休人员</w:t>
      </w:r>
      <w:r>
        <w:rPr>
          <w:rFonts w:ascii="仿宋_GB2312" w:hAnsi="仿宋_GB2312" w:eastAsia="仿宋_GB2312" w:cs="宋体"/>
          <w:color w:val="000000"/>
          <w:kern w:val="0"/>
          <w:sz w:val="32"/>
          <w:szCs w:val="32"/>
          <w:shd w:val="clear" w:color="auto" w:fill="FFFFFF"/>
          <w:lang w:val="zh-CN"/>
        </w:rPr>
        <w:t>3</w:t>
      </w:r>
      <w:r>
        <w:rPr>
          <w:rFonts w:hint="eastAsia" w:ascii="仿宋_GB2312" w:hAnsi="仿宋_GB2312" w:eastAsia="仿宋_GB2312" w:cs="宋体"/>
          <w:color w:val="000000"/>
          <w:kern w:val="0"/>
          <w:sz w:val="32"/>
          <w:szCs w:val="32"/>
          <w:shd w:val="clear" w:color="auto" w:fill="FFFFFF"/>
          <w:lang w:val="zh-CN"/>
        </w:rPr>
        <w:t>人。</w:t>
      </w:r>
    </w:p>
    <w:p>
      <w:pPr>
        <w:widowControl/>
        <w:snapToGrid w:val="0"/>
        <w:spacing w:line="580" w:lineRule="exact"/>
        <w:ind w:firstLine="640"/>
        <w:contextualSpacing/>
        <w:jc w:val="left"/>
      </w:pPr>
      <w:r>
        <w:rPr>
          <w:rFonts w:hint="eastAsia" w:ascii="黑体" w:hAnsi="黑体" w:eastAsia="黑体" w:cs="宋体"/>
          <w:color w:val="000000"/>
          <w:kern w:val="0"/>
          <w:sz w:val="32"/>
          <w:szCs w:val="32"/>
          <w:shd w:val="clear" w:color="auto" w:fill="FFFFFF"/>
        </w:rPr>
        <w:t>二、部门财政资金收支情况</w:t>
      </w:r>
    </w:p>
    <w:p>
      <w:pPr>
        <w:widowControl/>
        <w:snapToGrid w:val="0"/>
        <w:spacing w:line="580" w:lineRule="exact"/>
        <w:ind w:firstLine="640"/>
        <w:contextualSpacing/>
        <w:jc w:val="left"/>
        <w:rPr>
          <w:rFonts w:ascii="仿宋_GB2312" w:hAnsi="仿宋_GB2312" w:eastAsia="仿宋_GB2312" w:cs="宋体"/>
          <w:color w:val="000000"/>
          <w:kern w:val="0"/>
          <w:sz w:val="32"/>
          <w:szCs w:val="32"/>
          <w:shd w:val="clear" w:color="auto" w:fill="FFFFFF"/>
          <w:lang w:val="zh-CN"/>
        </w:rPr>
      </w:pPr>
      <w:r>
        <w:rPr>
          <w:rFonts w:hint="eastAsia" w:ascii="仿宋_GB2312" w:hAnsi="仿宋_GB2312" w:eastAsia="仿宋_GB2312" w:cs="宋体"/>
          <w:color w:val="000000"/>
          <w:kern w:val="0"/>
          <w:sz w:val="32"/>
          <w:szCs w:val="32"/>
          <w:shd w:val="clear" w:color="auto" w:fill="FFFFFF"/>
          <w:lang w:val="zh-CN"/>
        </w:rPr>
        <w:t>（一）部门财政资金收入情况。</w:t>
      </w:r>
    </w:p>
    <w:p>
      <w:pPr>
        <w:widowControl/>
        <w:snapToGrid w:val="0"/>
        <w:spacing w:line="580" w:lineRule="exact"/>
        <w:ind w:firstLine="640"/>
        <w:contextualSpacing/>
        <w:jc w:val="left"/>
        <w:rPr>
          <w:rFonts w:ascii="仿宋_GB2312" w:hAnsi="仿宋_GB2312" w:eastAsia="仿宋_GB2312" w:cs="宋体"/>
          <w:color w:val="000000"/>
          <w:kern w:val="0"/>
          <w:sz w:val="32"/>
          <w:szCs w:val="32"/>
          <w:shd w:val="clear" w:color="auto" w:fill="FFFFFF"/>
          <w:lang w:val="zh-CN"/>
        </w:rPr>
      </w:pPr>
      <w:r>
        <w:rPr>
          <w:rFonts w:hint="eastAsia" w:ascii="仿宋_GB2312" w:hAnsi="仿宋_GB2312" w:eastAsia="仿宋_GB2312" w:cs="宋体"/>
          <w:color w:val="000000"/>
          <w:kern w:val="0"/>
          <w:sz w:val="32"/>
          <w:szCs w:val="32"/>
          <w:shd w:val="clear" w:color="auto" w:fill="FFFFFF"/>
          <w:lang w:val="zh-CN"/>
        </w:rPr>
        <w:t>2021年财政拨款收入总计1</w:t>
      </w:r>
      <w:r>
        <w:rPr>
          <w:rFonts w:ascii="仿宋_GB2312" w:hAnsi="仿宋_GB2312" w:eastAsia="仿宋_GB2312" w:cs="宋体"/>
          <w:color w:val="000000"/>
          <w:kern w:val="0"/>
          <w:sz w:val="32"/>
          <w:szCs w:val="32"/>
          <w:shd w:val="clear" w:color="auto" w:fill="FFFFFF"/>
          <w:lang w:val="zh-CN"/>
        </w:rPr>
        <w:t>796.45万元。</w:t>
      </w:r>
      <w:r>
        <w:rPr>
          <w:rFonts w:hint="eastAsia" w:ascii="仿宋_GB2312" w:hAnsi="仿宋_GB2312" w:eastAsia="仿宋_GB2312" w:cs="宋体"/>
          <w:color w:val="000000"/>
          <w:kern w:val="0"/>
          <w:sz w:val="32"/>
          <w:szCs w:val="32"/>
          <w:shd w:val="clear" w:color="auto" w:fill="FFFFFF"/>
          <w:lang w:val="zh-CN"/>
        </w:rPr>
        <w:t>与2020年相比，收入、支出各增加1</w:t>
      </w:r>
      <w:r>
        <w:rPr>
          <w:rFonts w:ascii="仿宋_GB2312" w:hAnsi="仿宋_GB2312" w:eastAsia="仿宋_GB2312" w:cs="宋体"/>
          <w:color w:val="000000"/>
          <w:kern w:val="0"/>
          <w:sz w:val="32"/>
          <w:szCs w:val="32"/>
          <w:shd w:val="clear" w:color="auto" w:fill="FFFFFF"/>
          <w:lang w:val="zh-CN"/>
        </w:rPr>
        <w:t>86.17万元，增长</w:t>
      </w:r>
      <w:r>
        <w:rPr>
          <w:rFonts w:hint="eastAsia" w:ascii="仿宋_GB2312" w:hAnsi="仿宋_GB2312" w:eastAsia="仿宋_GB2312" w:cs="宋体"/>
          <w:color w:val="000000"/>
          <w:kern w:val="0"/>
          <w:sz w:val="32"/>
          <w:szCs w:val="32"/>
          <w:shd w:val="clear" w:color="auto" w:fill="FFFFFF"/>
          <w:lang w:val="zh-CN"/>
        </w:rPr>
        <w:t>1</w:t>
      </w:r>
      <w:r>
        <w:rPr>
          <w:rFonts w:ascii="仿宋_GB2312" w:hAnsi="仿宋_GB2312" w:eastAsia="仿宋_GB2312" w:cs="宋体"/>
          <w:color w:val="000000"/>
          <w:kern w:val="0"/>
          <w:sz w:val="32"/>
          <w:szCs w:val="32"/>
          <w:shd w:val="clear" w:color="auto" w:fill="FFFFFF"/>
          <w:lang w:val="zh-CN"/>
        </w:rPr>
        <w:t>1.5</w:t>
      </w:r>
      <w:r>
        <w:rPr>
          <w:rFonts w:hint="eastAsia" w:ascii="仿宋_GB2312" w:hAnsi="仿宋_GB2312" w:eastAsia="仿宋_GB2312" w:cs="宋体"/>
          <w:color w:val="000000"/>
          <w:kern w:val="0"/>
          <w:sz w:val="32"/>
          <w:szCs w:val="32"/>
          <w:shd w:val="clear" w:color="auto" w:fill="FFFFFF"/>
          <w:lang w:val="en-US" w:eastAsia="zh-CN"/>
        </w:rPr>
        <w:t>0</w:t>
      </w:r>
      <w:r>
        <w:rPr>
          <w:rFonts w:ascii="仿宋_GB2312" w:hAnsi="仿宋_GB2312" w:eastAsia="仿宋_GB2312" w:cs="宋体"/>
          <w:color w:val="000000"/>
          <w:kern w:val="0"/>
          <w:sz w:val="32"/>
          <w:szCs w:val="32"/>
          <w:shd w:val="clear" w:color="auto" w:fill="FFFFFF"/>
          <w:lang w:val="zh-CN"/>
        </w:rPr>
        <w:t>%。</w:t>
      </w:r>
    </w:p>
    <w:p>
      <w:pPr>
        <w:widowControl/>
        <w:snapToGrid w:val="0"/>
        <w:spacing w:line="580" w:lineRule="exact"/>
        <w:ind w:firstLine="640" w:firstLineChars="200"/>
        <w:contextualSpacing/>
        <w:jc w:val="left"/>
        <w:rPr>
          <w:rFonts w:ascii="仿宋_GB2312" w:hAnsi="仿宋_GB2312" w:eastAsia="仿宋_GB2312" w:cs="宋体"/>
          <w:color w:val="000000"/>
          <w:kern w:val="0"/>
          <w:sz w:val="32"/>
          <w:szCs w:val="32"/>
          <w:shd w:val="clear" w:color="auto" w:fill="FFFFFF"/>
          <w:lang w:val="zh-CN"/>
        </w:rPr>
      </w:pPr>
      <w:r>
        <w:rPr>
          <w:rFonts w:hint="eastAsia" w:ascii="仿宋_GB2312" w:hAnsi="仿宋_GB2312" w:eastAsia="仿宋_GB2312" w:cs="宋体"/>
          <w:color w:val="000000"/>
          <w:kern w:val="0"/>
          <w:sz w:val="32"/>
          <w:szCs w:val="32"/>
          <w:shd w:val="clear" w:color="auto" w:fill="FFFFFF"/>
          <w:lang w:val="zh-CN"/>
        </w:rPr>
        <w:t>（二）部门财政资金支出情况。</w:t>
      </w:r>
    </w:p>
    <w:p>
      <w:pPr>
        <w:widowControl/>
        <w:snapToGrid w:val="0"/>
        <w:spacing w:line="580" w:lineRule="exact"/>
        <w:ind w:firstLine="640"/>
        <w:contextualSpacing/>
        <w:jc w:val="left"/>
        <w:rPr>
          <w:rFonts w:ascii="仿宋_GB2312" w:hAnsi="仿宋_GB2312" w:eastAsia="仿宋_GB2312" w:cs="宋体"/>
          <w:color w:val="000000"/>
          <w:kern w:val="0"/>
          <w:sz w:val="32"/>
          <w:szCs w:val="32"/>
          <w:shd w:val="clear" w:color="auto" w:fill="FFFFFF"/>
          <w:lang w:val="zh-CN"/>
        </w:rPr>
      </w:pPr>
      <w:r>
        <w:rPr>
          <w:rFonts w:ascii="仿宋_GB2312" w:hAnsi="仿宋_GB2312" w:eastAsia="仿宋_GB2312" w:cs="宋体"/>
          <w:color w:val="000000"/>
          <w:kern w:val="0"/>
          <w:sz w:val="32"/>
          <w:szCs w:val="32"/>
          <w:shd w:val="clear" w:color="auto" w:fill="FFFFFF"/>
          <w:lang w:val="zh-CN"/>
        </w:rPr>
        <w:t>202</w:t>
      </w:r>
      <w:r>
        <w:rPr>
          <w:rFonts w:hint="eastAsia" w:ascii="仿宋_GB2312" w:hAnsi="仿宋_GB2312" w:eastAsia="仿宋_GB2312" w:cs="宋体"/>
          <w:color w:val="000000"/>
          <w:kern w:val="0"/>
          <w:sz w:val="32"/>
          <w:szCs w:val="32"/>
          <w:shd w:val="clear" w:color="auto" w:fill="FFFFFF"/>
          <w:lang w:val="zh-CN"/>
        </w:rPr>
        <w:t>1年本年支出合计</w:t>
      </w:r>
      <w:r>
        <w:rPr>
          <w:rFonts w:ascii="仿宋_GB2312" w:hAnsi="仿宋_GB2312" w:eastAsia="仿宋_GB2312" w:cs="宋体"/>
          <w:color w:val="000000"/>
          <w:kern w:val="0"/>
          <w:sz w:val="32"/>
          <w:szCs w:val="32"/>
          <w:shd w:val="clear" w:color="auto" w:fill="FFFFFF"/>
          <w:lang w:val="zh-CN"/>
        </w:rPr>
        <w:t>1796.45</w:t>
      </w:r>
      <w:r>
        <w:rPr>
          <w:rFonts w:hint="eastAsia" w:ascii="仿宋_GB2312" w:hAnsi="仿宋_GB2312" w:eastAsia="仿宋_GB2312" w:cs="宋体"/>
          <w:color w:val="000000"/>
          <w:kern w:val="0"/>
          <w:sz w:val="32"/>
          <w:szCs w:val="32"/>
          <w:shd w:val="clear" w:color="auto" w:fill="FFFFFF"/>
          <w:lang w:val="zh-CN"/>
        </w:rPr>
        <w:t>万元，其中：基本支出</w:t>
      </w:r>
      <w:r>
        <w:rPr>
          <w:rFonts w:ascii="仿宋_GB2312" w:hAnsi="仿宋_GB2312" w:eastAsia="仿宋_GB2312" w:cs="宋体"/>
          <w:color w:val="000000"/>
          <w:kern w:val="0"/>
          <w:sz w:val="32"/>
          <w:szCs w:val="32"/>
          <w:shd w:val="clear" w:color="auto" w:fill="FFFFFF"/>
          <w:lang w:val="zh-CN"/>
        </w:rPr>
        <w:t>287.43</w:t>
      </w:r>
      <w:r>
        <w:rPr>
          <w:rFonts w:hint="eastAsia" w:ascii="仿宋_GB2312" w:hAnsi="仿宋_GB2312" w:eastAsia="仿宋_GB2312" w:cs="宋体"/>
          <w:color w:val="000000"/>
          <w:kern w:val="0"/>
          <w:sz w:val="32"/>
          <w:szCs w:val="32"/>
          <w:shd w:val="clear" w:color="auto" w:fill="FFFFFF"/>
          <w:lang w:val="zh-CN"/>
        </w:rPr>
        <w:t>万元，占16</w:t>
      </w:r>
      <w:r>
        <w:rPr>
          <w:rFonts w:hint="eastAsia" w:ascii="仿宋_GB2312" w:hAnsi="仿宋_GB2312" w:eastAsia="仿宋_GB2312" w:cs="宋体"/>
          <w:color w:val="000000"/>
          <w:kern w:val="0"/>
          <w:sz w:val="32"/>
          <w:szCs w:val="32"/>
          <w:shd w:val="clear" w:color="auto" w:fill="FFFFFF"/>
          <w:lang w:val="en-US" w:eastAsia="zh-CN"/>
        </w:rPr>
        <w:t>.00</w:t>
      </w:r>
      <w:r>
        <w:rPr>
          <w:rFonts w:ascii="仿宋_GB2312" w:hAnsi="仿宋_GB2312" w:eastAsia="仿宋_GB2312" w:cs="宋体"/>
          <w:color w:val="000000"/>
          <w:kern w:val="0"/>
          <w:sz w:val="32"/>
          <w:szCs w:val="32"/>
          <w:shd w:val="clear" w:color="auto" w:fill="FFFFFF"/>
          <w:lang w:val="zh-CN"/>
        </w:rPr>
        <w:t>%</w:t>
      </w:r>
      <w:r>
        <w:rPr>
          <w:rFonts w:hint="eastAsia" w:ascii="仿宋_GB2312" w:hAnsi="仿宋_GB2312" w:eastAsia="仿宋_GB2312" w:cs="宋体"/>
          <w:color w:val="000000"/>
          <w:kern w:val="0"/>
          <w:sz w:val="32"/>
          <w:szCs w:val="32"/>
          <w:shd w:val="clear" w:color="auto" w:fill="FFFFFF"/>
          <w:lang w:val="zh-CN"/>
        </w:rPr>
        <w:t>；项目支出</w:t>
      </w:r>
      <w:r>
        <w:rPr>
          <w:rFonts w:ascii="仿宋_GB2312" w:hAnsi="仿宋_GB2312" w:eastAsia="仿宋_GB2312" w:cs="宋体"/>
          <w:color w:val="000000"/>
          <w:kern w:val="0"/>
          <w:sz w:val="32"/>
          <w:szCs w:val="32"/>
          <w:shd w:val="clear" w:color="auto" w:fill="FFFFFF"/>
          <w:lang w:val="zh-CN"/>
        </w:rPr>
        <w:t>1509.02</w:t>
      </w:r>
      <w:r>
        <w:rPr>
          <w:rFonts w:hint="eastAsia" w:ascii="仿宋_GB2312" w:hAnsi="仿宋_GB2312" w:eastAsia="仿宋_GB2312" w:cs="宋体"/>
          <w:color w:val="000000"/>
          <w:kern w:val="0"/>
          <w:sz w:val="32"/>
          <w:szCs w:val="32"/>
          <w:shd w:val="clear" w:color="auto" w:fill="FFFFFF"/>
          <w:lang w:val="zh-CN"/>
        </w:rPr>
        <w:t>万元，占84</w:t>
      </w:r>
      <w:r>
        <w:rPr>
          <w:rFonts w:hint="eastAsia" w:ascii="仿宋_GB2312" w:hAnsi="仿宋_GB2312" w:eastAsia="仿宋_GB2312" w:cs="宋体"/>
          <w:color w:val="000000"/>
          <w:kern w:val="0"/>
          <w:sz w:val="32"/>
          <w:szCs w:val="32"/>
          <w:shd w:val="clear" w:color="auto" w:fill="FFFFFF"/>
          <w:lang w:val="en-US" w:eastAsia="zh-CN"/>
        </w:rPr>
        <w:t>.00</w:t>
      </w:r>
      <w:r>
        <w:rPr>
          <w:rFonts w:ascii="仿宋_GB2312" w:hAnsi="仿宋_GB2312" w:eastAsia="仿宋_GB2312" w:cs="宋体"/>
          <w:color w:val="000000"/>
          <w:kern w:val="0"/>
          <w:sz w:val="32"/>
          <w:szCs w:val="32"/>
          <w:shd w:val="clear" w:color="auto" w:fill="FFFFFF"/>
          <w:lang w:val="zh-CN"/>
        </w:rPr>
        <w:t>%</w:t>
      </w:r>
      <w:r>
        <w:rPr>
          <w:rFonts w:hint="eastAsia" w:ascii="仿宋_GB2312" w:hAnsi="仿宋_GB2312" w:eastAsia="仿宋_GB2312" w:cs="宋体"/>
          <w:color w:val="000000"/>
          <w:kern w:val="0"/>
          <w:sz w:val="32"/>
          <w:szCs w:val="32"/>
          <w:shd w:val="clear" w:color="auto" w:fill="FFFFFF"/>
          <w:lang w:val="zh-CN"/>
        </w:rPr>
        <w:t>。</w:t>
      </w:r>
    </w:p>
    <w:p>
      <w:pPr>
        <w:widowControl/>
        <w:snapToGrid w:val="0"/>
        <w:spacing w:line="580" w:lineRule="exact"/>
        <w:contextualSpacing/>
        <w:jc w:val="left"/>
      </w:pPr>
    </w:p>
    <w:p>
      <w:pPr>
        <w:widowControl/>
        <w:snapToGrid w:val="0"/>
        <w:spacing w:line="572" w:lineRule="exact"/>
        <w:ind w:firstLine="640"/>
        <w:contextualSpacing/>
        <w:jc w:val="left"/>
      </w:pPr>
      <w:r>
        <w:rPr>
          <w:rFonts w:hint="eastAsia" w:ascii="黑体" w:hAnsi="黑体" w:eastAsia="黑体" w:cs="宋体"/>
          <w:kern w:val="0"/>
          <w:sz w:val="32"/>
          <w:szCs w:val="32"/>
          <w:shd w:val="clear" w:color="auto" w:fill="FFFFFF"/>
        </w:rPr>
        <w:t>三、部门整体预算绩效管理情况</w:t>
      </w:r>
    </w:p>
    <w:p>
      <w:pPr>
        <w:widowControl/>
        <w:snapToGrid w:val="0"/>
        <w:spacing w:line="572" w:lineRule="exact"/>
        <w:ind w:firstLine="640"/>
        <w:contextualSpacing/>
        <w:jc w:val="left"/>
      </w:pPr>
      <w:r>
        <w:rPr>
          <w:rFonts w:hint="eastAsia" w:ascii="仿宋_GB2312" w:hAnsi="仿宋_GB2312" w:eastAsia="仿宋_GB2312" w:cs="宋体"/>
          <w:kern w:val="0"/>
          <w:sz w:val="32"/>
          <w:szCs w:val="32"/>
          <w:shd w:val="clear" w:color="auto" w:fill="FFFFFF"/>
          <w:lang w:val="zh-CN"/>
        </w:rPr>
        <w:t>（一）部门预算项目绩效管理。</w:t>
      </w:r>
    </w:p>
    <w:p>
      <w:pPr>
        <w:pBdr>
          <w:top w:val="single" w:color="FFFFFF" w:sz="4" w:space="0"/>
          <w:left w:val="single" w:color="FFFFFF" w:sz="4" w:space="31"/>
          <w:bottom w:val="single" w:color="FFFFFF" w:sz="4" w:space="31"/>
          <w:right w:val="single" w:color="FFFFFF" w:sz="4" w:space="7"/>
        </w:pBdr>
        <w:adjustRightInd w:val="0"/>
        <w:snapToGri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Calibri" w:eastAsia="仿宋_GB2312"/>
          <w:sz w:val="32"/>
          <w:szCs w:val="32"/>
        </w:rPr>
        <w:t>攀枝花市仁和区医疗保障局按照《预算法》实施条例等预算编制的</w:t>
      </w:r>
      <w:r>
        <w:rPr>
          <w:rFonts w:hint="eastAsia" w:ascii="仿宋_GB2312" w:hAnsi="Calibri" w:eastAsia="仿宋_GB2312"/>
          <w:sz w:val="32"/>
          <w:szCs w:val="32"/>
          <w:lang w:eastAsia="zh-CN"/>
        </w:rPr>
        <w:t>法律法规</w:t>
      </w:r>
      <w:r>
        <w:rPr>
          <w:rFonts w:hint="eastAsia" w:ascii="仿宋_GB2312" w:hAnsi="Calibri" w:eastAsia="仿宋_GB2312"/>
          <w:sz w:val="32"/>
          <w:szCs w:val="32"/>
        </w:rPr>
        <w:t>要求及时核对人员编制、实有人数、工资、车辆等基础信息，并实时更新单位基础信息数据库，准确编制部门预算，将部门预算收入全部纳入预算管理，全面完整地反映部门真实收入情况。严格按照预算情况支出经费，对年初预算安排情况、年中追加预算情况、预算执行情况、部门预算绩效目标等情况进行了监控分析，</w:t>
      </w:r>
      <w:r>
        <w:rPr>
          <w:rFonts w:hint="eastAsia" w:ascii="仿宋_GB2312" w:hAnsi="仿宋_GB2312" w:eastAsia="仿宋_GB2312" w:cs="仿宋_GB2312"/>
          <w:sz w:val="32"/>
          <w:szCs w:val="32"/>
          <w:shd w:val="clear" w:color="auto" w:fill="FFFFFF"/>
        </w:rPr>
        <w:t>预算追加和减少严格按照相关部门批复进行调整。</w:t>
      </w:r>
      <w:r>
        <w:rPr>
          <w:rFonts w:hint="eastAsia" w:ascii="仿宋_GB2312" w:hAnsi="Calibri" w:eastAsia="仿宋_GB2312"/>
          <w:color w:val="000000"/>
          <w:sz w:val="32"/>
          <w:szCs w:val="32"/>
        </w:rPr>
        <w:t>编制了部门整体绩效目标，全年按照编制的部门整体绩效目标任务有序开展工作，</w:t>
      </w:r>
      <w:r>
        <w:rPr>
          <w:rFonts w:hint="eastAsia" w:ascii="仿宋_GB2312" w:hAnsi="Calibri" w:eastAsia="仿宋_GB2312"/>
          <w:sz w:val="32"/>
          <w:szCs w:val="32"/>
        </w:rPr>
        <w:t>保证各项资金能够合理使用，绩效目标能够保质保量</w:t>
      </w:r>
      <w:r>
        <w:rPr>
          <w:rFonts w:hint="eastAsia" w:ascii="仿宋_GB2312" w:hAnsi="Calibri" w:eastAsia="仿宋_GB2312"/>
          <w:sz w:val="32"/>
          <w:szCs w:val="32"/>
          <w:lang w:eastAsia="zh-CN"/>
        </w:rPr>
        <w:t>地</w:t>
      </w:r>
      <w:r>
        <w:rPr>
          <w:rFonts w:hint="eastAsia" w:ascii="仿宋_GB2312" w:hAnsi="Calibri" w:eastAsia="仿宋_GB2312"/>
          <w:sz w:val="32"/>
          <w:szCs w:val="32"/>
        </w:rPr>
        <w:t>完成。</w:t>
      </w:r>
      <w:r>
        <w:rPr>
          <w:rFonts w:hint="eastAsia" w:ascii="仿宋_GB2312" w:hAnsi="仿宋_GB2312" w:eastAsia="仿宋_GB2312" w:cs="仿宋_GB2312"/>
          <w:sz w:val="32"/>
          <w:szCs w:val="32"/>
          <w:shd w:val="clear" w:color="auto" w:fill="FFFFFF"/>
        </w:rPr>
        <w:t>严格按照工作任务、时间节点执行。按照预算要求，保质保量</w:t>
      </w:r>
      <w:r>
        <w:rPr>
          <w:rFonts w:hint="eastAsia" w:ascii="仿宋_GB2312" w:hAnsi="仿宋_GB2312" w:eastAsia="仿宋_GB2312" w:cs="仿宋_GB2312"/>
          <w:sz w:val="32"/>
          <w:szCs w:val="32"/>
          <w:shd w:val="clear" w:color="auto" w:fill="FFFFFF"/>
          <w:lang w:eastAsia="zh-CN"/>
        </w:rPr>
        <w:t>地</w:t>
      </w:r>
      <w:r>
        <w:rPr>
          <w:rFonts w:hint="eastAsia" w:ascii="仿宋_GB2312" w:hAnsi="仿宋_GB2312" w:eastAsia="仿宋_GB2312" w:cs="仿宋_GB2312"/>
          <w:sz w:val="32"/>
          <w:szCs w:val="32"/>
          <w:shd w:val="clear" w:color="auto" w:fill="FFFFFF"/>
        </w:rPr>
        <w:t>完成了各项任务。无违规记录。</w:t>
      </w:r>
    </w:p>
    <w:p>
      <w:pPr>
        <w:widowControl/>
        <w:snapToGrid w:val="0"/>
        <w:spacing w:line="572" w:lineRule="exact"/>
        <w:ind w:firstLine="640"/>
        <w:contextualSpacing/>
        <w:jc w:val="left"/>
      </w:pPr>
      <w:r>
        <w:rPr>
          <w:rFonts w:hint="eastAsia" w:ascii="仿宋_GB2312" w:hAnsi="仿宋_GB2312" w:eastAsia="仿宋_GB2312" w:cs="宋体"/>
          <w:kern w:val="0"/>
          <w:sz w:val="32"/>
          <w:szCs w:val="32"/>
          <w:shd w:val="clear" w:color="auto" w:fill="FFFFFF"/>
          <w:lang w:val="zh-CN"/>
        </w:rPr>
        <w:t>（二）结果应用情况。</w:t>
      </w:r>
    </w:p>
    <w:p>
      <w:pPr>
        <w:widowControl/>
        <w:snapToGrid w:val="0"/>
        <w:spacing w:line="572" w:lineRule="exact"/>
        <w:ind w:firstLine="640"/>
        <w:contextualSpacing/>
        <w:jc w:val="left"/>
        <w:rPr>
          <w:rFonts w:ascii="仿宋_GB2312" w:hAnsi="仿宋_GB2312" w:eastAsia="仿宋_GB2312" w:cs="宋体"/>
          <w:kern w:val="0"/>
          <w:sz w:val="32"/>
          <w:szCs w:val="32"/>
          <w:shd w:val="clear" w:color="auto" w:fill="FFFFFF"/>
          <w:lang w:val="zh-CN"/>
        </w:rPr>
      </w:pPr>
      <w:r>
        <w:rPr>
          <w:rFonts w:hint="eastAsia" w:ascii="仿宋_GB2312" w:hAnsi="仿宋_GB2312" w:eastAsia="仿宋_GB2312" w:cs="宋体"/>
          <w:kern w:val="0"/>
          <w:sz w:val="32"/>
          <w:szCs w:val="32"/>
          <w:shd w:val="clear" w:color="auto" w:fill="FFFFFF"/>
          <w:lang w:val="zh-CN"/>
        </w:rPr>
        <w:t>攀枝花市仁和区医疗保障局将</w:t>
      </w:r>
      <w:r>
        <w:rPr>
          <w:rFonts w:hint="eastAsia" w:ascii="仿宋_GB2312" w:hAnsi="Calibri" w:eastAsia="仿宋_GB2312"/>
          <w:sz w:val="32"/>
          <w:szCs w:val="32"/>
        </w:rPr>
        <w:t>年初预算安排情况、年中追加预算情况、预算执行情况、部门预算绩效目标等情况纳入绩效考核。主动将部门预算、部门决算、部门预算整体绩效、项目资金绩效等情况进行公开，自觉接受监督。</w:t>
      </w:r>
    </w:p>
    <w:p>
      <w:pPr>
        <w:widowControl/>
        <w:numPr>
          <w:ilvl w:val="0"/>
          <w:numId w:val="6"/>
        </w:numPr>
        <w:snapToGrid w:val="0"/>
        <w:spacing w:line="572" w:lineRule="exact"/>
        <w:contextualSpacing/>
        <w:jc w:val="left"/>
        <w:rPr>
          <w:rFonts w:ascii="仿宋_GB2312" w:hAnsi="仿宋_GB2312" w:eastAsia="仿宋_GB2312" w:cs="宋体"/>
          <w:kern w:val="0"/>
          <w:sz w:val="32"/>
          <w:szCs w:val="32"/>
          <w:shd w:val="clear" w:color="auto" w:fill="FFFFFF"/>
          <w:lang w:val="zh-CN"/>
        </w:rPr>
      </w:pPr>
      <w:r>
        <w:rPr>
          <w:rFonts w:hint="eastAsia" w:ascii="仿宋_GB2312" w:hAnsi="仿宋_GB2312" w:eastAsia="仿宋_GB2312" w:cs="宋体"/>
          <w:kern w:val="0"/>
          <w:sz w:val="32"/>
          <w:szCs w:val="32"/>
          <w:shd w:val="clear" w:color="auto" w:fill="FFFFFF"/>
          <w:lang w:val="zh-CN"/>
        </w:rPr>
        <w:t>自评质量</w:t>
      </w:r>
    </w:p>
    <w:p>
      <w:pPr>
        <w:widowControl/>
        <w:snapToGrid w:val="0"/>
        <w:spacing w:line="572" w:lineRule="exact"/>
        <w:ind w:firstLine="640"/>
        <w:contextualSpacing/>
        <w:jc w:val="left"/>
        <w:rPr>
          <w:rFonts w:ascii="仿宋_GB2312" w:hAnsi="仿宋_GB2312" w:eastAsia="仿宋_GB2312" w:cs="宋体"/>
          <w:kern w:val="0"/>
          <w:sz w:val="32"/>
          <w:szCs w:val="32"/>
          <w:shd w:val="clear" w:color="auto" w:fill="FFFFFF"/>
          <w:lang w:val="zh-CN"/>
        </w:rPr>
      </w:pPr>
      <w:r>
        <w:rPr>
          <w:rFonts w:hint="eastAsia" w:ascii="仿宋_GB2312" w:hAnsi="仿宋_GB2312" w:eastAsia="仿宋_GB2312" w:cs="宋体"/>
          <w:kern w:val="0"/>
          <w:sz w:val="32"/>
          <w:szCs w:val="32"/>
          <w:shd w:val="clear" w:color="auto" w:fill="FFFFFF"/>
          <w:lang w:val="zh-CN"/>
        </w:rPr>
        <w:t>攀枝花市仁和区医疗保障局按照强化绩效管理理念，秉承客观公正、</w:t>
      </w:r>
      <w:r>
        <w:rPr>
          <w:rFonts w:hint="eastAsia" w:ascii="仿宋_GB2312" w:hAnsi="仿宋_GB2312" w:eastAsia="仿宋_GB2312" w:cs="宋体"/>
          <w:kern w:val="0"/>
          <w:sz w:val="32"/>
          <w:szCs w:val="32"/>
          <w:shd w:val="clear" w:color="auto" w:fill="FFFFFF"/>
          <w:lang w:val="en-US" w:eastAsia="zh-CN"/>
        </w:rPr>
        <w:t>实事</w:t>
      </w:r>
      <w:r>
        <w:rPr>
          <w:rFonts w:hint="eastAsia" w:ascii="仿宋_GB2312" w:hAnsi="仿宋_GB2312" w:eastAsia="仿宋_GB2312" w:cs="宋体"/>
          <w:kern w:val="0"/>
          <w:sz w:val="32"/>
          <w:szCs w:val="32"/>
          <w:shd w:val="clear" w:color="auto" w:fill="FFFFFF"/>
          <w:lang w:val="zh-CN"/>
        </w:rPr>
        <w:t>求是的原则开展了单位自评工作。</w:t>
      </w:r>
    </w:p>
    <w:p>
      <w:pPr>
        <w:widowControl/>
        <w:snapToGrid w:val="0"/>
        <w:spacing w:line="572" w:lineRule="exact"/>
        <w:ind w:firstLine="640"/>
        <w:contextualSpacing/>
        <w:jc w:val="left"/>
        <w:rPr>
          <w:rFonts w:ascii="仿宋_GB2312" w:hAnsi="仿宋_GB2312" w:eastAsia="仿宋_GB2312" w:cs="宋体"/>
          <w:kern w:val="0"/>
          <w:sz w:val="32"/>
          <w:szCs w:val="32"/>
          <w:shd w:val="clear" w:color="auto" w:fill="FFFFFF"/>
          <w:lang w:val="zh-CN"/>
        </w:rPr>
      </w:pPr>
    </w:p>
    <w:p>
      <w:pPr>
        <w:widowControl/>
        <w:snapToGrid w:val="0"/>
        <w:spacing w:line="576" w:lineRule="exact"/>
        <w:ind w:firstLine="640"/>
        <w:contextualSpacing/>
        <w:jc w:val="left"/>
      </w:pPr>
      <w:r>
        <w:rPr>
          <w:rFonts w:hint="eastAsia" w:ascii="黑体" w:hAnsi="黑体" w:eastAsia="黑体" w:cs="宋体"/>
          <w:kern w:val="0"/>
          <w:sz w:val="32"/>
          <w:szCs w:val="32"/>
          <w:shd w:val="clear" w:color="auto" w:fill="FFFFFF"/>
        </w:rPr>
        <w:t>四、评价结论及建议</w:t>
      </w: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r>
        <w:rPr>
          <w:rFonts w:hint="eastAsia" w:ascii="仿宋_GB2312" w:hAnsi="仿宋_GB2312" w:eastAsia="仿宋_GB2312" w:cs="宋体"/>
          <w:kern w:val="0"/>
          <w:sz w:val="32"/>
          <w:szCs w:val="32"/>
          <w:shd w:val="clear" w:color="auto" w:fill="FFFFFF"/>
          <w:lang w:val="zh-CN"/>
        </w:rPr>
        <w:t>（一）评价结论。</w:t>
      </w:r>
    </w:p>
    <w:p>
      <w:pPr>
        <w:widowControl/>
        <w:snapToGrid w:val="0"/>
        <w:spacing w:line="576" w:lineRule="exact"/>
        <w:ind w:firstLine="640"/>
        <w:contextualSpacing/>
        <w:jc w:val="left"/>
      </w:pPr>
      <w:r>
        <w:rPr>
          <w:rFonts w:hint="eastAsia" w:ascii="仿宋_GB2312" w:eastAsia="仿宋_GB2312"/>
          <w:color w:val="000000"/>
          <w:sz w:val="32"/>
          <w:szCs w:val="32"/>
          <w:lang w:val="zh-CN"/>
        </w:rPr>
        <w:t>20</w:t>
      </w:r>
      <w:r>
        <w:rPr>
          <w:rFonts w:ascii="仿宋_GB2312" w:eastAsia="仿宋_GB2312"/>
          <w:color w:val="000000"/>
          <w:sz w:val="32"/>
          <w:szCs w:val="32"/>
          <w:lang w:val="zh-CN"/>
        </w:rPr>
        <w:t>2</w:t>
      </w:r>
      <w:r>
        <w:rPr>
          <w:rFonts w:hint="eastAsia" w:ascii="仿宋_GB2312" w:eastAsia="仿宋_GB2312"/>
          <w:color w:val="000000"/>
          <w:sz w:val="32"/>
          <w:szCs w:val="32"/>
          <w:lang w:val="zh-CN"/>
        </w:rPr>
        <w:t>1年，</w:t>
      </w:r>
      <w:r>
        <w:rPr>
          <w:rFonts w:hint="eastAsia" w:ascii="仿宋_GB2312" w:eastAsia="仿宋_GB2312"/>
          <w:color w:val="000000"/>
          <w:sz w:val="32"/>
          <w:szCs w:val="32"/>
        </w:rPr>
        <w:t>坚持预算与决算相结合，先预算后支出的原则，合理安排、使用各项资金，严格执行财经制度，会计核算合法合规，财务制度健全，管理规范。</w:t>
      </w: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r>
        <w:rPr>
          <w:rFonts w:hint="eastAsia" w:ascii="仿宋_GB2312" w:hAnsi="仿宋_GB2312" w:eastAsia="仿宋_GB2312" w:cs="宋体"/>
          <w:kern w:val="0"/>
          <w:sz w:val="32"/>
          <w:szCs w:val="32"/>
          <w:shd w:val="clear" w:color="auto" w:fill="FFFFFF"/>
          <w:lang w:val="zh-CN"/>
        </w:rPr>
        <w:t>（二）存在问题。</w:t>
      </w: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r>
        <w:rPr>
          <w:rFonts w:ascii="仿宋_GB2312" w:hAnsi="仿宋_GB2312" w:eastAsia="仿宋_GB2312" w:cs="宋体"/>
          <w:kern w:val="0"/>
          <w:sz w:val="32"/>
          <w:szCs w:val="32"/>
          <w:shd w:val="clear" w:color="auto" w:fill="FFFFFF"/>
          <w:lang w:val="zh-CN"/>
        </w:rPr>
        <w:t>无</w:t>
      </w: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r>
        <w:rPr>
          <w:rFonts w:hint="eastAsia" w:ascii="仿宋_GB2312" w:hAnsi="仿宋_GB2312" w:eastAsia="仿宋_GB2312" w:cs="宋体"/>
          <w:kern w:val="0"/>
          <w:sz w:val="32"/>
          <w:szCs w:val="32"/>
          <w:shd w:val="clear" w:color="auto" w:fill="FFFFFF"/>
          <w:lang w:val="zh-CN"/>
        </w:rPr>
        <w:t>（三）改进建议。</w:t>
      </w: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r>
        <w:rPr>
          <w:rFonts w:ascii="仿宋_GB2312" w:hAnsi="仿宋_GB2312" w:eastAsia="仿宋_GB2312" w:cs="宋体"/>
          <w:kern w:val="0"/>
          <w:sz w:val="32"/>
          <w:szCs w:val="32"/>
          <w:shd w:val="clear" w:color="auto" w:fill="FFFFFF"/>
          <w:lang w:val="zh-CN"/>
        </w:rPr>
        <w:t>无</w:t>
      </w: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p>
    <w:p>
      <w:pPr>
        <w:widowControl/>
        <w:snapToGrid w:val="0"/>
        <w:spacing w:line="576" w:lineRule="exact"/>
        <w:ind w:firstLine="640"/>
        <w:contextualSpacing/>
        <w:jc w:val="left"/>
        <w:rPr>
          <w:rFonts w:ascii="仿宋_GB2312" w:hAnsi="仿宋_GB2312" w:eastAsia="仿宋_GB2312" w:cs="宋体"/>
          <w:kern w:val="0"/>
          <w:sz w:val="32"/>
          <w:szCs w:val="32"/>
          <w:shd w:val="clear" w:color="auto" w:fill="FFFFFF"/>
          <w:lang w:val="zh-CN"/>
        </w:rPr>
      </w:pPr>
    </w:p>
    <w:p>
      <w:pPr>
        <w:widowControl/>
        <w:snapToGrid w:val="0"/>
        <w:spacing w:line="576" w:lineRule="exact"/>
        <w:contextualSpacing/>
        <w:jc w:val="left"/>
        <w:rPr>
          <w:rFonts w:ascii="仿宋_GB2312" w:hAnsi="仿宋_GB2312" w:eastAsia="仿宋_GB2312" w:cs="宋体"/>
          <w:kern w:val="0"/>
          <w:sz w:val="32"/>
          <w:szCs w:val="32"/>
          <w:shd w:val="clear" w:color="auto" w:fill="FFFFFF"/>
          <w:lang w:val="zh-CN"/>
        </w:rPr>
      </w:pPr>
    </w:p>
    <w:p>
      <w:pPr>
        <w:pStyle w:val="4"/>
        <w:spacing w:before="93"/>
      </w:pPr>
      <w:r>
        <w:rPr>
          <w:rFonts w:hint="eastAsia" w:cs="宋体"/>
          <w:sz w:val="32"/>
          <w:szCs w:val="32"/>
          <w:shd w:val="clear" w:color="auto" w:fill="FFFFFF"/>
          <w:lang w:val="zh-CN"/>
        </w:rPr>
        <w:t>附件</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攀枝花市仁和区医疗</w:t>
      </w:r>
      <w:r>
        <w:rPr>
          <w:rFonts w:ascii="方正小标宋_GBK" w:hAnsi="黑体" w:eastAsia="方正小标宋_GBK" w:cs="黑体"/>
          <w:sz w:val="36"/>
          <w:szCs w:val="36"/>
        </w:rPr>
        <w:t>保障局</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（2020年医保基金监管市级专项经费）</w:t>
      </w:r>
    </w:p>
    <w:p>
      <w:pPr>
        <w:pStyle w:val="5"/>
        <w:spacing w:line="600" w:lineRule="exact"/>
        <w:ind w:firstLine="640" w:firstLineChars="200"/>
        <w:jc w:val="center"/>
        <w:rPr>
          <w:rFonts w:ascii="仿宋_GB2312" w:hAnsi="仿宋_GB2312" w:eastAsia="仿宋_GB2312" w:cs="仿宋_GB2312"/>
          <w:sz w:val="32"/>
          <w:szCs w:val="32"/>
        </w:rPr>
      </w:pPr>
    </w:p>
    <w:p>
      <w:pPr>
        <w:pStyle w:val="5"/>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攀枝花市仁和区医疗保障局</w:t>
      </w:r>
      <w:r>
        <w:rPr>
          <w:rFonts w:hint="eastAsia" w:eastAsia="仿宋_GB2312"/>
          <w:kern w:val="0"/>
          <w:sz w:val="32"/>
          <w:szCs w:val="32"/>
        </w:rPr>
        <w:t>对</w:t>
      </w:r>
      <w:r>
        <w:rPr>
          <w:rFonts w:eastAsia="仿宋_GB2312"/>
          <w:kern w:val="0"/>
          <w:sz w:val="32"/>
          <w:szCs w:val="32"/>
        </w:rPr>
        <w:t>开展的项目进行前期调查、收集并整理好有关资料，制定项目目标及项目计划，把握好项目执行中的问题、风险和变化，保障项目的顺利执行。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该</w:t>
      </w:r>
      <w:r>
        <w:rPr>
          <w:rFonts w:hint="eastAsia" w:eastAsia="仿宋_GB2312"/>
          <w:kern w:val="0"/>
          <w:sz w:val="32"/>
          <w:szCs w:val="32"/>
        </w:rPr>
        <w:t>项资金由市级拨付，为2</w:t>
      </w:r>
      <w:r>
        <w:rPr>
          <w:rFonts w:eastAsia="仿宋_GB2312"/>
          <w:kern w:val="0"/>
          <w:sz w:val="32"/>
          <w:szCs w:val="32"/>
        </w:rPr>
        <w:t>020财返资金。</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制定详细的资金管理办法，</w:t>
      </w:r>
      <w:r>
        <w:rPr>
          <w:rFonts w:hint="eastAsia" w:eastAsia="仿宋_GB2312"/>
          <w:kern w:val="0"/>
          <w:sz w:val="32"/>
          <w:szCs w:val="32"/>
        </w:rPr>
        <w:t>资</w:t>
      </w:r>
      <w:r>
        <w:rPr>
          <w:rFonts w:eastAsia="仿宋_GB2312"/>
          <w:kern w:val="0"/>
          <w:sz w:val="32"/>
          <w:szCs w:val="32"/>
        </w:rPr>
        <w:t>金用于本项目的开展，用于基金监管工作资金保障。</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基金监督工作经费。用于基金监管工作。</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保障基金监管工作经费，强化日常基金监管日常监督工作。</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保障基金监管工作，保障日常监督检查工作经费，按项目计划实施项目。</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pPr>
        <w:autoSpaceDE w:val="0"/>
        <w:autoSpaceDN w:val="0"/>
        <w:adjustRightInd w:val="0"/>
        <w:spacing w:line="600" w:lineRule="exact"/>
        <w:ind w:left="638" w:leftChars="304"/>
        <w:jc w:val="left"/>
        <w:rPr>
          <w:rFonts w:eastAsia="仿宋_GB2312"/>
          <w:kern w:val="0"/>
          <w:sz w:val="32"/>
          <w:szCs w:val="32"/>
        </w:rPr>
      </w:pPr>
      <w:r>
        <w:rPr>
          <w:rFonts w:eastAsia="仿宋_GB2312"/>
          <w:kern w:val="0"/>
          <w:sz w:val="32"/>
          <w:szCs w:val="32"/>
        </w:rPr>
        <w:t>评价申报内容与实际相符，申报目标合理可行。</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楷体_GB2312"/>
          <w:kern w:val="0"/>
          <w:sz w:val="32"/>
          <w:szCs w:val="32"/>
        </w:rPr>
        <w:t xml:space="preserve"> </w:t>
      </w:r>
      <w:r>
        <w:rPr>
          <w:rFonts w:eastAsia="仿宋_GB2312"/>
          <w:kern w:val="0"/>
          <w:sz w:val="32"/>
          <w:szCs w:val="32"/>
        </w:rPr>
        <w:t xml:space="preserve"> 该</w:t>
      </w:r>
      <w:r>
        <w:rPr>
          <w:rFonts w:hint="eastAsia" w:eastAsia="仿宋_GB2312"/>
          <w:kern w:val="0"/>
          <w:sz w:val="32"/>
          <w:szCs w:val="32"/>
        </w:rPr>
        <w:t>项资金为财返资金，由财政于2</w:t>
      </w:r>
      <w:r>
        <w:rPr>
          <w:rFonts w:eastAsia="仿宋_GB2312"/>
          <w:kern w:val="0"/>
          <w:sz w:val="32"/>
          <w:szCs w:val="32"/>
        </w:rPr>
        <w:t>021年</w:t>
      </w:r>
      <w:r>
        <w:rPr>
          <w:rFonts w:hint="eastAsia" w:eastAsia="仿宋_GB2312"/>
          <w:kern w:val="0"/>
          <w:sz w:val="32"/>
          <w:szCs w:val="32"/>
        </w:rPr>
        <w:t>1月下达。</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项目资金为财返资金，共计</w:t>
      </w:r>
      <w:r>
        <w:rPr>
          <w:rFonts w:hint="eastAsia" w:eastAsia="仿宋_GB2312"/>
          <w:kern w:val="0"/>
          <w:sz w:val="32"/>
          <w:szCs w:val="32"/>
        </w:rPr>
        <w:t>7</w:t>
      </w:r>
      <w:r>
        <w:rPr>
          <w:rFonts w:eastAsia="仿宋_GB2312"/>
          <w:kern w:val="0"/>
          <w:sz w:val="32"/>
          <w:szCs w:val="32"/>
        </w:rPr>
        <w:t>452.27元，其中区级资金</w:t>
      </w:r>
      <w:r>
        <w:rPr>
          <w:rFonts w:hint="eastAsia" w:eastAsia="仿宋_GB2312"/>
          <w:kern w:val="0"/>
          <w:sz w:val="32"/>
          <w:szCs w:val="32"/>
        </w:rPr>
        <w:t>7</w:t>
      </w:r>
      <w:r>
        <w:rPr>
          <w:rFonts w:eastAsia="仿宋_GB2312"/>
          <w:kern w:val="0"/>
          <w:sz w:val="32"/>
          <w:szCs w:val="32"/>
        </w:rPr>
        <w:t>452.27元。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021年</w:t>
      </w:r>
      <w:r>
        <w:rPr>
          <w:rFonts w:hint="eastAsia" w:eastAsia="仿宋_GB2312"/>
          <w:kern w:val="0"/>
          <w:sz w:val="32"/>
          <w:szCs w:val="32"/>
        </w:rPr>
        <w:t>1月财政下达该项资金，其中区级资金7</w:t>
      </w:r>
      <w:r>
        <w:rPr>
          <w:rFonts w:eastAsia="仿宋_GB2312"/>
          <w:kern w:val="0"/>
          <w:sz w:val="32"/>
          <w:szCs w:val="32"/>
        </w:rPr>
        <w:t>452.27元，资金到位金额与资金计划一致，资金到位率</w:t>
      </w:r>
      <w:r>
        <w:rPr>
          <w:rFonts w:hint="eastAsia" w:eastAsia="仿宋_GB2312"/>
          <w:kern w:val="0"/>
          <w:sz w:val="32"/>
          <w:szCs w:val="32"/>
        </w:rPr>
        <w:t>1</w:t>
      </w:r>
      <w:r>
        <w:rPr>
          <w:rFonts w:eastAsia="仿宋_GB2312"/>
          <w:kern w:val="0"/>
          <w:sz w:val="32"/>
          <w:szCs w:val="32"/>
        </w:rPr>
        <w:t>00%，资金到位及时。</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lang w:eastAsia="zh-CN"/>
        </w:rPr>
        <w:t>截至2021年</w:t>
      </w:r>
      <w:r>
        <w:rPr>
          <w:rFonts w:hint="eastAsia" w:eastAsia="仿宋_GB2312"/>
          <w:kern w:val="0"/>
          <w:sz w:val="32"/>
          <w:szCs w:val="32"/>
        </w:rPr>
        <w:t>1</w:t>
      </w:r>
      <w:r>
        <w:rPr>
          <w:rFonts w:eastAsia="仿宋_GB2312"/>
          <w:kern w:val="0"/>
          <w:sz w:val="32"/>
          <w:szCs w:val="32"/>
        </w:rPr>
        <w:t>2月</w:t>
      </w:r>
      <w:r>
        <w:rPr>
          <w:rFonts w:hint="eastAsia" w:eastAsia="仿宋_GB2312"/>
          <w:kern w:val="0"/>
          <w:sz w:val="32"/>
          <w:szCs w:val="32"/>
        </w:rPr>
        <w:t>3</w:t>
      </w:r>
      <w:r>
        <w:rPr>
          <w:rFonts w:eastAsia="仿宋_GB2312"/>
          <w:kern w:val="0"/>
          <w:sz w:val="32"/>
          <w:szCs w:val="32"/>
        </w:rPr>
        <w:t>1日，资金使用6752.00元。用于</w:t>
      </w:r>
      <w:r>
        <w:rPr>
          <w:rFonts w:hint="eastAsia" w:eastAsia="仿宋_GB2312"/>
          <w:kern w:val="0"/>
          <w:sz w:val="32"/>
          <w:szCs w:val="32"/>
        </w:rPr>
        <w:t>日常监督检查差旅费伙食费补助，印制监管宣传资料。完成预算9</w:t>
      </w:r>
      <w:r>
        <w:rPr>
          <w:rFonts w:eastAsia="仿宋_GB2312"/>
          <w:kern w:val="0"/>
          <w:sz w:val="32"/>
          <w:szCs w:val="32"/>
        </w:rPr>
        <w:t>0.67%。</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w:t>
      </w:r>
      <w:r>
        <w:rPr>
          <w:rFonts w:eastAsia="仿宋_GB2312"/>
          <w:kern w:val="0"/>
          <w:sz w:val="32"/>
          <w:szCs w:val="32"/>
        </w:rPr>
        <w:t>枝花市仁和区医疗保障局财务管理制度健全，严格执行财务管理制度，账务处理及时，会计核算规范。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pPr>
        <w:autoSpaceDE w:val="0"/>
        <w:autoSpaceDN w:val="0"/>
        <w:adjustRightInd w:val="0"/>
        <w:spacing w:line="600" w:lineRule="exact"/>
        <w:ind w:firstLine="640" w:firstLineChars="200"/>
        <w:jc w:val="left"/>
        <w:rPr>
          <w:rFonts w:eastAsia="楷体_GB2312"/>
          <w:kern w:val="0"/>
          <w:sz w:val="32"/>
          <w:szCs w:val="32"/>
        </w:rPr>
      </w:pPr>
      <w:r>
        <w:rPr>
          <w:rFonts w:eastAsia="仿宋_GB2312"/>
          <w:kern w:val="0"/>
          <w:sz w:val="32"/>
          <w:szCs w:val="32"/>
        </w:rPr>
        <w:t>项目由仁和区医疗保障局负责，由仁和区医疗保障事务中心负责实施。</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严格执行相关法律法规及项目管理制度，保障资金落实到位。</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制定</w:t>
      </w:r>
      <w:r>
        <w:rPr>
          <w:rFonts w:eastAsia="仿宋_GB2312"/>
          <w:kern w:val="0"/>
          <w:sz w:val="32"/>
          <w:szCs w:val="32"/>
        </w:rPr>
        <w:t>项目计划，严格按照计划开展工作，严格管理项目资金，确保项目资金使用合理、合规、合法，保障资金安全性，不定期对项目资金开展情况、进度进行检查、跟进。</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对辖区内的定点医药机构开展日常监督检查，保障基金安全。共计支出项目资金</w:t>
      </w:r>
      <w:r>
        <w:rPr>
          <w:rFonts w:hint="eastAsia" w:eastAsia="仿宋_GB2312"/>
          <w:kern w:val="0"/>
          <w:sz w:val="32"/>
          <w:szCs w:val="32"/>
        </w:rPr>
        <w:t>6</w:t>
      </w:r>
      <w:r>
        <w:rPr>
          <w:rFonts w:eastAsia="仿宋_GB2312"/>
          <w:kern w:val="0"/>
          <w:sz w:val="32"/>
          <w:szCs w:val="32"/>
        </w:rPr>
        <w:t>752.00元，于2021年</w:t>
      </w:r>
      <w:r>
        <w:rPr>
          <w:rFonts w:hint="eastAsia" w:eastAsia="仿宋_GB2312"/>
          <w:kern w:val="0"/>
          <w:sz w:val="32"/>
          <w:szCs w:val="32"/>
        </w:rPr>
        <w:t>1</w:t>
      </w:r>
      <w:r>
        <w:rPr>
          <w:rFonts w:eastAsia="仿宋_GB2312"/>
          <w:kern w:val="0"/>
          <w:sz w:val="32"/>
          <w:szCs w:val="32"/>
        </w:rPr>
        <w:t>2月</w:t>
      </w:r>
      <w:r>
        <w:rPr>
          <w:rFonts w:hint="eastAsia" w:eastAsia="仿宋_GB2312"/>
          <w:kern w:val="0"/>
          <w:sz w:val="32"/>
          <w:szCs w:val="32"/>
        </w:rPr>
        <w:t>3</w:t>
      </w:r>
      <w:r>
        <w:rPr>
          <w:rFonts w:eastAsia="仿宋_GB2312"/>
          <w:kern w:val="0"/>
          <w:sz w:val="32"/>
          <w:szCs w:val="32"/>
        </w:rPr>
        <w:t>1日前完成了该</w:t>
      </w:r>
      <w:r>
        <w:rPr>
          <w:rFonts w:hint="eastAsia" w:eastAsia="仿宋_GB2312"/>
          <w:kern w:val="0"/>
          <w:sz w:val="32"/>
          <w:szCs w:val="32"/>
        </w:rPr>
        <w:t>项目。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社会效益：</w:t>
      </w:r>
      <w:r>
        <w:rPr>
          <w:rFonts w:hint="eastAsia" w:eastAsia="仿宋_GB2312"/>
          <w:kern w:val="0"/>
          <w:sz w:val="32"/>
          <w:szCs w:val="32"/>
        </w:rPr>
        <w:t>保障基金安全，促进基金有效使用，维护公民医疗保障合法权益。群众满意度≥90%。</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该项目的实施加强了基金监管工作，监管覆盖率9</w:t>
      </w:r>
      <w:r>
        <w:rPr>
          <w:rFonts w:eastAsia="仿宋_GB2312"/>
          <w:kern w:val="0"/>
          <w:sz w:val="32"/>
          <w:szCs w:val="32"/>
        </w:rPr>
        <w:t>5%以上，促进了基金的有效使用。维护了公民医疗保障合法权益，达到了预期效果。</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tbl>
      <w:tblPr>
        <w:tblStyle w:val="12"/>
        <w:tblW w:w="9824" w:type="dxa"/>
        <w:jc w:val="center"/>
        <w:tblLayout w:type="fixed"/>
        <w:tblCellMar>
          <w:top w:w="0" w:type="dxa"/>
          <w:left w:w="108" w:type="dxa"/>
          <w:bottom w:w="0" w:type="dxa"/>
          <w:right w:w="108" w:type="dxa"/>
        </w:tblCellMar>
      </w:tblPr>
      <w:tblGrid>
        <w:gridCol w:w="1976"/>
        <w:gridCol w:w="1142"/>
        <w:gridCol w:w="1635"/>
        <w:gridCol w:w="1189"/>
        <w:gridCol w:w="1224"/>
        <w:gridCol w:w="2409"/>
        <w:gridCol w:w="10"/>
        <w:gridCol w:w="229"/>
        <w:gridCol w:w="10"/>
      </w:tblGrid>
      <w:tr>
        <w:tblPrEx>
          <w:tblCellMar>
            <w:top w:w="0" w:type="dxa"/>
            <w:left w:w="108" w:type="dxa"/>
            <w:bottom w:w="0" w:type="dxa"/>
            <w:right w:w="108" w:type="dxa"/>
          </w:tblCellMar>
        </w:tblPrEx>
        <w:trPr>
          <w:gridAfter w:val="1"/>
          <w:wAfter w:w="10" w:type="dxa"/>
          <w:trHeight w:val="675" w:hRule="atLeast"/>
          <w:jc w:val="center"/>
        </w:trPr>
        <w:tc>
          <w:tcPr>
            <w:tcW w:w="9575" w:type="dxa"/>
            <w:gridSpan w:val="6"/>
            <w:shd w:val="clear" w:color="auto" w:fill="auto"/>
            <w:vAlign w:val="center"/>
          </w:tcPr>
          <w:p>
            <w:pPr>
              <w:widowControl/>
              <w:jc w:val="center"/>
              <w:textAlignment w:val="cente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pPr>
            <w:r>
              <w:rPr>
                <w:rFonts w:hint="eastAsia" w:ascii="宋体" w:hAnsi="宋体" w:cs="宋体"/>
                <w:b/>
                <w:sz w:val="32"/>
                <w:szCs w:val="32"/>
              </w:rPr>
              <w:t>2020年医保基金监管市级专项经费项目绩效目标自评</w:t>
            </w:r>
          </w:p>
        </w:tc>
        <w:tc>
          <w:tcPr>
            <w:tcW w:w="239" w:type="dxa"/>
            <w:gridSpan w:val="2"/>
            <w:shd w:val="clear" w:color="auto" w:fill="auto"/>
            <w:vAlign w:val="center"/>
          </w:tcPr>
          <w:p>
            <w:pPr>
              <w:widowControl/>
              <w:snapToGrid w:val="0"/>
              <w:jc w:val="center"/>
              <w:textAlignment w:val="center"/>
              <w:rPr>
                <w:rFonts w:ascii="宋体" w:hAnsi="宋体" w:cs="宋体"/>
                <w:b/>
                <w:kern w:val="0"/>
                <w:sz w:val="32"/>
                <w:szCs w:val="32"/>
              </w:rPr>
            </w:pPr>
          </w:p>
        </w:tc>
      </w:tr>
      <w:tr>
        <w:tblPrEx>
          <w:tblCellMar>
            <w:top w:w="0" w:type="dxa"/>
            <w:left w:w="0" w:type="dxa"/>
            <w:bottom w:w="0" w:type="dxa"/>
            <w:right w:w="0"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攀枝花市仁和区医疗保障局</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项目预算</w:t>
            </w:r>
            <w:r>
              <w:rPr>
                <w:rFonts w:ascii="宋体" w:hAnsi="宋体" w:cs="宋体"/>
                <w:kern w:val="0"/>
                <w:sz w:val="24"/>
              </w:rPr>
              <w:br w:type="textWrapping"/>
            </w:r>
            <w:r>
              <w:rPr>
                <w:rFonts w:hint="eastAsia" w:ascii="宋体" w:hAnsi="宋体" w:cs="宋体"/>
                <w:kern w:val="0"/>
                <w:sz w:val="24"/>
              </w:rPr>
              <w:t>执行情况</w:t>
            </w:r>
            <w:r>
              <w:rPr>
                <w:rFonts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0.75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执行数：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0.68</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0.75</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0.68</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年度总体目标</w:t>
            </w:r>
          </w:p>
          <w:p>
            <w:pPr>
              <w:widowControl/>
              <w:spacing w:line="320" w:lineRule="exact"/>
              <w:jc w:val="center"/>
              <w:textAlignment w:val="cente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预期目标</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目标实际完成情况</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保障基金监管工作经费，强化日常基金监管日常监督工作。</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开展日常监管工作，加强基金绩效管理，保障基金监管工作正常开展。</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一级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二级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三级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预期指标值</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实际完成指标值</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kern w:val="0"/>
                <w:sz w:val="28"/>
                <w:szCs w:val="28"/>
              </w:rPr>
              <w:t>完成</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开常日常监管工作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ascii="宋体" w:hAnsi="宋体" w:cs="宋体"/>
                <w:sz w:val="24"/>
              </w:rPr>
              <w:t>全覆盖检查</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保障基金监管工作日常开展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做好日常监管工作，保障工作正常开展</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按工作计划</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0.75万元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0.75万元</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0.68万元</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保障基金安全，促进基金有效使用，维护公民医疗保障合法权益</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维护公民合法权益</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77"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ind w:left="463" w:hanging="280"/>
              <w:jc w:val="left"/>
              <w:textAlignment w:val="bottom"/>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3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满意度</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满意度≥90%</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满意度≥90%</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848" w:type="dxa"/>
          <w:trHeight w:val="100" w:hRule="atLeast"/>
          <w:jc w:val="center"/>
        </w:trPr>
        <w:tc>
          <w:tcPr>
            <w:tcW w:w="1976" w:type="dxa"/>
            <w:tcBorders>
              <w:top w:val="single" w:color="auto" w:sz="4" w:space="0"/>
            </w:tcBorders>
          </w:tcPr>
          <w:p>
            <w:pPr>
              <w:widowControl/>
              <w:jc w:val="left"/>
            </w:pPr>
          </w:p>
        </w:tc>
      </w:tr>
    </w:tbl>
    <w:p>
      <w:pPr>
        <w:widowControl/>
        <w:jc w:val="left"/>
      </w:pPr>
    </w:p>
    <w:p>
      <w:pPr>
        <w:spacing w:line="600" w:lineRule="exact"/>
        <w:jc w:val="cente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攀枝花市仁和区医疗</w:t>
      </w:r>
      <w:r>
        <w:rPr>
          <w:rFonts w:ascii="方正小标宋_GBK" w:hAnsi="黑体" w:eastAsia="方正小标宋_GBK" w:cs="黑体"/>
          <w:sz w:val="36"/>
          <w:szCs w:val="36"/>
        </w:rPr>
        <w:t>保障局</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（城乡医疗救助资金）</w:t>
      </w:r>
    </w:p>
    <w:p>
      <w:pPr>
        <w:pStyle w:val="5"/>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攀枝花市仁和区医疗保障局</w:t>
      </w:r>
      <w:r>
        <w:rPr>
          <w:rFonts w:hint="eastAsia" w:eastAsia="仿宋_GB2312"/>
          <w:kern w:val="0"/>
          <w:sz w:val="32"/>
          <w:szCs w:val="32"/>
        </w:rPr>
        <w:t>对</w:t>
      </w:r>
      <w:r>
        <w:rPr>
          <w:rFonts w:eastAsia="仿宋_GB2312"/>
          <w:kern w:val="0"/>
          <w:sz w:val="32"/>
          <w:szCs w:val="32"/>
        </w:rPr>
        <w:t>开展的项目进行前期调查、收集并整理好有关资料，制定项目目标及项目计划，把握好项目执行中的问题、风险和变化，保障项目的顺利执行。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w:t>
      </w:r>
      <w:r>
        <w:rPr>
          <w:rFonts w:eastAsia="仿宋_GB2312"/>
          <w:kern w:val="0"/>
          <w:sz w:val="32"/>
          <w:szCs w:val="32"/>
        </w:rPr>
        <w:t>目立项依据：根据《攀办发</w:t>
      </w:r>
      <w:r>
        <w:rPr>
          <w:rFonts w:hint="eastAsia" w:eastAsia="仿宋_GB2312"/>
          <w:kern w:val="0"/>
          <w:sz w:val="32"/>
          <w:szCs w:val="32"/>
          <w:lang w:eastAsia="zh-CN"/>
        </w:rPr>
        <w:t>〔</w:t>
      </w:r>
      <w:r>
        <w:rPr>
          <w:rFonts w:hint="eastAsia" w:eastAsia="仿宋_GB2312"/>
          <w:kern w:val="0"/>
          <w:sz w:val="32"/>
          <w:szCs w:val="32"/>
        </w:rPr>
        <w:t>2</w:t>
      </w:r>
      <w:r>
        <w:rPr>
          <w:rFonts w:eastAsia="仿宋_GB2312"/>
          <w:kern w:val="0"/>
          <w:sz w:val="32"/>
          <w:szCs w:val="32"/>
        </w:rPr>
        <w:t>010</w:t>
      </w:r>
      <w:r>
        <w:rPr>
          <w:rFonts w:hint="eastAsia" w:eastAsia="仿宋_GB2312"/>
          <w:kern w:val="0"/>
          <w:sz w:val="32"/>
          <w:szCs w:val="32"/>
          <w:lang w:eastAsia="zh-CN"/>
        </w:rPr>
        <w:t>〕</w:t>
      </w:r>
      <w:r>
        <w:rPr>
          <w:rFonts w:hint="eastAsia" w:eastAsia="仿宋_GB2312"/>
          <w:kern w:val="0"/>
          <w:sz w:val="32"/>
          <w:szCs w:val="32"/>
        </w:rPr>
        <w:t>7</w:t>
      </w:r>
      <w:r>
        <w:rPr>
          <w:rFonts w:eastAsia="仿宋_GB2312"/>
          <w:kern w:val="0"/>
          <w:sz w:val="32"/>
          <w:szCs w:val="32"/>
        </w:rPr>
        <w:t>1号》文件，资助城乡低保对象、农村“五保”对象参加城乡居民基本医疗保险，给予城乡低保人员中已享受分类施保待遇的对象每年一次性门诊求助和常规住院医疗</w:t>
      </w:r>
      <w:r>
        <w:rPr>
          <w:rFonts w:hint="eastAsia" w:eastAsia="仿宋_GB2312"/>
          <w:kern w:val="0"/>
          <w:sz w:val="32"/>
          <w:szCs w:val="32"/>
          <w:lang w:eastAsia="zh-CN"/>
        </w:rPr>
        <w:t>救助金</w:t>
      </w:r>
      <w:r>
        <w:rPr>
          <w:rFonts w:eastAsia="仿宋_GB2312"/>
          <w:kern w:val="0"/>
          <w:sz w:val="32"/>
          <w:szCs w:val="32"/>
        </w:rPr>
        <w:t>，根据《攀仁府办</w:t>
      </w:r>
      <w:r>
        <w:rPr>
          <w:rFonts w:hint="eastAsia" w:eastAsia="仿宋_GB2312"/>
          <w:kern w:val="0"/>
          <w:sz w:val="32"/>
          <w:szCs w:val="32"/>
          <w:lang w:eastAsia="zh-CN"/>
        </w:rPr>
        <w:t>〔</w:t>
      </w:r>
      <w:r>
        <w:rPr>
          <w:rFonts w:hint="eastAsia" w:eastAsia="仿宋_GB2312"/>
          <w:kern w:val="0"/>
          <w:sz w:val="32"/>
          <w:szCs w:val="32"/>
        </w:rPr>
        <w:t>2</w:t>
      </w:r>
      <w:r>
        <w:rPr>
          <w:rFonts w:eastAsia="仿宋_GB2312"/>
          <w:kern w:val="0"/>
          <w:sz w:val="32"/>
          <w:szCs w:val="32"/>
        </w:rPr>
        <w:t>013</w:t>
      </w:r>
      <w:r>
        <w:rPr>
          <w:rFonts w:hint="eastAsia" w:eastAsia="仿宋_GB2312"/>
          <w:kern w:val="0"/>
          <w:sz w:val="32"/>
          <w:szCs w:val="32"/>
          <w:lang w:eastAsia="zh-CN"/>
        </w:rPr>
        <w:t>〕</w:t>
      </w:r>
      <w:r>
        <w:rPr>
          <w:rFonts w:hint="eastAsia" w:eastAsia="仿宋_GB2312"/>
          <w:kern w:val="0"/>
          <w:sz w:val="32"/>
          <w:szCs w:val="32"/>
        </w:rPr>
        <w:t>1</w:t>
      </w:r>
      <w:r>
        <w:rPr>
          <w:rFonts w:eastAsia="仿宋_GB2312"/>
          <w:kern w:val="0"/>
          <w:sz w:val="32"/>
          <w:szCs w:val="32"/>
        </w:rPr>
        <w:t>25号》文件，对具有仁和区户籍，患重特大疾病的城乡低保对象，城市三无人员，农村五保对象，城乡低收入家庭成员给予重特大疾病住院求助</w:t>
      </w:r>
      <w:r>
        <w:rPr>
          <w:rFonts w:hint="eastAsia" w:eastAsia="仿宋_GB2312"/>
          <w:kern w:val="0"/>
          <w:sz w:val="32"/>
          <w:szCs w:val="32"/>
        </w:rPr>
        <w:t>。资金申报依据：区财政要结合上一年重特大疾病医疗救助支出情况和本年资金需求将此项资金列入本级预算安排。</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制定详细的资金管理办法，</w:t>
      </w:r>
      <w:r>
        <w:rPr>
          <w:rFonts w:hint="eastAsia" w:eastAsia="仿宋_GB2312"/>
          <w:kern w:val="0"/>
          <w:sz w:val="32"/>
          <w:szCs w:val="32"/>
        </w:rPr>
        <w:t>资</w:t>
      </w:r>
      <w:r>
        <w:rPr>
          <w:rFonts w:eastAsia="仿宋_GB2312"/>
          <w:kern w:val="0"/>
          <w:sz w:val="32"/>
          <w:szCs w:val="32"/>
        </w:rPr>
        <w:t>金用于本项目的开展，主要用于</w:t>
      </w:r>
      <w:r>
        <w:rPr>
          <w:rFonts w:hint="eastAsia" w:eastAsia="仿宋_GB2312"/>
          <w:kern w:val="0"/>
          <w:sz w:val="32"/>
          <w:szCs w:val="32"/>
        </w:rPr>
        <w:t>城乡特困供养人员、城乡低保、城乡低收入、脱贫户、防止返贫监测对象按政策规定完成医疗救助。</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按照把资金用到实处</w:t>
      </w:r>
      <w:r>
        <w:rPr>
          <w:rFonts w:hint="eastAsia" w:eastAsia="仿宋_GB2312"/>
          <w:kern w:val="0"/>
          <w:sz w:val="32"/>
          <w:szCs w:val="32"/>
          <w:lang w:eastAsia="zh-CN"/>
        </w:rPr>
        <w:t>，</w:t>
      </w:r>
      <w:r>
        <w:rPr>
          <w:rFonts w:eastAsia="仿宋_GB2312"/>
          <w:kern w:val="0"/>
          <w:sz w:val="32"/>
          <w:szCs w:val="32"/>
        </w:rPr>
        <w:t>确保资金不浪费</w:t>
      </w:r>
      <w:r>
        <w:rPr>
          <w:rFonts w:hint="eastAsia" w:eastAsia="仿宋_GB2312"/>
          <w:kern w:val="0"/>
          <w:sz w:val="32"/>
          <w:szCs w:val="32"/>
        </w:rPr>
        <w:t>的原则</w:t>
      </w:r>
      <w:r>
        <w:rPr>
          <w:rFonts w:hint="eastAsia" w:eastAsia="仿宋_GB2312"/>
          <w:kern w:val="0"/>
          <w:sz w:val="32"/>
          <w:szCs w:val="32"/>
          <w:lang w:eastAsia="zh-CN"/>
        </w:rPr>
        <w:t>，</w:t>
      </w:r>
      <w:r>
        <w:rPr>
          <w:rFonts w:eastAsia="仿宋_GB2312"/>
          <w:kern w:val="0"/>
          <w:sz w:val="32"/>
          <w:szCs w:val="32"/>
        </w:rPr>
        <w:t>确保每一分钱发挥最大的用处。按照</w:t>
      </w:r>
      <w:r>
        <w:rPr>
          <w:rFonts w:hint="eastAsia" w:eastAsia="仿宋_GB2312"/>
          <w:kern w:val="0"/>
          <w:sz w:val="32"/>
          <w:szCs w:val="32"/>
        </w:rPr>
        <w:t>2</w:t>
      </w:r>
      <w:r>
        <w:rPr>
          <w:rFonts w:eastAsia="仿宋_GB2312"/>
          <w:kern w:val="0"/>
          <w:sz w:val="32"/>
          <w:szCs w:val="32"/>
        </w:rPr>
        <w:t>021年实际产生的门诊及住院费用进行补助。</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对城乡特困供养人员、城乡低保、城乡低收入、脱贫户、防止返贫监测对象，以及区政府认定的其他社会救助对象门诊救助、住院救助、资助参保。</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依照政策规定，按照</w:t>
      </w:r>
      <w:r>
        <w:rPr>
          <w:rFonts w:hint="eastAsia" w:eastAsia="仿宋_GB2312"/>
          <w:kern w:val="0"/>
          <w:sz w:val="32"/>
          <w:szCs w:val="32"/>
        </w:rPr>
        <w:t>2</w:t>
      </w:r>
      <w:r>
        <w:rPr>
          <w:rFonts w:eastAsia="仿宋_GB2312"/>
          <w:kern w:val="0"/>
          <w:sz w:val="32"/>
          <w:szCs w:val="32"/>
        </w:rPr>
        <w:t>021年特殊人群产生相关费用的时间点进行医疗费用补助、报销。保障资金执行到位。</w:t>
      </w:r>
    </w:p>
    <w:p>
      <w:pPr>
        <w:numPr>
          <w:ilvl w:val="0"/>
          <w:numId w:val="7"/>
        </w:num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分析评价申报内容是否与实际相符，申报目标是否合理可行。</w:t>
      </w:r>
    </w:p>
    <w:p>
      <w:pPr>
        <w:numPr>
          <w:ilvl w:val="0"/>
          <w:numId w:val="0"/>
        </w:num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评价申报内容与实际相符，申报目标合理可行。</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021年年初，按照项目立项依据及资金申报依据申报项目预算，区财政局同意立项并下达项目经费。</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该</w:t>
      </w:r>
      <w:r>
        <w:rPr>
          <w:rFonts w:hint="eastAsia" w:eastAsia="仿宋_GB2312"/>
          <w:kern w:val="0"/>
          <w:sz w:val="32"/>
          <w:szCs w:val="32"/>
        </w:rPr>
        <w:t>项目资金共计1</w:t>
      </w:r>
      <w:r>
        <w:rPr>
          <w:rFonts w:eastAsia="仿宋_GB2312"/>
          <w:kern w:val="0"/>
          <w:sz w:val="32"/>
          <w:szCs w:val="32"/>
        </w:rPr>
        <w:t>500000.00元，其中区级资金1500000.00元。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021年</w:t>
      </w:r>
      <w:r>
        <w:rPr>
          <w:rFonts w:hint="eastAsia" w:eastAsia="仿宋_GB2312"/>
          <w:kern w:val="0"/>
          <w:sz w:val="32"/>
          <w:szCs w:val="32"/>
        </w:rPr>
        <w:t>1月该项目资金到位5</w:t>
      </w:r>
      <w:r>
        <w:rPr>
          <w:rFonts w:eastAsia="仿宋_GB2312"/>
          <w:kern w:val="0"/>
          <w:sz w:val="32"/>
          <w:szCs w:val="32"/>
        </w:rPr>
        <w:t>00000.00元，</w:t>
      </w:r>
      <w:r>
        <w:rPr>
          <w:rFonts w:hint="eastAsia" w:eastAsia="仿宋_GB2312"/>
          <w:kern w:val="0"/>
          <w:sz w:val="32"/>
          <w:szCs w:val="32"/>
        </w:rPr>
        <w:t>2</w:t>
      </w:r>
      <w:r>
        <w:rPr>
          <w:rFonts w:eastAsia="仿宋_GB2312"/>
          <w:kern w:val="0"/>
          <w:sz w:val="32"/>
          <w:szCs w:val="32"/>
        </w:rPr>
        <w:t>021年</w:t>
      </w:r>
      <w:r>
        <w:rPr>
          <w:rFonts w:hint="eastAsia" w:eastAsia="仿宋_GB2312"/>
          <w:kern w:val="0"/>
          <w:sz w:val="32"/>
          <w:szCs w:val="32"/>
        </w:rPr>
        <w:t>3月到位1</w:t>
      </w:r>
      <w:r>
        <w:rPr>
          <w:rFonts w:eastAsia="仿宋_GB2312"/>
          <w:kern w:val="0"/>
          <w:sz w:val="32"/>
          <w:szCs w:val="32"/>
        </w:rPr>
        <w:t>000000.00元，其中区级资金</w:t>
      </w:r>
      <w:r>
        <w:rPr>
          <w:rFonts w:hint="eastAsia" w:eastAsia="仿宋_GB2312"/>
          <w:kern w:val="0"/>
          <w:sz w:val="32"/>
          <w:szCs w:val="32"/>
        </w:rPr>
        <w:t>1</w:t>
      </w:r>
      <w:r>
        <w:rPr>
          <w:rFonts w:eastAsia="仿宋_GB2312"/>
          <w:kern w:val="0"/>
          <w:sz w:val="32"/>
          <w:szCs w:val="32"/>
        </w:rPr>
        <w:t>500000.00元。资金到位金额与资金计划一致，资金到位率</w:t>
      </w:r>
      <w:r>
        <w:rPr>
          <w:rFonts w:hint="eastAsia" w:eastAsia="仿宋_GB2312"/>
          <w:kern w:val="0"/>
          <w:sz w:val="32"/>
          <w:szCs w:val="32"/>
        </w:rPr>
        <w:t>1</w:t>
      </w:r>
      <w:r>
        <w:rPr>
          <w:rFonts w:eastAsia="仿宋_GB2312"/>
          <w:kern w:val="0"/>
          <w:sz w:val="32"/>
          <w:szCs w:val="32"/>
        </w:rPr>
        <w:t>00%，资金到位及时。</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lang w:eastAsia="zh-CN"/>
        </w:rPr>
        <w:t>截至2021年</w:t>
      </w:r>
      <w:r>
        <w:rPr>
          <w:rFonts w:hint="eastAsia" w:eastAsia="仿宋_GB2312"/>
          <w:kern w:val="0"/>
          <w:sz w:val="32"/>
          <w:szCs w:val="32"/>
        </w:rPr>
        <w:t>1</w:t>
      </w:r>
      <w:r>
        <w:rPr>
          <w:rFonts w:eastAsia="仿宋_GB2312"/>
          <w:kern w:val="0"/>
          <w:sz w:val="32"/>
          <w:szCs w:val="32"/>
        </w:rPr>
        <w:t>2月</w:t>
      </w:r>
      <w:r>
        <w:rPr>
          <w:rFonts w:hint="eastAsia" w:eastAsia="仿宋_GB2312"/>
          <w:kern w:val="0"/>
          <w:sz w:val="32"/>
          <w:szCs w:val="32"/>
        </w:rPr>
        <w:t>3</w:t>
      </w:r>
      <w:r>
        <w:rPr>
          <w:rFonts w:eastAsia="仿宋_GB2312"/>
          <w:kern w:val="0"/>
          <w:sz w:val="32"/>
          <w:szCs w:val="32"/>
        </w:rPr>
        <w:t>1日，该</w:t>
      </w:r>
      <w:r>
        <w:rPr>
          <w:rFonts w:hint="eastAsia" w:eastAsia="仿宋_GB2312"/>
          <w:kern w:val="0"/>
          <w:sz w:val="32"/>
          <w:szCs w:val="32"/>
        </w:rPr>
        <w:t>项目资金共计使用4</w:t>
      </w:r>
      <w:r>
        <w:rPr>
          <w:rFonts w:eastAsia="仿宋_GB2312"/>
          <w:kern w:val="0"/>
          <w:sz w:val="32"/>
          <w:szCs w:val="32"/>
        </w:rPr>
        <w:t>84443.84元，完成预算数</w:t>
      </w:r>
      <w:r>
        <w:rPr>
          <w:rFonts w:hint="eastAsia" w:eastAsia="仿宋_GB2312"/>
          <w:kern w:val="0"/>
          <w:sz w:val="32"/>
          <w:szCs w:val="32"/>
        </w:rPr>
        <w:t>3</w:t>
      </w:r>
      <w:r>
        <w:rPr>
          <w:rFonts w:eastAsia="仿宋_GB2312"/>
          <w:kern w:val="0"/>
          <w:sz w:val="32"/>
          <w:szCs w:val="32"/>
        </w:rPr>
        <w:t>2.39%。资金使用安全规范，资金支付范围、支付标准、支付进度、支付依据等合规合法、预算相符</w:t>
      </w:r>
      <w:r>
        <w:rPr>
          <w:rFonts w:hint="eastAsia"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w:t>
      </w:r>
      <w:r>
        <w:rPr>
          <w:rFonts w:eastAsia="仿宋_GB2312"/>
          <w:kern w:val="0"/>
          <w:sz w:val="32"/>
          <w:szCs w:val="32"/>
        </w:rPr>
        <w:t>枝花市仁和区医疗保障局财务管理制度健全，严格执行财务管理制度，账务处理及时，会计核算规范。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项目由仁和区医疗保障局负责，由仁和区医疗保障事务中心负责实施。按照特殊人群产生的实际医疗费用进行补助、报销。</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w:t>
      </w:r>
      <w:r>
        <w:rPr>
          <w:rFonts w:eastAsia="仿宋_GB2312"/>
          <w:kern w:val="0"/>
          <w:sz w:val="32"/>
          <w:szCs w:val="32"/>
        </w:rPr>
        <w:t>枝花市仁和区医疗保障局严格执行相关法律法规及项目管理制度，保障资金落实到位，对</w:t>
      </w:r>
      <w:r>
        <w:rPr>
          <w:rFonts w:hint="eastAsia" w:eastAsia="仿宋_GB2312"/>
          <w:kern w:val="0"/>
          <w:sz w:val="32"/>
          <w:szCs w:val="32"/>
        </w:rPr>
        <w:t>城乡特困供养人员、城乡低保、城乡低收入、脱贫户、防止返贫监测对象等人员及产生的费用严格审核，</w:t>
      </w:r>
      <w:r>
        <w:rPr>
          <w:rFonts w:eastAsia="仿宋_GB2312"/>
          <w:kern w:val="0"/>
          <w:sz w:val="32"/>
          <w:szCs w:val="32"/>
        </w:rPr>
        <w:t>专款专用，保障项目的顺利开展。</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制定</w:t>
      </w:r>
      <w:r>
        <w:rPr>
          <w:rFonts w:eastAsia="仿宋_GB2312"/>
          <w:kern w:val="0"/>
          <w:sz w:val="32"/>
          <w:szCs w:val="32"/>
        </w:rPr>
        <w:t>项目计划，严格按照计划开展工作，严格管理项目资金，确保项目资金使用合理、合规、合法，保障资金安全性，不定期对项目资金开展情况、进度进行检查、跟进。</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lang w:eastAsia="zh-CN"/>
        </w:rPr>
        <w:t>截至2021年</w:t>
      </w:r>
      <w:r>
        <w:rPr>
          <w:rFonts w:hint="eastAsia" w:eastAsia="仿宋_GB2312"/>
          <w:kern w:val="0"/>
          <w:sz w:val="32"/>
          <w:szCs w:val="32"/>
        </w:rPr>
        <w:t>1</w:t>
      </w:r>
      <w:r>
        <w:rPr>
          <w:rFonts w:eastAsia="仿宋_GB2312"/>
          <w:kern w:val="0"/>
          <w:sz w:val="32"/>
          <w:szCs w:val="32"/>
        </w:rPr>
        <w:t>2月</w:t>
      </w:r>
      <w:r>
        <w:rPr>
          <w:rFonts w:hint="eastAsia" w:eastAsia="仿宋_GB2312"/>
          <w:kern w:val="0"/>
          <w:sz w:val="32"/>
          <w:szCs w:val="32"/>
        </w:rPr>
        <w:t>3</w:t>
      </w:r>
      <w:r>
        <w:rPr>
          <w:rFonts w:eastAsia="仿宋_GB2312"/>
          <w:kern w:val="0"/>
          <w:sz w:val="32"/>
          <w:szCs w:val="32"/>
        </w:rPr>
        <w:t>1日，该</w:t>
      </w:r>
      <w:r>
        <w:rPr>
          <w:rFonts w:hint="eastAsia" w:eastAsia="仿宋_GB2312"/>
          <w:kern w:val="0"/>
          <w:sz w:val="32"/>
          <w:szCs w:val="32"/>
        </w:rPr>
        <w:t>项目按照2</w:t>
      </w:r>
      <w:r>
        <w:rPr>
          <w:rFonts w:eastAsia="仿宋_GB2312"/>
          <w:kern w:val="0"/>
          <w:sz w:val="32"/>
          <w:szCs w:val="32"/>
        </w:rPr>
        <w:t>021年度特殊人群总人数及产生的实际费用，</w:t>
      </w:r>
      <w:r>
        <w:rPr>
          <w:rFonts w:hint="eastAsia" w:eastAsia="仿宋_GB2312"/>
          <w:kern w:val="0"/>
          <w:sz w:val="32"/>
          <w:szCs w:val="32"/>
        </w:rPr>
        <w:t>对城乡特困供养人员、城乡低保、城乡低收入、脱贫户、防止返贫监测对象，以及区政府认定的其他社会救助对象进行了门诊救助、住院救助、资助参保，年初该项目预算金额1</w:t>
      </w:r>
      <w:r>
        <w:rPr>
          <w:rFonts w:eastAsia="仿宋_GB2312"/>
          <w:kern w:val="0"/>
          <w:sz w:val="32"/>
          <w:szCs w:val="32"/>
        </w:rPr>
        <w:t>500000.</w:t>
      </w:r>
      <w:r>
        <w:rPr>
          <w:rFonts w:hint="eastAsia" w:eastAsia="仿宋_GB2312"/>
          <w:kern w:val="0"/>
          <w:sz w:val="32"/>
          <w:szCs w:val="32"/>
          <w:lang w:val="en-US" w:eastAsia="zh-CN"/>
        </w:rPr>
        <w:t>00</w:t>
      </w:r>
      <w:r>
        <w:rPr>
          <w:rFonts w:eastAsia="仿宋_GB2312"/>
          <w:kern w:val="0"/>
          <w:sz w:val="32"/>
          <w:szCs w:val="32"/>
        </w:rPr>
        <w:t>元，实际支付</w:t>
      </w:r>
      <w:r>
        <w:rPr>
          <w:rFonts w:hint="eastAsia" w:eastAsia="仿宋_GB2312"/>
          <w:kern w:val="0"/>
          <w:sz w:val="32"/>
          <w:szCs w:val="32"/>
        </w:rPr>
        <w:t>4</w:t>
      </w:r>
      <w:r>
        <w:rPr>
          <w:rFonts w:eastAsia="仿宋_GB2312"/>
          <w:kern w:val="0"/>
          <w:sz w:val="32"/>
          <w:szCs w:val="32"/>
        </w:rPr>
        <w:t>84443.84元，完成预算数</w:t>
      </w:r>
      <w:r>
        <w:rPr>
          <w:rFonts w:hint="eastAsia" w:eastAsia="仿宋_GB2312"/>
          <w:kern w:val="0"/>
          <w:sz w:val="32"/>
          <w:szCs w:val="32"/>
        </w:rPr>
        <w:t>3</w:t>
      </w:r>
      <w:r>
        <w:rPr>
          <w:rFonts w:eastAsia="仿宋_GB2312"/>
          <w:kern w:val="0"/>
          <w:sz w:val="32"/>
          <w:szCs w:val="32"/>
        </w:rPr>
        <w:t>2.39%，未完成成本指标的原因为</w:t>
      </w:r>
      <w:r>
        <w:rPr>
          <w:rFonts w:hint="eastAsia" w:eastAsia="仿宋_GB2312"/>
          <w:kern w:val="0"/>
          <w:sz w:val="32"/>
          <w:szCs w:val="32"/>
        </w:rPr>
        <w:t>2</w:t>
      </w:r>
      <w:r>
        <w:rPr>
          <w:rFonts w:eastAsia="仿宋_GB2312"/>
          <w:kern w:val="0"/>
          <w:sz w:val="32"/>
          <w:szCs w:val="32"/>
        </w:rPr>
        <w:t>021年城乡医疗救</w:t>
      </w:r>
      <w:r>
        <w:rPr>
          <w:rFonts w:hint="eastAsia" w:eastAsia="仿宋_GB2312"/>
          <w:kern w:val="0"/>
          <w:sz w:val="32"/>
          <w:szCs w:val="32"/>
        </w:rPr>
        <w:t>助中央、省级资金充裕，优先使用中央、省级资金。该项目于2</w:t>
      </w:r>
      <w:r>
        <w:rPr>
          <w:rFonts w:eastAsia="仿宋_GB2312"/>
          <w:kern w:val="0"/>
          <w:sz w:val="32"/>
          <w:szCs w:val="32"/>
        </w:rPr>
        <w:t>021年</w:t>
      </w:r>
      <w:r>
        <w:rPr>
          <w:rFonts w:hint="eastAsia" w:eastAsia="仿宋_GB2312"/>
          <w:kern w:val="0"/>
          <w:sz w:val="32"/>
          <w:szCs w:val="32"/>
        </w:rPr>
        <w:t>1</w:t>
      </w:r>
      <w:r>
        <w:rPr>
          <w:rFonts w:eastAsia="仿宋_GB2312"/>
          <w:kern w:val="0"/>
          <w:sz w:val="32"/>
          <w:szCs w:val="32"/>
        </w:rPr>
        <w:t>2月开展完毕。</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社会效益：</w:t>
      </w:r>
      <w:r>
        <w:rPr>
          <w:rFonts w:hint="eastAsia" w:eastAsia="仿宋_GB2312"/>
          <w:kern w:val="0"/>
          <w:sz w:val="32"/>
          <w:szCs w:val="32"/>
        </w:rPr>
        <w:t>医疗救助对象覆盖范围达到1</w:t>
      </w:r>
      <w:r>
        <w:rPr>
          <w:rFonts w:eastAsia="仿宋_GB2312"/>
          <w:kern w:val="0"/>
          <w:sz w:val="32"/>
          <w:szCs w:val="32"/>
        </w:rPr>
        <w:t>00%，</w:t>
      </w:r>
      <w:r>
        <w:rPr>
          <w:rFonts w:hint="eastAsia" w:eastAsia="仿宋_GB2312"/>
          <w:kern w:val="0"/>
          <w:sz w:val="32"/>
          <w:szCs w:val="32"/>
        </w:rPr>
        <w:t>困难群众看病就医方便程度持续提高，健全完善社会救助体系。满意度指标：救助对象满意度≥90%。</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通</w:t>
      </w:r>
      <w:r>
        <w:rPr>
          <w:rFonts w:eastAsia="仿宋_GB2312"/>
          <w:kern w:val="0"/>
          <w:sz w:val="32"/>
          <w:szCs w:val="32"/>
        </w:rPr>
        <w:t>过该</w:t>
      </w:r>
      <w:r>
        <w:rPr>
          <w:rFonts w:hint="eastAsia" w:eastAsia="仿宋_GB2312"/>
          <w:kern w:val="0"/>
          <w:sz w:val="32"/>
          <w:szCs w:val="32"/>
        </w:rPr>
        <w:t>项目的开展</w:t>
      </w:r>
      <w:r>
        <w:rPr>
          <w:rFonts w:eastAsia="仿宋_GB2312"/>
          <w:kern w:val="0"/>
          <w:sz w:val="32"/>
          <w:szCs w:val="32"/>
        </w:rPr>
        <w:t>保障了困难群众基本医疗需求，进一步完善医疗救助制度，筑牢医疗保障底线；坚持突出重点，分类施救，公开便捷，发挥医疗救助的救急救难作用，能够为困难群众提供方便。</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无</w:t>
      </w:r>
    </w:p>
    <w:p>
      <w:pPr>
        <w:pStyle w:val="5"/>
        <w:spacing w:line="600" w:lineRule="exact"/>
        <w:ind w:firstLine="640" w:firstLineChars="200"/>
        <w:jc w:val="left"/>
        <w:rPr>
          <w:rFonts w:ascii="黑体" w:hAnsi="黑体" w:eastAsia="黑体" w:cs="仿宋_GB2312"/>
          <w:sz w:val="32"/>
          <w:szCs w:val="32"/>
        </w:rPr>
      </w:pPr>
    </w:p>
    <w:tbl>
      <w:tblPr>
        <w:tblStyle w:val="12"/>
        <w:tblW w:w="9824" w:type="dxa"/>
        <w:jc w:val="center"/>
        <w:tblLayout w:type="fixed"/>
        <w:tblCellMar>
          <w:top w:w="0" w:type="dxa"/>
          <w:left w:w="108" w:type="dxa"/>
          <w:bottom w:w="0" w:type="dxa"/>
          <w:right w:w="108" w:type="dxa"/>
        </w:tblCellMar>
      </w:tblPr>
      <w:tblGrid>
        <w:gridCol w:w="1976"/>
        <w:gridCol w:w="1142"/>
        <w:gridCol w:w="1635"/>
        <w:gridCol w:w="1189"/>
        <w:gridCol w:w="1224"/>
        <w:gridCol w:w="2409"/>
        <w:gridCol w:w="10"/>
        <w:gridCol w:w="229"/>
        <w:gridCol w:w="10"/>
      </w:tblGrid>
      <w:tr>
        <w:tblPrEx>
          <w:tblCellMar>
            <w:top w:w="0" w:type="dxa"/>
            <w:left w:w="108" w:type="dxa"/>
            <w:bottom w:w="0" w:type="dxa"/>
            <w:right w:w="108" w:type="dxa"/>
          </w:tblCellMar>
        </w:tblPrEx>
        <w:trPr>
          <w:gridAfter w:val="1"/>
          <w:wAfter w:w="10" w:type="dxa"/>
          <w:trHeight w:val="675" w:hRule="atLeast"/>
          <w:jc w:val="center"/>
        </w:trPr>
        <w:tc>
          <w:tcPr>
            <w:tcW w:w="9575" w:type="dxa"/>
            <w:gridSpan w:val="6"/>
            <w:shd w:val="clear" w:color="auto" w:fill="auto"/>
            <w:vAlign w:val="center"/>
          </w:tcPr>
          <w:p>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城乡医疗救助资金项目绩效目标自评</w:t>
            </w:r>
          </w:p>
        </w:tc>
        <w:tc>
          <w:tcPr>
            <w:tcW w:w="239" w:type="dxa"/>
            <w:gridSpan w:val="2"/>
            <w:shd w:val="clear" w:color="auto" w:fill="auto"/>
            <w:vAlign w:val="center"/>
          </w:tcPr>
          <w:p>
            <w:pPr>
              <w:widowControl/>
              <w:snapToGrid w:val="0"/>
              <w:jc w:val="center"/>
              <w:textAlignment w:val="center"/>
              <w:rPr>
                <w:rFonts w:ascii="宋体" w:hAnsi="宋体" w:cs="宋体"/>
                <w:b/>
                <w:kern w:val="0"/>
                <w:sz w:val="32"/>
                <w:szCs w:val="32"/>
              </w:rPr>
            </w:pPr>
          </w:p>
        </w:tc>
      </w:tr>
      <w:tr>
        <w:tblPrEx>
          <w:tblCellMar>
            <w:top w:w="0" w:type="dxa"/>
            <w:left w:w="0" w:type="dxa"/>
            <w:bottom w:w="0" w:type="dxa"/>
            <w:right w:w="0"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攀枝花市仁和区医疗保障局</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项目预算</w:t>
            </w:r>
            <w:r>
              <w:rPr>
                <w:rFonts w:ascii="宋体" w:hAnsi="宋体" w:cs="宋体"/>
                <w:kern w:val="0"/>
                <w:sz w:val="24"/>
              </w:rPr>
              <w:br w:type="textWrapping"/>
            </w:r>
            <w:r>
              <w:rPr>
                <w:rFonts w:hint="eastAsia" w:ascii="宋体" w:hAnsi="宋体" w:cs="宋体"/>
                <w:kern w:val="0"/>
                <w:sz w:val="24"/>
              </w:rPr>
              <w:t>执行情况</w:t>
            </w:r>
            <w:r>
              <w:rPr>
                <w:rFonts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150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执行数：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48.44</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150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48.44</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年度总体目标</w:t>
            </w:r>
          </w:p>
          <w:p>
            <w:pPr>
              <w:widowControl/>
              <w:spacing w:line="320" w:lineRule="exact"/>
              <w:jc w:val="center"/>
              <w:textAlignment w:val="cente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预期目标</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目标实际完成情况</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1136"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通过医疗救助政策进一步减轻民政救助对象医疗负担，争取完成市区下达的民生工程目标任务。</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对城乡特困供养人员、城乡低保、城乡低收入、脱贫户、防止返贫监测对象按政策规定完成医疗救助。</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一级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二级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三级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预期指标值</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实际完成指标值</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kern w:val="0"/>
                <w:sz w:val="28"/>
                <w:szCs w:val="28"/>
              </w:rPr>
              <w:t>完成</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城乡医疗救助人数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按2021年度实有人数救助</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执行情况</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报销范围内自费住院总费用</w:t>
            </w:r>
            <w:r>
              <w:rPr>
                <w:rFonts w:hint="eastAsia" w:ascii="宋体" w:hAnsi="宋体" w:cs="宋体"/>
                <w:sz w:val="24"/>
                <w:lang w:val="en-US" w:eastAsia="zh-CN"/>
              </w:rPr>
              <w:t>救</w:t>
            </w:r>
            <w:r>
              <w:rPr>
                <w:rFonts w:hint="eastAsia" w:ascii="宋体" w:hAnsi="宋体" w:cs="宋体"/>
                <w:sz w:val="24"/>
              </w:rPr>
              <w:t>助比例达到下达的民生工程目标任务。对城乡特困供养人员、城乡低保、城乡低收入、脱贫户、防止返贫监测对象，以及区政府认定的其他社会救助对象门诊救助、住院救助、资助参保</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按工作计划</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城乡医疗救助资金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150万元</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48.44万元</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医疗救助对象覆盖范围，困难群众看病就医方便程度，对健全社会救助体系的影响</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持续提高，有效保障</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77"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ind w:left="463" w:hanging="280"/>
              <w:jc w:val="left"/>
              <w:textAlignment w:val="bottom"/>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3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满意度</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救助对象满意度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满意度≥90%</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满意度≥90%</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848" w:type="dxa"/>
          <w:trHeight w:val="100" w:hRule="atLeast"/>
          <w:jc w:val="center"/>
        </w:trPr>
        <w:tc>
          <w:tcPr>
            <w:tcW w:w="1976" w:type="dxa"/>
            <w:tcBorders>
              <w:top w:val="single" w:color="auto" w:sz="4" w:space="0"/>
            </w:tcBorders>
          </w:tcPr>
          <w:p>
            <w:pPr>
              <w:widowControl/>
              <w:jc w:val="left"/>
            </w:pPr>
          </w:p>
        </w:tc>
      </w:tr>
    </w:tbl>
    <w:p>
      <w:pPr>
        <w:widowControl/>
        <w:jc w:val="left"/>
      </w:pPr>
    </w:p>
    <w:p>
      <w:pPr>
        <w:spacing w:line="600" w:lineRule="exact"/>
        <w:jc w:val="cente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枝花市仁和区医疗</w:t>
      </w:r>
      <w:r>
        <w:rPr>
          <w:rFonts w:ascii="方正小标宋_GBK" w:hAnsi="黑体" w:eastAsia="方正小标宋_GBK" w:cs="黑体"/>
          <w:sz w:val="36"/>
          <w:szCs w:val="36"/>
        </w:rPr>
        <w:t>保障局</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5"/>
        <w:spacing w:line="600" w:lineRule="exact"/>
        <w:jc w:val="center"/>
        <w:rPr>
          <w:rFonts w:ascii="方正小标宋_GBK" w:hAnsi="黑体" w:eastAsia="方正小标宋_GBK" w:cs="黑体"/>
          <w:sz w:val="36"/>
          <w:szCs w:val="36"/>
        </w:rPr>
      </w:pPr>
      <w:r>
        <w:rPr>
          <w:rFonts w:ascii="Times New Roman" w:hAnsi="Times New Roman" w:eastAsia="黑体"/>
          <w:kern w:val="0"/>
          <w:sz w:val="32"/>
          <w:szCs w:val="32"/>
        </w:rPr>
        <w:t>（</w:t>
      </w:r>
      <w:r>
        <w:rPr>
          <w:rFonts w:hint="eastAsia" w:ascii="方正小标宋_GBK" w:hAnsi="黑体" w:eastAsia="方正小标宋_GBK" w:cs="黑体"/>
          <w:sz w:val="36"/>
          <w:szCs w:val="36"/>
        </w:rPr>
        <w:t>用友A++财务软件运行维护服务费项目）</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攀枝花市仁和区医疗保障局</w:t>
      </w:r>
      <w:r>
        <w:rPr>
          <w:rFonts w:hint="eastAsia" w:eastAsia="仿宋_GB2312"/>
          <w:kern w:val="0"/>
          <w:sz w:val="32"/>
          <w:szCs w:val="32"/>
        </w:rPr>
        <w:t>对</w:t>
      </w:r>
      <w:r>
        <w:rPr>
          <w:rFonts w:eastAsia="仿宋_GB2312"/>
          <w:kern w:val="0"/>
          <w:sz w:val="32"/>
          <w:szCs w:val="32"/>
        </w:rPr>
        <w:t>开展的项目进行前期调查、收集并整理好有关资料，制定项目目标及项目计划，把握好项目执行中的问题、风险和变化，保障项目的顺利执行</w:t>
      </w:r>
      <w:r>
        <w:rPr>
          <w:rFonts w:hint="eastAsia" w:eastAsia="仿宋_GB2312"/>
          <w:kern w:val="0"/>
          <w:sz w:val="32"/>
          <w:szCs w:val="32"/>
          <w:lang w:eastAsia="zh-CN"/>
        </w:rPr>
        <w:t>。</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与成都康美特科技有限公司</w:t>
      </w:r>
      <w:r>
        <w:rPr>
          <w:rFonts w:hint="eastAsia" w:eastAsia="仿宋_GB2312"/>
          <w:kern w:val="0"/>
          <w:sz w:val="32"/>
          <w:szCs w:val="32"/>
          <w:lang w:eastAsia="zh-CN"/>
        </w:rPr>
        <w:t>签订</w:t>
      </w:r>
      <w:r>
        <w:rPr>
          <w:rFonts w:eastAsia="仿宋_GB2312"/>
          <w:kern w:val="0"/>
          <w:sz w:val="32"/>
          <w:szCs w:val="32"/>
        </w:rPr>
        <w:t>《用友</w:t>
      </w:r>
      <w:r>
        <w:rPr>
          <w:rFonts w:hint="eastAsia" w:eastAsia="仿宋_GB2312"/>
          <w:kern w:val="0"/>
          <w:sz w:val="32"/>
          <w:szCs w:val="32"/>
        </w:rPr>
        <w:t>A+</w:t>
      </w:r>
      <w:r>
        <w:rPr>
          <w:rFonts w:eastAsia="仿宋_GB2312"/>
          <w:kern w:val="0"/>
          <w:sz w:val="32"/>
          <w:szCs w:val="32"/>
        </w:rPr>
        <w:t>+软件》运行维护合同</w:t>
      </w:r>
      <w:r>
        <w:rPr>
          <w:rFonts w:hint="eastAsia" w:eastAsia="仿宋_GB2312"/>
          <w:kern w:val="0"/>
          <w:sz w:val="32"/>
          <w:szCs w:val="32"/>
          <w:lang w:eastAsia="zh-CN"/>
        </w:rPr>
        <w:t>作为</w:t>
      </w:r>
      <w:r>
        <w:rPr>
          <w:rFonts w:eastAsia="仿宋_GB2312"/>
          <w:kern w:val="0"/>
          <w:sz w:val="32"/>
          <w:szCs w:val="32"/>
        </w:rPr>
        <w:t>立项、资金申报依据，由攀枝花市仁和区财政局统一下拨项目资金。</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严格制定资金管理办法，该</w:t>
      </w:r>
      <w:r>
        <w:rPr>
          <w:rFonts w:hint="eastAsia" w:eastAsia="仿宋_GB2312"/>
          <w:kern w:val="0"/>
          <w:sz w:val="32"/>
          <w:szCs w:val="32"/>
        </w:rPr>
        <w:t>项目</w:t>
      </w:r>
      <w:r>
        <w:rPr>
          <w:rFonts w:eastAsia="仿宋_GB2312"/>
          <w:kern w:val="0"/>
          <w:sz w:val="32"/>
          <w:szCs w:val="32"/>
        </w:rPr>
        <w:t>资金用于支付软件运行维护费用。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按照把资金用到实处</w:t>
      </w:r>
      <w:r>
        <w:rPr>
          <w:rFonts w:hint="eastAsia" w:eastAsia="仿宋_GB2312"/>
          <w:kern w:val="0"/>
          <w:sz w:val="32"/>
          <w:szCs w:val="32"/>
          <w:lang w:eastAsia="zh-CN"/>
        </w:rPr>
        <w:t>，</w:t>
      </w:r>
      <w:r>
        <w:rPr>
          <w:rFonts w:eastAsia="仿宋_GB2312"/>
          <w:kern w:val="0"/>
          <w:sz w:val="32"/>
          <w:szCs w:val="32"/>
        </w:rPr>
        <w:t>确保资金不浪费</w:t>
      </w:r>
      <w:r>
        <w:rPr>
          <w:rFonts w:hint="eastAsia" w:eastAsia="仿宋_GB2312"/>
          <w:kern w:val="0"/>
          <w:sz w:val="32"/>
          <w:szCs w:val="32"/>
        </w:rPr>
        <w:t>的原则</w:t>
      </w:r>
      <w:r>
        <w:rPr>
          <w:rFonts w:hint="eastAsia" w:eastAsia="仿宋_GB2312"/>
          <w:kern w:val="0"/>
          <w:sz w:val="32"/>
          <w:szCs w:val="32"/>
          <w:lang w:eastAsia="zh-CN"/>
        </w:rPr>
        <w:t>，</w:t>
      </w:r>
      <w:r>
        <w:rPr>
          <w:rFonts w:eastAsia="仿宋_GB2312"/>
          <w:kern w:val="0"/>
          <w:sz w:val="32"/>
          <w:szCs w:val="32"/>
        </w:rPr>
        <w:t>确保每一分钱发挥最大的用处。</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完成2021年用友A++财务软件的运行维护工作，保障软件正常使用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该项目</w:t>
      </w:r>
      <w:r>
        <w:rPr>
          <w:rFonts w:hint="eastAsia" w:eastAsia="仿宋_GB2312"/>
          <w:kern w:val="0"/>
          <w:sz w:val="32"/>
          <w:szCs w:val="32"/>
        </w:rPr>
        <w:t>按计划完成，保障了软件的正常运行，提高了财务人员的工作效率。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评价申报内容与实际相符，申报目标合理可行。</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该项目为2</w:t>
      </w:r>
      <w:r>
        <w:rPr>
          <w:rFonts w:eastAsia="仿宋_GB2312"/>
          <w:kern w:val="0"/>
          <w:sz w:val="32"/>
          <w:szCs w:val="32"/>
        </w:rPr>
        <w:t>021年</w:t>
      </w:r>
      <w:r>
        <w:rPr>
          <w:rFonts w:hint="eastAsia" w:eastAsia="仿宋_GB2312"/>
          <w:kern w:val="0"/>
          <w:sz w:val="32"/>
          <w:szCs w:val="32"/>
        </w:rPr>
        <w:t>追加项目，仁和区财政局于2</w:t>
      </w:r>
      <w:r>
        <w:rPr>
          <w:rFonts w:eastAsia="仿宋_GB2312"/>
          <w:kern w:val="0"/>
          <w:sz w:val="32"/>
          <w:szCs w:val="32"/>
        </w:rPr>
        <w:t>021年</w:t>
      </w:r>
      <w:r>
        <w:rPr>
          <w:rFonts w:hint="eastAsia" w:eastAsia="仿宋_GB2312"/>
          <w:kern w:val="0"/>
          <w:sz w:val="32"/>
          <w:szCs w:val="32"/>
        </w:rPr>
        <w:t>5月拨付资金。</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该项目总计划8</w:t>
      </w:r>
      <w:r>
        <w:rPr>
          <w:rFonts w:eastAsia="仿宋_GB2312"/>
          <w:kern w:val="0"/>
          <w:sz w:val="32"/>
          <w:szCs w:val="32"/>
        </w:rPr>
        <w:t>00元，其中区级资金</w:t>
      </w:r>
      <w:r>
        <w:rPr>
          <w:rFonts w:hint="eastAsia" w:eastAsia="仿宋_GB2312"/>
          <w:kern w:val="0"/>
          <w:sz w:val="32"/>
          <w:szCs w:val="32"/>
        </w:rPr>
        <w:t>8</w:t>
      </w:r>
      <w:r>
        <w:rPr>
          <w:rFonts w:eastAsia="仿宋_GB2312"/>
          <w:kern w:val="0"/>
          <w:sz w:val="32"/>
          <w:szCs w:val="32"/>
        </w:rPr>
        <w:t>00元。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w:t>
      </w:r>
      <w:r>
        <w:rPr>
          <w:rFonts w:eastAsia="仿宋_GB2312"/>
          <w:kern w:val="0"/>
          <w:sz w:val="32"/>
          <w:szCs w:val="32"/>
        </w:rPr>
        <w:t>项目计划，</w:t>
      </w:r>
      <w:r>
        <w:rPr>
          <w:rFonts w:hint="eastAsia" w:eastAsia="仿宋_GB2312"/>
          <w:kern w:val="0"/>
          <w:sz w:val="32"/>
          <w:szCs w:val="32"/>
        </w:rPr>
        <w:t>2</w:t>
      </w:r>
      <w:r>
        <w:rPr>
          <w:rFonts w:eastAsia="仿宋_GB2312"/>
          <w:kern w:val="0"/>
          <w:sz w:val="32"/>
          <w:szCs w:val="32"/>
        </w:rPr>
        <w:t>021年实际到位资金</w:t>
      </w:r>
      <w:r>
        <w:rPr>
          <w:rFonts w:hint="eastAsia" w:eastAsia="仿宋_GB2312"/>
          <w:kern w:val="0"/>
          <w:sz w:val="32"/>
          <w:szCs w:val="32"/>
        </w:rPr>
        <w:t>8</w:t>
      </w:r>
      <w:r>
        <w:rPr>
          <w:rFonts w:eastAsia="仿宋_GB2312"/>
          <w:kern w:val="0"/>
          <w:sz w:val="32"/>
          <w:szCs w:val="32"/>
        </w:rPr>
        <w:t>00元，其中区级资金</w:t>
      </w:r>
      <w:r>
        <w:rPr>
          <w:rFonts w:hint="eastAsia" w:eastAsia="仿宋_GB2312"/>
          <w:kern w:val="0"/>
          <w:sz w:val="32"/>
          <w:szCs w:val="32"/>
        </w:rPr>
        <w:t>8</w:t>
      </w:r>
      <w:r>
        <w:rPr>
          <w:rFonts w:eastAsia="仿宋_GB2312"/>
          <w:kern w:val="0"/>
          <w:sz w:val="32"/>
          <w:szCs w:val="32"/>
        </w:rPr>
        <w:t>00元。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资金按合同约定标准进行支付，支付进度、支付依据等合规合法，与预算相符。</w:t>
      </w:r>
      <w:r>
        <w:rPr>
          <w:rFonts w:hint="eastAsia" w:eastAsia="仿宋_GB2312"/>
          <w:kern w:val="0"/>
          <w:sz w:val="32"/>
          <w:szCs w:val="32"/>
        </w:rPr>
        <w:t xml:space="preserve"> </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w:t>
      </w:r>
      <w:r>
        <w:rPr>
          <w:rFonts w:eastAsia="仿宋_GB2312"/>
          <w:kern w:val="0"/>
          <w:sz w:val="32"/>
          <w:szCs w:val="32"/>
        </w:rPr>
        <w:t>枝花市仁和区医疗保障局财务管理制度健全，严格执行财务管理制度，账务处理及时，会计核算规范。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该</w:t>
      </w:r>
      <w:r>
        <w:rPr>
          <w:rFonts w:hint="eastAsia" w:eastAsia="仿宋_GB2312"/>
          <w:kern w:val="0"/>
          <w:sz w:val="32"/>
          <w:szCs w:val="32"/>
        </w:rPr>
        <w:t>项目总负责人为分管副局长，财务人员负责实施。按照合同约定内容要求</w:t>
      </w:r>
      <w:r>
        <w:rPr>
          <w:rFonts w:eastAsia="仿宋_GB2312"/>
          <w:kern w:val="0"/>
          <w:sz w:val="32"/>
          <w:szCs w:val="32"/>
        </w:rPr>
        <w:t>成都康美特科技有限公司对财务软件进行维护，保障软件的正常使用，并于年底支付维护费用。</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w:t>
      </w:r>
      <w:r>
        <w:rPr>
          <w:rFonts w:eastAsia="仿宋_GB2312"/>
          <w:kern w:val="0"/>
          <w:sz w:val="32"/>
          <w:szCs w:val="32"/>
        </w:rPr>
        <w:t>枝花市仁和区医疗保障局严格执行相关法律法规及项目管理制度，保障资金落实到位，专款专用，保障项目的顺利开展。</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制定</w:t>
      </w:r>
      <w:r>
        <w:rPr>
          <w:rFonts w:eastAsia="仿宋_GB2312"/>
          <w:kern w:val="0"/>
          <w:sz w:val="32"/>
          <w:szCs w:val="32"/>
        </w:rPr>
        <w:t>项目计划，严格按照计划开展工作，严格管理项目资金，确保项目资金使用合理、合规、合法，保障资金安全性，不定期对项目资金开展情况、进度进行检查、跟进。</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对我局用友</w:t>
      </w:r>
      <w:r>
        <w:rPr>
          <w:rFonts w:hint="eastAsia" w:eastAsia="仿宋_GB2312"/>
          <w:kern w:val="0"/>
          <w:sz w:val="32"/>
          <w:szCs w:val="32"/>
        </w:rPr>
        <w:t>A</w:t>
      </w:r>
      <w:r>
        <w:rPr>
          <w:rFonts w:eastAsia="仿宋_GB2312"/>
          <w:kern w:val="0"/>
          <w:sz w:val="32"/>
          <w:szCs w:val="32"/>
        </w:rPr>
        <w:t>++软件进行维护，保障软件的正常使用，并于</w:t>
      </w:r>
      <w:r>
        <w:rPr>
          <w:rFonts w:hint="eastAsia" w:eastAsia="仿宋_GB2312"/>
          <w:kern w:val="0"/>
          <w:sz w:val="32"/>
          <w:szCs w:val="32"/>
        </w:rPr>
        <w:t>2</w:t>
      </w:r>
      <w:r>
        <w:rPr>
          <w:rFonts w:eastAsia="仿宋_GB2312"/>
          <w:kern w:val="0"/>
          <w:sz w:val="32"/>
          <w:szCs w:val="32"/>
        </w:rPr>
        <w:t>021年</w:t>
      </w:r>
      <w:r>
        <w:rPr>
          <w:rFonts w:hint="eastAsia" w:eastAsia="仿宋_GB2312"/>
          <w:kern w:val="0"/>
          <w:sz w:val="32"/>
          <w:szCs w:val="32"/>
        </w:rPr>
        <w:t>1</w:t>
      </w:r>
      <w:r>
        <w:rPr>
          <w:rFonts w:eastAsia="仿宋_GB2312"/>
          <w:kern w:val="0"/>
          <w:sz w:val="32"/>
          <w:szCs w:val="32"/>
        </w:rPr>
        <w:t>2月底完成该</w:t>
      </w:r>
      <w:r>
        <w:rPr>
          <w:rFonts w:hint="eastAsia" w:eastAsia="仿宋_GB2312"/>
          <w:kern w:val="0"/>
          <w:sz w:val="32"/>
          <w:szCs w:val="32"/>
        </w:rPr>
        <w:t>项目。该项目计划成本8</w:t>
      </w:r>
      <w:r>
        <w:rPr>
          <w:rFonts w:eastAsia="仿宋_GB2312"/>
          <w:kern w:val="0"/>
          <w:sz w:val="32"/>
          <w:szCs w:val="32"/>
        </w:rPr>
        <w:t>00元，实际使用</w:t>
      </w:r>
      <w:r>
        <w:rPr>
          <w:rFonts w:hint="eastAsia" w:eastAsia="仿宋_GB2312"/>
          <w:kern w:val="0"/>
          <w:sz w:val="32"/>
          <w:szCs w:val="32"/>
        </w:rPr>
        <w:t>8</w:t>
      </w:r>
      <w:r>
        <w:rPr>
          <w:rFonts w:eastAsia="仿宋_GB2312"/>
          <w:kern w:val="0"/>
          <w:sz w:val="32"/>
          <w:szCs w:val="32"/>
        </w:rPr>
        <w:t>00元。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该</w:t>
      </w:r>
      <w:r>
        <w:rPr>
          <w:rFonts w:hint="eastAsia" w:eastAsia="仿宋_GB2312"/>
          <w:kern w:val="0"/>
          <w:sz w:val="32"/>
          <w:szCs w:val="32"/>
        </w:rPr>
        <w:t>项目的实施保障了系统的正常运行，提高财务人员工作效率，提高财务人员对软件使用情况的满意率。</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hint="eastAsia" w:ascii="仿宋_GB2312" w:eastAsia="仿宋_GB2312"/>
          <w:color w:val="000000"/>
          <w:sz w:val="32"/>
          <w:szCs w:val="32"/>
        </w:rPr>
        <w:t>坚持预算与决算相结合，先预算后支出的原则，合理安排、使用各项资金，严格执行财经制度，会计核算合法合规，财务制度健全，管理规范。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pPr>
        <w:pStyle w:val="5"/>
        <w:spacing w:line="600" w:lineRule="exact"/>
        <w:ind w:firstLine="640" w:firstLineChars="200"/>
        <w:jc w:val="left"/>
        <w:rPr>
          <w:rFonts w:ascii="黑体" w:hAnsi="黑体" w:eastAsia="黑体" w:cs="仿宋_GB2312"/>
          <w:sz w:val="32"/>
          <w:szCs w:val="32"/>
        </w:rPr>
      </w:pPr>
    </w:p>
    <w:tbl>
      <w:tblPr>
        <w:tblStyle w:val="12"/>
        <w:tblW w:w="9824" w:type="dxa"/>
        <w:jc w:val="center"/>
        <w:tblLayout w:type="fixed"/>
        <w:tblCellMar>
          <w:top w:w="0" w:type="dxa"/>
          <w:left w:w="108" w:type="dxa"/>
          <w:bottom w:w="0" w:type="dxa"/>
          <w:right w:w="108" w:type="dxa"/>
        </w:tblCellMar>
      </w:tblPr>
      <w:tblGrid>
        <w:gridCol w:w="1976"/>
        <w:gridCol w:w="1142"/>
        <w:gridCol w:w="1635"/>
        <w:gridCol w:w="1189"/>
        <w:gridCol w:w="1224"/>
        <w:gridCol w:w="2409"/>
        <w:gridCol w:w="10"/>
        <w:gridCol w:w="229"/>
        <w:gridCol w:w="10"/>
      </w:tblGrid>
      <w:tr>
        <w:tblPrEx>
          <w:tblCellMar>
            <w:top w:w="0" w:type="dxa"/>
            <w:left w:w="108" w:type="dxa"/>
            <w:bottom w:w="0" w:type="dxa"/>
            <w:right w:w="108" w:type="dxa"/>
          </w:tblCellMar>
        </w:tblPrEx>
        <w:trPr>
          <w:gridAfter w:val="1"/>
          <w:wAfter w:w="10" w:type="dxa"/>
          <w:trHeight w:val="675" w:hRule="atLeast"/>
          <w:jc w:val="center"/>
        </w:trPr>
        <w:tc>
          <w:tcPr>
            <w:tcW w:w="9575" w:type="dxa"/>
            <w:gridSpan w:val="6"/>
            <w:shd w:val="clear" w:color="auto" w:fill="auto"/>
            <w:vAlign w:val="center"/>
          </w:tcPr>
          <w:p>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用友A++财务软件运行维护服务费项目绩效目标自评</w:t>
            </w:r>
          </w:p>
        </w:tc>
        <w:tc>
          <w:tcPr>
            <w:tcW w:w="239" w:type="dxa"/>
            <w:gridSpan w:val="2"/>
            <w:shd w:val="clear" w:color="auto" w:fill="auto"/>
            <w:vAlign w:val="center"/>
          </w:tcPr>
          <w:p>
            <w:pPr>
              <w:widowControl/>
              <w:snapToGrid w:val="0"/>
              <w:jc w:val="center"/>
              <w:textAlignment w:val="center"/>
              <w:rPr>
                <w:rFonts w:ascii="宋体" w:hAnsi="宋体" w:cs="宋体"/>
                <w:b/>
                <w:kern w:val="0"/>
                <w:sz w:val="32"/>
                <w:szCs w:val="32"/>
              </w:rPr>
            </w:pPr>
          </w:p>
        </w:tc>
      </w:tr>
      <w:tr>
        <w:tblPrEx>
          <w:tblCellMar>
            <w:top w:w="0" w:type="dxa"/>
            <w:left w:w="0" w:type="dxa"/>
            <w:bottom w:w="0" w:type="dxa"/>
            <w:right w:w="0"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攀枝花市仁和区医疗保障局</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项目预算</w:t>
            </w:r>
            <w:r>
              <w:rPr>
                <w:rFonts w:ascii="宋体" w:hAnsi="宋体" w:cs="宋体"/>
                <w:kern w:val="0"/>
                <w:sz w:val="24"/>
              </w:rPr>
              <w:br w:type="textWrapping"/>
            </w:r>
            <w:r>
              <w:rPr>
                <w:rFonts w:hint="eastAsia" w:ascii="宋体" w:hAnsi="宋体" w:cs="宋体"/>
                <w:kern w:val="0"/>
                <w:sz w:val="24"/>
              </w:rPr>
              <w:t>执行情况</w:t>
            </w:r>
            <w:r>
              <w:rPr>
                <w:rFonts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0.08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执行数：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0.08</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0.08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0.08</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年度总体目标</w:t>
            </w:r>
          </w:p>
          <w:p>
            <w:pPr>
              <w:widowControl/>
              <w:spacing w:line="320" w:lineRule="exact"/>
              <w:jc w:val="center"/>
              <w:textAlignment w:val="cente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预期目标</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目标实际完成情况</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完成2021年用友A++财务软件的运行维护工作，保障软件正常使用。</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完成2021年用友A++财务软件的运行维护工作，保障软件正常使用</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一级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二级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三级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预期指标值</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实际完成指标值</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i/>
                <w:kern w:val="0"/>
                <w:sz w:val="28"/>
                <w:szCs w:val="28"/>
              </w:rPr>
              <w:t>完</w:t>
            </w:r>
            <w:r>
              <w:rPr>
                <w:rFonts w:hint="eastAsia" w:ascii="仿宋_GB2312" w:hAnsi="仿宋_GB2312" w:eastAsia="仿宋_GB2312" w:cs="仿宋_GB2312"/>
                <w:kern w:val="0"/>
                <w:sz w:val="28"/>
                <w:szCs w:val="28"/>
              </w:rPr>
              <w:t>成</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用友A++财务软件运行维护</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1套软件维护</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平时定期维护，保障软件正常使用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软件正常</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软件维护服务费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0.08万元</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0.08万元</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77"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ind w:left="463" w:hanging="280"/>
              <w:jc w:val="left"/>
              <w:textAlignment w:val="bottom"/>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系统正常运行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1年</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3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满意度</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财务人员使用软件满意度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满意率≥95</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满意率≥95</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7848" w:type="dxa"/>
          <w:trHeight w:val="100" w:hRule="atLeast"/>
          <w:jc w:val="center"/>
        </w:trPr>
        <w:tc>
          <w:tcPr>
            <w:tcW w:w="1976" w:type="dxa"/>
            <w:tcBorders>
              <w:top w:val="single" w:color="auto" w:sz="4" w:space="0"/>
            </w:tcBorders>
          </w:tcPr>
          <w:p>
            <w:pPr>
              <w:widowControl/>
              <w:jc w:val="left"/>
            </w:pPr>
          </w:p>
        </w:tc>
      </w:tr>
    </w:tbl>
    <w:p>
      <w:pPr>
        <w:widowControl/>
        <w:jc w:val="left"/>
      </w:pPr>
    </w:p>
    <w:p>
      <w:pPr>
        <w:spacing w:line="600" w:lineRule="exact"/>
        <w:jc w:val="cente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攀枝花市仁和区医</w:t>
      </w:r>
      <w:r>
        <w:rPr>
          <w:rFonts w:ascii="方正小标宋_GBK" w:hAnsi="黑体" w:eastAsia="方正小标宋_GBK" w:cs="黑体"/>
          <w:sz w:val="36"/>
          <w:szCs w:val="36"/>
        </w:rPr>
        <w:t>疗保障局</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（村卫生室使用医保“村医通”金保工程业务专网经费）</w:t>
      </w:r>
    </w:p>
    <w:p>
      <w:pPr>
        <w:pStyle w:val="5"/>
        <w:spacing w:line="600" w:lineRule="exact"/>
        <w:ind w:firstLine="640" w:firstLineChars="200"/>
        <w:jc w:val="center"/>
        <w:rPr>
          <w:rFonts w:ascii="仿宋_GB2312" w:hAnsi="仿宋_GB2312" w:eastAsia="仿宋_GB2312" w:cs="仿宋_GB2312"/>
          <w:sz w:val="32"/>
          <w:szCs w:val="32"/>
        </w:rPr>
      </w:pPr>
    </w:p>
    <w:p>
      <w:pPr>
        <w:pStyle w:val="5"/>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1．攀枝花市仁和区医疗保障局</w:t>
      </w:r>
      <w:r>
        <w:rPr>
          <w:rFonts w:hint="eastAsia" w:eastAsia="仿宋_GB2312"/>
          <w:kern w:val="0"/>
          <w:sz w:val="32"/>
          <w:szCs w:val="32"/>
        </w:rPr>
        <w:t>对</w:t>
      </w:r>
      <w:r>
        <w:rPr>
          <w:rFonts w:eastAsia="仿宋_GB2312"/>
          <w:kern w:val="0"/>
          <w:sz w:val="32"/>
          <w:szCs w:val="32"/>
        </w:rPr>
        <w:t>开展的项目进行前期调查、收集并整理好有关资料，制定项目目标及项目计划，把握好项目执行中的问题、风险和变化，保障项目的顺利执行。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项目立项依据：攀枝花市人力资源和社会保障局、攀枝花市财政局《关于村卫生室</w:t>
      </w:r>
      <w:r>
        <w:rPr>
          <w:rFonts w:hint="eastAsia" w:eastAsia="仿宋_GB2312"/>
          <w:kern w:val="0"/>
          <w:sz w:val="32"/>
          <w:szCs w:val="32"/>
        </w:rPr>
        <w:t>使用医保“村医通”金保工程业务专网租费有关问题的通知》，资金申报依据：该通知中说明专用租费由县（区） 财政纳入预算安排。</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制定资金管理办法，根据攀枝花市人力资源和社会保障局、攀枝花市财政局《关于村卫生室</w:t>
      </w:r>
      <w:r>
        <w:rPr>
          <w:rFonts w:hint="eastAsia" w:eastAsia="仿宋_GB2312"/>
          <w:kern w:val="0"/>
          <w:sz w:val="32"/>
          <w:szCs w:val="32"/>
        </w:rPr>
        <w:t>使用医保“村医通”金保工程业务专网租费有关问题的通知》，资金支付方向为村卫生室医保就医管理、费用支付结算和网络通信费用保障。</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 xml:space="preserve"> 4．资金分配的原则及考虑因素。</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对符合安装条件的村卫生室进行“金保网”安装，支付专网租费。</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进一步规范金保工程系统业务专网管理，确保网络安全运行，保障村卫生室医保就医结算业务能够正常办理，切实解决偏远地区老百姓普通门诊医疗费用报销问题。</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进一步规范金保工程系统业务专网管理，确保网络安全运行，保障村卫生室医保就医结算业务能够正常办理，切实解决偏远地区老百姓普通门诊医疗费用报销问题。</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申报内容与实际相符，申报目标合理可行。</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021年年初，按照项目立项依据及资金申报依据申报项目预算，区财政局同意立项并下达项目经费。</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rPr>
        <w:t>项目资金共计72000.00元，其中区级资金为72000.00元。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项目资金于2021年1月到位，资金到位金额与资金计划一致，资金到位率100%，资金到位及时。</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项目资金于</w:t>
      </w:r>
      <w:r>
        <w:rPr>
          <w:rFonts w:hint="eastAsia" w:eastAsia="仿宋_GB2312"/>
          <w:kern w:val="0"/>
          <w:sz w:val="32"/>
          <w:szCs w:val="32"/>
        </w:rPr>
        <w:t>2021年12月31日前支付完毕，</w:t>
      </w:r>
      <w:r>
        <w:rPr>
          <w:rFonts w:eastAsia="仿宋_GB2312"/>
          <w:kern w:val="0"/>
          <w:sz w:val="32"/>
          <w:szCs w:val="32"/>
        </w:rPr>
        <w:t>资金支付范围、支付标准、支付进度、支付依据合规合法、与预算相符。</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w:t>
      </w:r>
      <w:r>
        <w:rPr>
          <w:rFonts w:eastAsia="仿宋_GB2312"/>
          <w:kern w:val="0"/>
          <w:sz w:val="32"/>
          <w:szCs w:val="32"/>
        </w:rPr>
        <w:t>枝花市仁和区医疗保障局财务管理制度健全，严格执行财务管理制度，账务处理及时，会计核算规范。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局长许必蓉为总负责人，综合股为项目实施人，按照规定将资</w:t>
      </w:r>
      <w:r>
        <w:rPr>
          <w:rFonts w:hint="eastAsia" w:eastAsia="仿宋_GB2312"/>
          <w:kern w:val="0"/>
          <w:sz w:val="32"/>
          <w:szCs w:val="32"/>
          <w:lang w:val="en-US" w:eastAsia="zh-CN"/>
        </w:rPr>
        <w:t>金</w:t>
      </w:r>
      <w:r>
        <w:rPr>
          <w:rFonts w:hint="eastAsia" w:eastAsia="仿宋_GB2312"/>
          <w:kern w:val="0"/>
          <w:sz w:val="32"/>
          <w:szCs w:val="32"/>
        </w:rPr>
        <w:t>进行拨付。</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严格执行相关法律法规及项目管理制度。</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制定</w:t>
      </w:r>
      <w:r>
        <w:rPr>
          <w:rFonts w:eastAsia="仿宋_GB2312"/>
          <w:kern w:val="0"/>
          <w:sz w:val="32"/>
          <w:szCs w:val="32"/>
        </w:rPr>
        <w:t>项目计划，严格按照计划开展工作，严格管理项目资金，确保项目资金使用合理、合规、合法，保障资金安全性，不定期对项目资金开展情况、进度进行检查、跟进。</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2021年共为58家村卫生室支付专网租费，完成率100%。项目资金共支付72000.00元，完成率100%。保障村卫生室医保就医结算业务能够正常办理，切实解决偏远地区老百姓普通门诊医疗费用报销问题。于2021年12月31日前完成此项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社会效益：</w:t>
      </w:r>
      <w:r>
        <w:rPr>
          <w:rFonts w:hint="eastAsia" w:eastAsia="仿宋_GB2312"/>
          <w:kern w:val="0"/>
          <w:sz w:val="32"/>
          <w:szCs w:val="32"/>
        </w:rPr>
        <w:t>切实解决偏远地区老百姓普通门诊医疗费用报销问题。群众满意度≥90%</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通过项目实施保障了村卫生室医保就医结算业务能够正常办理，切实解决偏远地区老百姓普通门诊医疗费用报销问题，达到了预期目标</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tbl>
      <w:tblPr>
        <w:tblStyle w:val="12"/>
        <w:tblW w:w="0" w:type="auto"/>
        <w:jc w:val="center"/>
        <w:tblLayout w:type="fixed"/>
        <w:tblCellMar>
          <w:top w:w="0" w:type="dxa"/>
          <w:left w:w="108" w:type="dxa"/>
          <w:bottom w:w="0" w:type="dxa"/>
          <w:right w:w="108" w:type="dxa"/>
        </w:tblCellMar>
      </w:tblPr>
      <w:tblGrid>
        <w:gridCol w:w="1976"/>
        <w:gridCol w:w="1142"/>
        <w:gridCol w:w="1635"/>
        <w:gridCol w:w="1189"/>
        <w:gridCol w:w="1224"/>
        <w:gridCol w:w="2409"/>
        <w:gridCol w:w="10"/>
        <w:gridCol w:w="229"/>
        <w:gridCol w:w="10"/>
      </w:tblGrid>
      <w:tr>
        <w:tblPrEx>
          <w:tblCellMar>
            <w:top w:w="0" w:type="dxa"/>
            <w:left w:w="108" w:type="dxa"/>
            <w:bottom w:w="0" w:type="dxa"/>
            <w:right w:w="108" w:type="dxa"/>
          </w:tblCellMar>
        </w:tblPrEx>
        <w:trPr>
          <w:gridAfter w:val="1"/>
          <w:wAfter w:w="10" w:type="dxa"/>
          <w:trHeight w:val="675" w:hRule="atLeast"/>
          <w:jc w:val="center"/>
        </w:trPr>
        <w:tc>
          <w:tcPr>
            <w:tcW w:w="9575" w:type="dxa"/>
            <w:gridSpan w:val="6"/>
            <w:shd w:val="clear" w:color="auto" w:fill="auto"/>
            <w:vAlign w:val="center"/>
          </w:tcPr>
          <w:p>
            <w:pPr>
              <w:widowControl/>
              <w:ind w:firstLine="3213" w:firstLineChars="1000"/>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村卫生室使用医保“村医通”金保工程业务专网经费项目绩效目标自评</w:t>
            </w:r>
          </w:p>
        </w:tc>
        <w:tc>
          <w:tcPr>
            <w:tcW w:w="239" w:type="dxa"/>
            <w:gridSpan w:val="2"/>
            <w:shd w:val="clear" w:color="auto" w:fill="auto"/>
            <w:vAlign w:val="center"/>
          </w:tcPr>
          <w:p>
            <w:pPr>
              <w:widowControl/>
              <w:snapToGrid w:val="0"/>
              <w:jc w:val="center"/>
              <w:textAlignment w:val="center"/>
              <w:rPr>
                <w:rFonts w:ascii="宋体" w:hAnsi="宋体" w:cs="宋体"/>
                <w:b/>
                <w:kern w:val="0"/>
                <w:sz w:val="32"/>
                <w:szCs w:val="32"/>
              </w:rPr>
            </w:pPr>
          </w:p>
        </w:tc>
      </w:tr>
      <w:tr>
        <w:tblPrEx>
          <w:tblCellMar>
            <w:top w:w="0" w:type="dxa"/>
            <w:left w:w="0" w:type="dxa"/>
            <w:bottom w:w="0" w:type="dxa"/>
            <w:right w:w="0"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攀枝花市仁和区医疗保障局</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项目预算</w:t>
            </w:r>
            <w:r>
              <w:rPr>
                <w:rFonts w:ascii="宋体" w:hAnsi="宋体" w:cs="宋体"/>
                <w:kern w:val="0"/>
                <w:sz w:val="24"/>
              </w:rPr>
              <w:br w:type="textWrapping"/>
            </w:r>
            <w:r>
              <w:rPr>
                <w:rFonts w:hint="eastAsia" w:ascii="宋体" w:hAnsi="宋体" w:cs="宋体"/>
                <w:kern w:val="0"/>
                <w:sz w:val="24"/>
              </w:rPr>
              <w:t>执行情况</w:t>
            </w:r>
            <w:r>
              <w:rPr>
                <w:rFonts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执行数：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7.2</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7.2</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7.2</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年度总体目标</w:t>
            </w:r>
          </w:p>
          <w:p>
            <w:pPr>
              <w:widowControl/>
              <w:spacing w:line="320" w:lineRule="exact"/>
              <w:jc w:val="center"/>
              <w:textAlignment w:val="cente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预期目标</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目标实际完成情况</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进一步规范金保工程系统业务专网管理，确保网络安全运行，保障村卫生室医保就医结算业务能够正常办理，切实解决偏远地区老百姓普通门诊医疗费用报销问题。</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确保网络安全运行，保障村卫生室医保就医结算业务能够正常办理，切实解决偏远地区老百姓普通门诊医疗费用报销问题</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一级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二级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三级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预期指标值</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实际完成指标值</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i/>
                <w:kern w:val="0"/>
                <w:sz w:val="28"/>
                <w:szCs w:val="28"/>
              </w:rPr>
              <w:t>完</w:t>
            </w:r>
            <w:r>
              <w:rPr>
                <w:rFonts w:hint="eastAsia" w:ascii="仿宋_GB2312" w:hAnsi="仿宋_GB2312" w:eastAsia="仿宋_GB2312" w:cs="仿宋_GB2312"/>
                <w:kern w:val="0"/>
                <w:sz w:val="28"/>
                <w:szCs w:val="28"/>
              </w:rPr>
              <w:t>成</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开通金保网的村卫生室</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58家</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58家</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确保村卫生室医保结算业务正常办理。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保障村卫生室医保就医结算业务能够正常办理，切实解决偏远地区老百姓普通门诊医疗费用报销问题。</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网络租聘费用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7.2万元</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7.2万元</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保障村卫生室医保就医结算业务能够正常办理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切实解决偏远地区老百姓普通门诊医疗费用报销问题。</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77"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ind w:left="463" w:hanging="280"/>
              <w:jc w:val="left"/>
              <w:textAlignment w:val="bottom"/>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系统正常运行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1年</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30" w:hRule="atLeast"/>
          <w:jc w:val="center"/>
        </w:trPr>
        <w:tc>
          <w:tcPr>
            <w:tcW w:w="1976" w:type="dxa"/>
            <w:vMerge w:val="continue"/>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满意度</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满意率≥90%</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bl>
    <w:p>
      <w:pPr>
        <w:widowControl/>
        <w:jc w:val="left"/>
      </w:pP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攀枝花市仁和区医疗</w:t>
      </w:r>
      <w:r>
        <w:rPr>
          <w:rFonts w:ascii="方正小标宋_GBK" w:hAnsi="黑体" w:eastAsia="方正小标宋_GBK" w:cs="黑体"/>
          <w:sz w:val="36"/>
          <w:szCs w:val="36"/>
        </w:rPr>
        <w:t>保障局</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（城乡居民基本医疗保障补助）</w:t>
      </w:r>
    </w:p>
    <w:p>
      <w:pPr>
        <w:pStyle w:val="5"/>
        <w:spacing w:line="600" w:lineRule="exact"/>
        <w:ind w:firstLine="640" w:firstLineChars="200"/>
        <w:jc w:val="center"/>
        <w:rPr>
          <w:rFonts w:ascii="仿宋_GB2312" w:hAnsi="仿宋_GB2312" w:eastAsia="仿宋_GB2312" w:cs="仿宋_GB2312"/>
          <w:sz w:val="32"/>
          <w:szCs w:val="32"/>
        </w:rPr>
      </w:pPr>
    </w:p>
    <w:p>
      <w:pPr>
        <w:pStyle w:val="5"/>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攀枝花市仁和区医疗保障局</w:t>
      </w:r>
      <w:r>
        <w:rPr>
          <w:rFonts w:hint="eastAsia" w:eastAsia="仿宋_GB2312"/>
          <w:kern w:val="0"/>
          <w:sz w:val="32"/>
          <w:szCs w:val="32"/>
        </w:rPr>
        <w:t>对</w:t>
      </w:r>
      <w:r>
        <w:rPr>
          <w:rFonts w:eastAsia="仿宋_GB2312"/>
          <w:kern w:val="0"/>
          <w:sz w:val="32"/>
          <w:szCs w:val="32"/>
        </w:rPr>
        <w:t>开展的项目进行前期调查、收集并整理好有关资料，制定项目目标及项目计划，把握好项目执行中的问题、风险和变化，保障项目的顺利执行。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项目立项依据：</w:t>
      </w:r>
      <w:r>
        <w:rPr>
          <w:rFonts w:hint="eastAsia" w:eastAsia="仿宋_GB2312"/>
          <w:kern w:val="0"/>
          <w:sz w:val="32"/>
          <w:szCs w:val="32"/>
        </w:rPr>
        <w:t>攀财社[2018]11号《攀枝花市财政局 攀枝花市人力资源和社会保障局关于2018年城乡居民医疗保险市级财政补助标准的通知》。资金申报依据：按文件要求于2021年年初通过预算申报项目资金。</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按照2021年城镇居民基本医疗保险实际参保人数，根据2021年度攀枝花市城镇居民医保财政补助标准进行补助，标准为县区级32元/人。对参加城镇居民基本医疗保险人员进行补助。</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对参保人员按政策报销。</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按照2021年城镇居民基本医疗保险实际参保人数，根据2021年度攀枝花市城镇居民医保财政补助标准进行补助</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依照政策规定，对参保人员按标准进行补助，保障资金执行到位。</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评价申报内容与实际相符，申报目标合理可行。</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w:t>
      </w:r>
      <w:r>
        <w:rPr>
          <w:rFonts w:eastAsia="仿宋_GB2312"/>
          <w:kern w:val="0"/>
          <w:sz w:val="32"/>
          <w:szCs w:val="32"/>
        </w:rPr>
        <w:t>21年年初，按照项目立项依据及资金申报依据申报项目预算，区财政局同意立项并下达项目经费。</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项目预算资金</w:t>
      </w:r>
      <w:r>
        <w:rPr>
          <w:rFonts w:hint="eastAsia" w:eastAsia="仿宋_GB2312"/>
          <w:kern w:val="0"/>
          <w:sz w:val="32"/>
          <w:szCs w:val="32"/>
        </w:rPr>
        <w:t>5600000.00元，其中区级资金5600000.00元。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资金于2021年1月到位，资金实际到位4909696.00元，其中区级资金4909696.00元。资金到位金额与资金计划相差690304.00元，资金到位率87.67%，原因为2021年县区级标准由35元/人降低为32元/人，财政按标准减少资金拨付，资金到位及时。</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项目资金于</w:t>
      </w:r>
      <w:r>
        <w:rPr>
          <w:rFonts w:hint="eastAsia" w:eastAsia="仿宋_GB2312"/>
          <w:kern w:val="0"/>
          <w:sz w:val="32"/>
          <w:szCs w:val="32"/>
        </w:rPr>
        <w:t>2021年12月31日前支付完毕，</w:t>
      </w:r>
      <w:r>
        <w:rPr>
          <w:rFonts w:eastAsia="仿宋_GB2312"/>
          <w:kern w:val="0"/>
          <w:sz w:val="32"/>
          <w:szCs w:val="32"/>
        </w:rPr>
        <w:t>资金支付范围、支付标准、支付进度、支付依据合规合法、与预算相符。</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w:t>
      </w:r>
      <w:r>
        <w:rPr>
          <w:rFonts w:eastAsia="仿宋_GB2312"/>
          <w:kern w:val="0"/>
          <w:sz w:val="32"/>
          <w:szCs w:val="32"/>
        </w:rPr>
        <w:t>枝花市仁和区医疗保障局管理制度健全，严格执行财务管理制度，账务处理及时，会计核算规范。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pPr>
        <w:autoSpaceDE w:val="0"/>
        <w:autoSpaceDN w:val="0"/>
        <w:adjustRightInd w:val="0"/>
        <w:spacing w:line="600" w:lineRule="exact"/>
        <w:ind w:firstLine="640" w:firstLineChars="200"/>
        <w:jc w:val="left"/>
        <w:rPr>
          <w:rFonts w:eastAsia="楷体_GB2312"/>
          <w:kern w:val="0"/>
          <w:sz w:val="32"/>
          <w:szCs w:val="32"/>
        </w:rPr>
      </w:pPr>
      <w:r>
        <w:rPr>
          <w:rFonts w:eastAsia="仿宋_GB2312"/>
          <w:kern w:val="0"/>
          <w:sz w:val="32"/>
          <w:szCs w:val="32"/>
        </w:rPr>
        <w:t>项目由仁和区医疗保障局负责，由仁和区医疗保障事务中心负责实施。按照</w:t>
      </w:r>
      <w:r>
        <w:rPr>
          <w:rFonts w:hint="eastAsia" w:eastAsia="仿宋_GB2312"/>
          <w:kern w:val="0"/>
          <w:sz w:val="32"/>
          <w:szCs w:val="32"/>
        </w:rPr>
        <w:t>实</w:t>
      </w:r>
      <w:r>
        <w:rPr>
          <w:rFonts w:eastAsia="仿宋_GB2312"/>
          <w:kern w:val="0"/>
          <w:sz w:val="32"/>
          <w:szCs w:val="32"/>
        </w:rPr>
        <w:t>际参保人员进行补助、报销</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按照相关法律法规及项目管理制度推进相关工作</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制定</w:t>
      </w:r>
      <w:r>
        <w:rPr>
          <w:rFonts w:eastAsia="仿宋_GB2312"/>
          <w:kern w:val="0"/>
          <w:sz w:val="32"/>
          <w:szCs w:val="32"/>
        </w:rPr>
        <w:t>项目计划，严格按照计划开展工作，严格管理项目资金，确保项目资金使用合理、合规、合法，保障资金安全性，不定期对项目资金开展情况、进度进行检查、跟进。</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按照2021年城镇居民基本医疗保险实际参保人数、县区级32元/人的标准进行补助，实际补助153428人，共计4909696.00元，于2021年12月31日前支付完毕，完成该项目。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社会效益：</w:t>
      </w:r>
      <w:r>
        <w:rPr>
          <w:rFonts w:hint="eastAsia" w:eastAsia="仿宋_GB2312"/>
          <w:kern w:val="0"/>
          <w:sz w:val="32"/>
          <w:szCs w:val="32"/>
        </w:rPr>
        <w:t>提高了城乡居民基本医疗保障水平，缓解城乡居民看病贵的问题，让群众病有所医。群众满意度≥90%</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该项目的实施提高了城乡居民基本医疗保障水平，缓解城乡居民看病贵的问题，让群众病有所医。达到了预期效果。</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p>
      <w:pPr>
        <w:pStyle w:val="5"/>
        <w:spacing w:line="600" w:lineRule="exact"/>
        <w:ind w:firstLine="640" w:firstLineChars="200"/>
        <w:jc w:val="left"/>
        <w:rPr>
          <w:rFonts w:ascii="黑体" w:hAnsi="黑体" w:eastAsia="黑体" w:cs="仿宋_GB2312"/>
          <w:sz w:val="32"/>
          <w:szCs w:val="32"/>
        </w:rPr>
      </w:pPr>
    </w:p>
    <w:p>
      <w:pPr>
        <w:spacing w:line="600" w:lineRule="exact"/>
        <w:jc w:val="center"/>
      </w:pPr>
    </w:p>
    <w:tbl>
      <w:tblPr>
        <w:tblStyle w:val="12"/>
        <w:tblW w:w="0" w:type="auto"/>
        <w:jc w:val="center"/>
        <w:tblLayout w:type="fixed"/>
        <w:tblCellMar>
          <w:top w:w="0" w:type="dxa"/>
          <w:left w:w="108" w:type="dxa"/>
          <w:bottom w:w="0" w:type="dxa"/>
          <w:right w:w="108" w:type="dxa"/>
        </w:tblCellMar>
      </w:tblPr>
      <w:tblGrid>
        <w:gridCol w:w="1976"/>
        <w:gridCol w:w="1142"/>
        <w:gridCol w:w="1635"/>
        <w:gridCol w:w="1189"/>
        <w:gridCol w:w="1224"/>
        <w:gridCol w:w="2409"/>
        <w:gridCol w:w="10"/>
        <w:gridCol w:w="229"/>
        <w:gridCol w:w="10"/>
      </w:tblGrid>
      <w:tr>
        <w:tblPrEx>
          <w:tblCellMar>
            <w:top w:w="0" w:type="dxa"/>
            <w:left w:w="108" w:type="dxa"/>
            <w:bottom w:w="0" w:type="dxa"/>
            <w:right w:w="108" w:type="dxa"/>
          </w:tblCellMar>
        </w:tblPrEx>
        <w:trPr>
          <w:gridAfter w:val="1"/>
          <w:wAfter w:w="10" w:type="dxa"/>
          <w:trHeight w:val="675" w:hRule="atLeast"/>
          <w:jc w:val="center"/>
        </w:trPr>
        <w:tc>
          <w:tcPr>
            <w:tcW w:w="9575" w:type="dxa"/>
            <w:gridSpan w:val="6"/>
            <w:shd w:val="clear" w:color="auto" w:fill="auto"/>
            <w:vAlign w:val="center"/>
          </w:tcPr>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城乡居民基本医疗保障补助项目绩效目标自评</w:t>
            </w:r>
          </w:p>
        </w:tc>
        <w:tc>
          <w:tcPr>
            <w:tcW w:w="239" w:type="dxa"/>
            <w:gridSpan w:val="2"/>
            <w:shd w:val="clear" w:color="auto" w:fill="auto"/>
            <w:vAlign w:val="center"/>
          </w:tcPr>
          <w:p>
            <w:pPr>
              <w:widowControl/>
              <w:snapToGrid w:val="0"/>
              <w:jc w:val="center"/>
              <w:textAlignment w:val="center"/>
              <w:rPr>
                <w:rFonts w:ascii="宋体" w:hAnsi="宋体" w:cs="宋体"/>
                <w:b/>
                <w:kern w:val="0"/>
                <w:sz w:val="32"/>
                <w:szCs w:val="32"/>
              </w:rPr>
            </w:pPr>
          </w:p>
        </w:tc>
      </w:tr>
      <w:tr>
        <w:tblPrEx>
          <w:tblCellMar>
            <w:top w:w="0" w:type="dxa"/>
            <w:left w:w="0" w:type="dxa"/>
            <w:bottom w:w="0" w:type="dxa"/>
            <w:right w:w="0"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攀枝花市仁和区医疗保障局</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项目预算</w:t>
            </w:r>
            <w:r>
              <w:rPr>
                <w:rFonts w:ascii="宋体" w:hAnsi="宋体" w:cs="宋体"/>
                <w:kern w:val="0"/>
                <w:sz w:val="24"/>
              </w:rPr>
              <w:br w:type="textWrapping"/>
            </w:r>
            <w:r>
              <w:rPr>
                <w:rFonts w:hint="eastAsia" w:ascii="宋体" w:hAnsi="宋体" w:cs="宋体"/>
                <w:kern w:val="0"/>
                <w:sz w:val="24"/>
              </w:rPr>
              <w:t>执行情况</w:t>
            </w:r>
            <w:r>
              <w:rPr>
                <w:rFonts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560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执行数：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490.97</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560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490.97</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年度总体目标</w:t>
            </w:r>
          </w:p>
          <w:p>
            <w:pPr>
              <w:widowControl/>
              <w:spacing w:line="320" w:lineRule="exact"/>
              <w:jc w:val="center"/>
              <w:textAlignment w:val="cente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预期目标</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目标实际完成情况</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按照2021年城镇居民基本医疗保险实际参保人数，根据2021年度攀枝花市城镇居民医保财政补助标准进行补助，标准为县区级35元/人</w:t>
            </w:r>
            <w:r>
              <w:rPr>
                <w:rFonts w:hint="eastAsia" w:ascii="宋体" w:hAnsi="宋体" w:cs="宋体"/>
                <w:sz w:val="24"/>
                <w:lang w:eastAsia="zh-CN"/>
              </w:rPr>
              <w:t>。</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已按照2021年城镇居民基本医疗保险实际参保人数进行补助。2021年标准为县区级32元 /人完成了2021年度目标任务。</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693" w:hRule="atLeast"/>
          <w:jc w:val="center"/>
        </w:trPr>
        <w:tc>
          <w:tcPr>
            <w:tcW w:w="1976" w:type="dxa"/>
            <w:vMerge w:val="restart"/>
            <w:tcBorders>
              <w:top w:val="single" w:color="000000" w:sz="4" w:space="0"/>
              <w:left w:val="single" w:color="auto"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一级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二级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三级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预期指标值</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实际完成指标值</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i/>
                <w:kern w:val="0"/>
                <w:sz w:val="28"/>
                <w:szCs w:val="28"/>
              </w:rPr>
              <w:t>完</w:t>
            </w:r>
            <w:r>
              <w:rPr>
                <w:rFonts w:hint="eastAsia" w:ascii="仿宋_GB2312" w:hAnsi="仿宋_GB2312" w:eastAsia="仿宋_GB2312" w:cs="仿宋_GB2312"/>
                <w:kern w:val="0"/>
                <w:sz w:val="28"/>
                <w:szCs w:val="28"/>
              </w:rPr>
              <w:t>成</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城乡参保人员</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160000人</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153428人</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确保参保人员按政策报销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根据实际参保人数，按政策规定进行补助报销</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预计参保16万人，合计35元 /人*16万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560万元</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2021年实际参保15.34万人，报销标准更改为32元/人，合计</w:t>
            </w:r>
            <w:r>
              <w:rPr>
                <w:rFonts w:ascii="宋体" w:hAnsi="宋体" w:cs="宋体"/>
                <w:sz w:val="24"/>
              </w:rPr>
              <w:t>490.97万元</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提高城乡居民基本医疗保障水平，缓解城乡居民看病贵的问题，让群众病有所医</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有效提高</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77" w:hRule="atLeast"/>
          <w:jc w:val="center"/>
        </w:trPr>
        <w:tc>
          <w:tcPr>
            <w:tcW w:w="1976" w:type="dxa"/>
            <w:vMerge w:val="continue"/>
            <w:tcBorders>
              <w:top w:val="single" w:color="000000" w:sz="4" w:space="0"/>
              <w:left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ind w:left="463" w:hanging="280"/>
              <w:jc w:val="left"/>
              <w:textAlignment w:val="bottom"/>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30" w:hRule="atLeast"/>
          <w:jc w:val="center"/>
        </w:trPr>
        <w:tc>
          <w:tcPr>
            <w:tcW w:w="1976" w:type="dxa"/>
            <w:vMerge w:val="continue"/>
            <w:tcBorders>
              <w:top w:val="single" w:color="000000" w:sz="4" w:space="0"/>
              <w:left w:val="single" w:color="auto" w:sz="4" w:space="0"/>
              <w:bottom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满意度</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抽样调查满意度达到90%以上。</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bl>
    <w:p>
      <w:pPr>
        <w:widowControl/>
        <w:jc w:val="left"/>
      </w:pPr>
    </w:p>
    <w:p>
      <w:pPr>
        <w:spacing w:line="600" w:lineRule="exact"/>
        <w:jc w:val="center"/>
        <w:rPr>
          <w:rFonts w:ascii="黑体" w:hAnsi="黑体" w:eastAsia="黑体" w:cs="黑体"/>
          <w:color w:val="000000"/>
          <w:sz w:val="44"/>
          <w:szCs w:val="44"/>
        </w:rPr>
      </w:pP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攀枝花市仁和区医疗</w:t>
      </w:r>
      <w:r>
        <w:rPr>
          <w:rFonts w:ascii="方正小标宋_GBK" w:hAnsi="黑体" w:eastAsia="方正小标宋_GBK" w:cs="黑体"/>
          <w:sz w:val="36"/>
          <w:szCs w:val="36"/>
        </w:rPr>
        <w:t>保障局</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（县级以上离休干部、二等乙级革命伤残军人医疗费）</w:t>
      </w:r>
    </w:p>
    <w:p>
      <w:pPr>
        <w:pStyle w:val="5"/>
        <w:spacing w:line="600" w:lineRule="exact"/>
        <w:ind w:firstLine="640" w:firstLineChars="200"/>
        <w:jc w:val="center"/>
        <w:rPr>
          <w:rFonts w:ascii="仿宋_GB2312" w:hAnsi="仿宋_GB2312" w:eastAsia="仿宋_GB2312" w:cs="仿宋_GB2312"/>
          <w:sz w:val="32"/>
          <w:szCs w:val="32"/>
        </w:rPr>
      </w:pPr>
    </w:p>
    <w:p>
      <w:pPr>
        <w:pStyle w:val="5"/>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攀枝花市仁和区医疗保障局</w:t>
      </w:r>
      <w:r>
        <w:rPr>
          <w:rFonts w:hint="eastAsia" w:eastAsia="仿宋_GB2312"/>
          <w:kern w:val="0"/>
          <w:sz w:val="32"/>
          <w:szCs w:val="32"/>
        </w:rPr>
        <w:t>对</w:t>
      </w:r>
      <w:r>
        <w:rPr>
          <w:rFonts w:eastAsia="仿宋_GB2312"/>
          <w:kern w:val="0"/>
          <w:sz w:val="32"/>
          <w:szCs w:val="32"/>
        </w:rPr>
        <w:t>开展的项目进行前期调查、收集并整理好有关资料，制定项目目标及项目计划，把握好项目执行中的问题、风险和变化，保障项目的顺利执行。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立项依据：关于贯彻执行《攀枝花市本级离休干部、二等乙级以上革命伤残军人及伤残人民警察医疗费实行社会统筹管理的实施意见》的有关问题的通知（攀仁劳社【2003】13号）、关于转发《市本级离休干部、二等乙级以上革命伤残军人及伤残人民警察医疗费实行社会统筹管理的实施意见》的通知（攀仁府【2004】38号）、关于印发《市本级离休干部、二等乙级以上革命伤残军人及伤残人民警察医疗费实行社会统筹管理的实施意见》的通知（攀府发</w:t>
      </w:r>
      <w:r>
        <w:rPr>
          <w:rFonts w:hint="eastAsia" w:eastAsia="仿宋_GB2312"/>
          <w:kern w:val="0"/>
          <w:sz w:val="32"/>
          <w:szCs w:val="32"/>
          <w:lang w:eastAsia="zh-CN"/>
        </w:rPr>
        <w:t>〔</w:t>
      </w:r>
      <w:r>
        <w:rPr>
          <w:rFonts w:hint="eastAsia" w:eastAsia="仿宋_GB2312"/>
          <w:kern w:val="0"/>
          <w:sz w:val="32"/>
          <w:szCs w:val="32"/>
        </w:rPr>
        <w:t>2003</w:t>
      </w:r>
      <w:r>
        <w:rPr>
          <w:rFonts w:hint="eastAsia" w:eastAsia="仿宋_GB2312"/>
          <w:kern w:val="0"/>
          <w:sz w:val="32"/>
          <w:szCs w:val="32"/>
          <w:lang w:eastAsia="zh-CN"/>
        </w:rPr>
        <w:t>〕</w:t>
      </w:r>
      <w:r>
        <w:rPr>
          <w:rFonts w:hint="eastAsia" w:eastAsia="仿宋_GB2312"/>
          <w:kern w:val="0"/>
          <w:sz w:val="32"/>
          <w:szCs w:val="32"/>
        </w:rPr>
        <w:t>24号）、《关于贯彻攀办发</w:t>
      </w:r>
      <w:r>
        <w:rPr>
          <w:rFonts w:hint="eastAsia" w:eastAsia="仿宋_GB2312"/>
          <w:kern w:val="0"/>
          <w:sz w:val="32"/>
          <w:szCs w:val="32"/>
          <w:lang w:eastAsia="zh-CN"/>
        </w:rPr>
        <w:t>〔</w:t>
      </w:r>
      <w:r>
        <w:rPr>
          <w:rFonts w:hint="eastAsia" w:eastAsia="仿宋_GB2312"/>
          <w:kern w:val="0"/>
          <w:sz w:val="32"/>
          <w:szCs w:val="32"/>
        </w:rPr>
        <w:t>2002</w:t>
      </w:r>
      <w:r>
        <w:rPr>
          <w:rFonts w:hint="eastAsia" w:eastAsia="仿宋_GB2312"/>
          <w:kern w:val="0"/>
          <w:sz w:val="32"/>
          <w:szCs w:val="32"/>
          <w:lang w:eastAsia="zh-CN"/>
        </w:rPr>
        <w:t>〕</w:t>
      </w:r>
      <w:r>
        <w:rPr>
          <w:rFonts w:hint="eastAsia" w:eastAsia="仿宋_GB2312"/>
          <w:kern w:val="0"/>
          <w:sz w:val="32"/>
          <w:szCs w:val="32"/>
        </w:rPr>
        <w:t>107号和108号文件精神切实做好我区高级知识分子医疗费和县级干部住院床位费管理的意见》（攀仁府办</w:t>
      </w:r>
      <w:r>
        <w:rPr>
          <w:rFonts w:hint="eastAsia" w:eastAsia="仿宋_GB2312"/>
          <w:kern w:val="0"/>
          <w:sz w:val="32"/>
          <w:szCs w:val="32"/>
          <w:lang w:eastAsia="zh-CN"/>
        </w:rPr>
        <w:t>〔</w:t>
      </w:r>
      <w:r>
        <w:rPr>
          <w:rFonts w:hint="eastAsia" w:eastAsia="仿宋_GB2312"/>
          <w:kern w:val="0"/>
          <w:sz w:val="32"/>
          <w:szCs w:val="32"/>
        </w:rPr>
        <w:t>2002</w:t>
      </w:r>
      <w:r>
        <w:rPr>
          <w:rFonts w:hint="eastAsia" w:eastAsia="仿宋_GB2312"/>
          <w:kern w:val="0"/>
          <w:sz w:val="32"/>
          <w:szCs w:val="32"/>
          <w:lang w:eastAsia="zh-CN"/>
        </w:rPr>
        <w:t>〕</w:t>
      </w:r>
      <w:r>
        <w:rPr>
          <w:rFonts w:hint="eastAsia" w:eastAsia="仿宋_GB2312"/>
          <w:kern w:val="0"/>
          <w:sz w:val="32"/>
          <w:szCs w:val="32"/>
        </w:rPr>
        <w:t>137号）、《市本级正县级领导干部享受上一级非领导职务医疗待遇政策摘要及就医结算操作办法</w:t>
      </w:r>
      <w:r>
        <w:rPr>
          <w:rFonts w:hint="eastAsia" w:eastAsia="仿宋_GB2312"/>
          <w:kern w:val="0"/>
          <w:sz w:val="32"/>
          <w:szCs w:val="32"/>
          <w:lang w:eastAsia="zh-CN"/>
        </w:rPr>
        <w:t>》《</w:t>
      </w:r>
      <w:r>
        <w:rPr>
          <w:rFonts w:hint="eastAsia" w:eastAsia="仿宋_GB2312"/>
          <w:kern w:val="0"/>
          <w:sz w:val="32"/>
          <w:szCs w:val="32"/>
        </w:rPr>
        <w:t>关于印发攀枝花市医疗照顾人员医疗管理试行意见的通知》（攀</w:t>
      </w:r>
      <w:r>
        <w:rPr>
          <w:rFonts w:hint="eastAsia" w:eastAsia="仿宋_GB2312"/>
          <w:kern w:val="0"/>
          <w:sz w:val="32"/>
          <w:szCs w:val="32"/>
          <w:lang w:eastAsia="zh-CN"/>
        </w:rPr>
        <w:t>办发</w:t>
      </w:r>
      <w:r>
        <w:rPr>
          <w:rFonts w:hint="eastAsia" w:eastAsia="仿宋_GB2312"/>
          <w:kern w:val="0"/>
          <w:sz w:val="32"/>
          <w:szCs w:val="32"/>
        </w:rPr>
        <w:t>【2002】106号）、《关于市本级特殊医疗照顾对象在成都就医有关事宜的通知》（攀劳社发</w:t>
      </w:r>
      <w:r>
        <w:rPr>
          <w:rFonts w:hint="eastAsia" w:eastAsia="仿宋_GB2312"/>
          <w:kern w:val="0"/>
          <w:sz w:val="32"/>
          <w:szCs w:val="32"/>
          <w:lang w:eastAsia="zh-CN"/>
        </w:rPr>
        <w:t>〔</w:t>
      </w:r>
      <w:r>
        <w:rPr>
          <w:rFonts w:hint="eastAsia" w:eastAsia="仿宋_GB2312"/>
          <w:kern w:val="0"/>
          <w:sz w:val="32"/>
          <w:szCs w:val="32"/>
        </w:rPr>
        <w:t>2009</w:t>
      </w:r>
      <w:r>
        <w:rPr>
          <w:rFonts w:hint="eastAsia" w:eastAsia="仿宋_GB2312"/>
          <w:kern w:val="0"/>
          <w:sz w:val="32"/>
          <w:szCs w:val="32"/>
          <w:lang w:eastAsia="zh-CN"/>
        </w:rPr>
        <w:t>〕</w:t>
      </w:r>
      <w:r>
        <w:rPr>
          <w:rFonts w:hint="eastAsia" w:eastAsia="仿宋_GB2312"/>
          <w:kern w:val="0"/>
          <w:sz w:val="32"/>
          <w:szCs w:val="32"/>
        </w:rPr>
        <w:t>134号）、《区委组织部工作备忘</w:t>
      </w:r>
      <w:r>
        <w:rPr>
          <w:rFonts w:hint="eastAsia" w:eastAsia="仿宋_GB2312"/>
          <w:kern w:val="0"/>
          <w:sz w:val="32"/>
          <w:szCs w:val="32"/>
          <w:lang w:eastAsia="zh-CN"/>
        </w:rPr>
        <w:t>》《</w:t>
      </w:r>
      <w:r>
        <w:rPr>
          <w:rFonts w:hint="eastAsia" w:eastAsia="仿宋_GB2312"/>
          <w:kern w:val="0"/>
          <w:sz w:val="32"/>
          <w:szCs w:val="32"/>
        </w:rPr>
        <w:t>攀枝花市市本级厅级等干部医疗照顾政策摘要及就医操作办法》。资金申报依据：按文件要求于2021年年初通过预算申报项目资金。</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按规定政策对2021年全区离休干部和二等乙级以上革命伤残军人、</w:t>
      </w:r>
      <w:r>
        <w:rPr>
          <w:rFonts w:hint="eastAsia" w:eastAsia="仿宋_GB2312"/>
          <w:kern w:val="0"/>
          <w:sz w:val="32"/>
          <w:szCs w:val="32"/>
          <w:lang w:eastAsia="zh-CN"/>
        </w:rPr>
        <w:t>高级知识分子</w:t>
      </w:r>
      <w:r>
        <w:rPr>
          <w:rFonts w:hint="eastAsia" w:eastAsia="仿宋_GB2312"/>
          <w:kern w:val="0"/>
          <w:sz w:val="32"/>
          <w:szCs w:val="32"/>
        </w:rPr>
        <w:t>、县级干部等人报销医疗待遇。特殊群体年龄大，医疗费用高，可控因素低，保障离休干部等特殊人员医疗待遇不受影响。</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用于</w:t>
      </w:r>
      <w:r>
        <w:rPr>
          <w:rFonts w:hint="eastAsia" w:eastAsia="仿宋_GB2312"/>
          <w:kern w:val="0"/>
          <w:sz w:val="32"/>
          <w:szCs w:val="32"/>
        </w:rPr>
        <w:t>县级以上离休干部、二等乙级革命伤残军人门诊、住院及床位费补助。</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及时按实际发生费用做好离休干部和二等乙级以上革命伤残军人、</w:t>
      </w:r>
      <w:r>
        <w:rPr>
          <w:rFonts w:hint="eastAsia" w:eastAsia="仿宋_GB2312"/>
          <w:kern w:val="0"/>
          <w:sz w:val="32"/>
          <w:szCs w:val="32"/>
          <w:lang w:eastAsia="zh-CN"/>
        </w:rPr>
        <w:t>高级知识分子</w:t>
      </w:r>
      <w:r>
        <w:rPr>
          <w:rFonts w:hint="eastAsia" w:eastAsia="仿宋_GB2312"/>
          <w:kern w:val="0"/>
          <w:sz w:val="32"/>
          <w:szCs w:val="32"/>
        </w:rPr>
        <w:t>、县级干部等人医疗费用报销工作</w:t>
      </w:r>
      <w:r>
        <w:rPr>
          <w:rFonts w:hint="eastAsia" w:eastAsia="仿宋_GB2312"/>
          <w:kern w:val="0"/>
          <w:sz w:val="32"/>
          <w:szCs w:val="32"/>
          <w:lang w:eastAsia="zh-CN"/>
        </w:rPr>
        <w:t>，</w:t>
      </w:r>
      <w:r>
        <w:rPr>
          <w:rFonts w:hint="eastAsia" w:eastAsia="仿宋_GB2312"/>
          <w:kern w:val="0"/>
          <w:sz w:val="32"/>
          <w:szCs w:val="32"/>
        </w:rPr>
        <w:t>确保特殊人群享有相应的医疗服务。</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按照相关人群实际发生的门诊费、住院及床位费进行补助、报销。保证专款专用。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评价申报内容与实际相符，申报目标合理可行。</w:t>
      </w:r>
    </w:p>
    <w:p>
      <w:pPr>
        <w:autoSpaceDE w:val="0"/>
        <w:autoSpaceDN w:val="0"/>
        <w:adjustRightInd w:val="0"/>
        <w:spacing w:line="600" w:lineRule="exact"/>
        <w:ind w:firstLine="640" w:firstLineChars="200"/>
        <w:jc w:val="left"/>
        <w:rPr>
          <w:rFonts w:eastAsia="仿宋_GB2312"/>
          <w:kern w:val="0"/>
          <w:sz w:val="32"/>
          <w:szCs w:val="32"/>
        </w:rPr>
      </w:pP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w:t>
      </w:r>
      <w:r>
        <w:rPr>
          <w:rFonts w:eastAsia="仿宋_GB2312"/>
          <w:kern w:val="0"/>
          <w:sz w:val="32"/>
          <w:szCs w:val="32"/>
        </w:rPr>
        <w:t>21年年初，按照项目立项依据及资金申报依据申报项目预算，区财政局同意立项并下达项目经费。</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项目资金共计600000.00元，其中区级资金600000.00元。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2021年</w:t>
      </w:r>
      <w:r>
        <w:rPr>
          <w:rFonts w:eastAsia="仿宋_GB2312"/>
          <w:kern w:val="0"/>
          <w:sz w:val="32"/>
          <w:szCs w:val="32"/>
        </w:rPr>
        <w:t>3</w:t>
      </w:r>
      <w:r>
        <w:rPr>
          <w:rFonts w:hint="eastAsia" w:eastAsia="仿宋_GB2312"/>
          <w:kern w:val="0"/>
          <w:sz w:val="32"/>
          <w:szCs w:val="32"/>
        </w:rPr>
        <w:t>月资金到位600000.00元，其中区级资金600000.00元。</w:t>
      </w:r>
      <w:r>
        <w:rPr>
          <w:rFonts w:eastAsia="仿宋_GB2312"/>
          <w:kern w:val="0"/>
          <w:sz w:val="32"/>
          <w:szCs w:val="32"/>
        </w:rPr>
        <w:t>资金到位金额与资金计划一致，资金到位率</w:t>
      </w:r>
      <w:r>
        <w:rPr>
          <w:rFonts w:hint="eastAsia" w:eastAsia="仿宋_GB2312"/>
          <w:kern w:val="0"/>
          <w:sz w:val="32"/>
          <w:szCs w:val="32"/>
        </w:rPr>
        <w:t>1</w:t>
      </w:r>
      <w:r>
        <w:rPr>
          <w:rFonts w:eastAsia="仿宋_GB2312"/>
          <w:kern w:val="0"/>
          <w:sz w:val="32"/>
          <w:szCs w:val="32"/>
        </w:rPr>
        <w:t>00%，资金到位及时。</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项目资金于</w:t>
      </w:r>
      <w:r>
        <w:rPr>
          <w:rFonts w:hint="eastAsia" w:eastAsia="仿宋_GB2312"/>
          <w:kern w:val="0"/>
          <w:sz w:val="32"/>
          <w:szCs w:val="32"/>
        </w:rPr>
        <w:t>2021年12月31日前支付3</w:t>
      </w:r>
      <w:r>
        <w:rPr>
          <w:rFonts w:eastAsia="仿宋_GB2312"/>
          <w:kern w:val="0"/>
          <w:sz w:val="32"/>
          <w:szCs w:val="32"/>
        </w:rPr>
        <w:t>18756.92元，完成预算数</w:t>
      </w:r>
      <w:r>
        <w:rPr>
          <w:rFonts w:hint="eastAsia" w:eastAsia="仿宋_GB2312"/>
          <w:kern w:val="0"/>
          <w:sz w:val="32"/>
          <w:szCs w:val="32"/>
        </w:rPr>
        <w:t>5</w:t>
      </w:r>
      <w:r>
        <w:rPr>
          <w:rFonts w:eastAsia="仿宋_GB2312"/>
          <w:kern w:val="0"/>
          <w:sz w:val="32"/>
          <w:szCs w:val="32"/>
        </w:rPr>
        <w:t>3.13%。资金按照</w:t>
      </w:r>
      <w:r>
        <w:rPr>
          <w:rFonts w:hint="eastAsia" w:eastAsia="仿宋_GB2312"/>
          <w:kern w:val="0"/>
          <w:sz w:val="32"/>
          <w:szCs w:val="32"/>
        </w:rPr>
        <w:t>2</w:t>
      </w:r>
      <w:r>
        <w:rPr>
          <w:rFonts w:eastAsia="仿宋_GB2312"/>
          <w:kern w:val="0"/>
          <w:sz w:val="32"/>
          <w:szCs w:val="32"/>
        </w:rPr>
        <w:t>021年特殊</w:t>
      </w:r>
      <w:r>
        <w:rPr>
          <w:rFonts w:hint="eastAsia" w:eastAsia="仿宋_GB2312"/>
          <w:kern w:val="0"/>
          <w:sz w:val="32"/>
          <w:szCs w:val="32"/>
        </w:rPr>
        <w:t>人群实际发生的相关费用支付，</w:t>
      </w:r>
      <w:r>
        <w:rPr>
          <w:rFonts w:eastAsia="仿宋_GB2312"/>
          <w:kern w:val="0"/>
          <w:sz w:val="32"/>
          <w:szCs w:val="32"/>
        </w:rPr>
        <w:t>资金支付范围、支付标准、支付进度、支付依据合规合法、与预算相符。</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w:t>
      </w:r>
      <w:r>
        <w:rPr>
          <w:rFonts w:eastAsia="仿宋_GB2312"/>
          <w:kern w:val="0"/>
          <w:sz w:val="32"/>
          <w:szCs w:val="32"/>
        </w:rPr>
        <w:t>枝花市仁和区医疗保障局管理制度健全，严格执行财务管理制度，账务处理及时，会计核算规范。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项目由仁和区医疗保障局负责，由仁和区医疗保障事务中心负责实施。</w:t>
      </w:r>
      <w:r>
        <w:rPr>
          <w:rFonts w:hint="eastAsia" w:eastAsia="仿宋_GB2312"/>
          <w:kern w:val="0"/>
          <w:sz w:val="32"/>
          <w:szCs w:val="32"/>
        </w:rPr>
        <w:t>确保特殊人群享有相应的医疗服务。</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按照相关法律法规及项目管理制度推进相关工作。</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制定</w:t>
      </w:r>
      <w:r>
        <w:rPr>
          <w:rFonts w:eastAsia="仿宋_GB2312"/>
          <w:kern w:val="0"/>
          <w:sz w:val="32"/>
          <w:szCs w:val="32"/>
        </w:rPr>
        <w:t>项目计划，严格按照计划开展工作，严格管理项目资金，确保项目资金使用合理、合规、合法，保障资金安全性，不定期对项目资金开展情况、进度进行检查、跟进。</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 xml:space="preserve">2021年按政策规定，对符合要求的特殊人群562人进行了费用报销，共计 </w:t>
      </w:r>
      <w:r>
        <w:rPr>
          <w:rFonts w:eastAsia="仿宋_GB2312"/>
          <w:kern w:val="0"/>
          <w:sz w:val="32"/>
          <w:szCs w:val="32"/>
        </w:rPr>
        <w:t>318756.92</w:t>
      </w:r>
      <w:r>
        <w:rPr>
          <w:rFonts w:hint="eastAsia" w:eastAsia="仿宋_GB2312"/>
          <w:kern w:val="0"/>
          <w:sz w:val="32"/>
          <w:szCs w:val="32"/>
        </w:rPr>
        <w:t xml:space="preserve"> ，完成预算数53.13%。项目资金未支付完的原因为需按实际产生费用进行支付。及时按实际发生费用做好了离休干部和二等乙级以上革命伤残军人、</w:t>
      </w:r>
      <w:r>
        <w:rPr>
          <w:rFonts w:hint="eastAsia" w:eastAsia="仿宋_GB2312"/>
          <w:kern w:val="0"/>
          <w:sz w:val="32"/>
          <w:szCs w:val="32"/>
          <w:lang w:eastAsia="zh-CN"/>
        </w:rPr>
        <w:t>高级知识分子</w:t>
      </w:r>
      <w:r>
        <w:rPr>
          <w:rFonts w:hint="eastAsia" w:eastAsia="仿宋_GB2312"/>
          <w:kern w:val="0"/>
          <w:sz w:val="32"/>
          <w:szCs w:val="32"/>
        </w:rPr>
        <w:t>、县级干部等人医疗费用报销工作</w:t>
      </w:r>
      <w:r>
        <w:rPr>
          <w:rFonts w:hint="eastAsia" w:eastAsia="仿宋_GB2312"/>
          <w:kern w:val="0"/>
          <w:sz w:val="32"/>
          <w:szCs w:val="32"/>
          <w:lang w:eastAsia="zh-CN"/>
        </w:rPr>
        <w:t>，</w:t>
      </w:r>
      <w:r>
        <w:rPr>
          <w:rFonts w:hint="eastAsia" w:eastAsia="仿宋_GB2312"/>
          <w:kern w:val="0"/>
          <w:sz w:val="32"/>
          <w:szCs w:val="32"/>
        </w:rPr>
        <w:t>确保特殊人群享有相应的医疗服务。该项目已于2021年12月31日前完成。</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社会效益：</w:t>
      </w:r>
      <w:r>
        <w:rPr>
          <w:rFonts w:hint="eastAsia" w:eastAsia="仿宋_GB2312"/>
          <w:kern w:val="0"/>
          <w:sz w:val="32"/>
          <w:szCs w:val="32"/>
        </w:rPr>
        <w:t>保证了革命伤残军人等特殊人员按规定政策享受医疗待遇，维护了社会稳定。被服务对象满意度≥90%</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通</w:t>
      </w:r>
      <w:r>
        <w:rPr>
          <w:rFonts w:eastAsia="仿宋_GB2312"/>
          <w:kern w:val="0"/>
          <w:sz w:val="32"/>
          <w:szCs w:val="32"/>
        </w:rPr>
        <w:t>过项目的实施</w:t>
      </w:r>
      <w:r>
        <w:rPr>
          <w:rFonts w:hint="eastAsia" w:eastAsia="仿宋_GB2312"/>
          <w:kern w:val="0"/>
          <w:sz w:val="32"/>
          <w:szCs w:val="32"/>
        </w:rPr>
        <w:t>保证了革命伤残军人等特殊人员按规定政策享受医疗待遇，维护了社会稳定</w:t>
      </w:r>
      <w:r>
        <w:rPr>
          <w:rFonts w:eastAsia="仿宋_GB2312"/>
          <w:kern w:val="0"/>
          <w:sz w:val="32"/>
          <w:szCs w:val="32"/>
        </w:rPr>
        <w:t>，达到了预期效果。</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r>
        <w:rPr>
          <w:rFonts w:eastAsia="仿宋_GB2312"/>
          <w:kern w:val="0"/>
          <w:sz w:val="32"/>
          <w:szCs w:val="32"/>
        </w:rPr>
        <w:t>。</w:t>
      </w:r>
    </w:p>
    <w:tbl>
      <w:tblPr>
        <w:tblStyle w:val="12"/>
        <w:tblW w:w="0" w:type="auto"/>
        <w:jc w:val="center"/>
        <w:tblLayout w:type="fixed"/>
        <w:tblCellMar>
          <w:top w:w="0" w:type="dxa"/>
          <w:left w:w="108" w:type="dxa"/>
          <w:bottom w:w="0" w:type="dxa"/>
          <w:right w:w="108" w:type="dxa"/>
        </w:tblCellMar>
      </w:tblPr>
      <w:tblGrid>
        <w:gridCol w:w="1976"/>
        <w:gridCol w:w="1142"/>
        <w:gridCol w:w="1635"/>
        <w:gridCol w:w="1189"/>
        <w:gridCol w:w="1224"/>
        <w:gridCol w:w="2409"/>
        <w:gridCol w:w="10"/>
        <w:gridCol w:w="229"/>
        <w:gridCol w:w="10"/>
      </w:tblGrid>
      <w:tr>
        <w:tblPrEx>
          <w:tblCellMar>
            <w:top w:w="0" w:type="dxa"/>
            <w:left w:w="108" w:type="dxa"/>
            <w:bottom w:w="0" w:type="dxa"/>
            <w:right w:w="108" w:type="dxa"/>
          </w:tblCellMar>
        </w:tblPrEx>
        <w:trPr>
          <w:gridAfter w:val="1"/>
          <w:wAfter w:w="10" w:type="dxa"/>
          <w:trHeight w:val="675" w:hRule="atLeast"/>
          <w:jc w:val="center"/>
        </w:trPr>
        <w:tc>
          <w:tcPr>
            <w:tcW w:w="9575" w:type="dxa"/>
            <w:gridSpan w:val="6"/>
            <w:shd w:val="clear" w:color="auto" w:fill="auto"/>
            <w:vAlign w:val="center"/>
          </w:tcPr>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县级以上离休干部、二等乙级革命伤残军人医疗费项目绩效目标自评</w:t>
            </w:r>
          </w:p>
        </w:tc>
        <w:tc>
          <w:tcPr>
            <w:tcW w:w="239" w:type="dxa"/>
            <w:gridSpan w:val="2"/>
            <w:shd w:val="clear" w:color="auto" w:fill="auto"/>
            <w:vAlign w:val="center"/>
          </w:tcPr>
          <w:p>
            <w:pPr>
              <w:widowControl/>
              <w:snapToGrid w:val="0"/>
              <w:jc w:val="center"/>
              <w:textAlignment w:val="center"/>
              <w:rPr>
                <w:rFonts w:ascii="宋体" w:hAnsi="宋体" w:cs="宋体"/>
                <w:b/>
                <w:kern w:val="0"/>
                <w:sz w:val="32"/>
                <w:szCs w:val="32"/>
              </w:rPr>
            </w:pPr>
          </w:p>
        </w:tc>
      </w:tr>
      <w:tr>
        <w:tblPrEx>
          <w:tblCellMar>
            <w:top w:w="0" w:type="dxa"/>
            <w:left w:w="0" w:type="dxa"/>
            <w:bottom w:w="0" w:type="dxa"/>
            <w:right w:w="0"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攀枝花市仁和区医疗保障局</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项目预算</w:t>
            </w:r>
            <w:r>
              <w:rPr>
                <w:rFonts w:ascii="宋体" w:hAnsi="宋体" w:cs="宋体"/>
                <w:kern w:val="0"/>
                <w:sz w:val="24"/>
              </w:rPr>
              <w:br w:type="textWrapping"/>
            </w:r>
            <w:r>
              <w:rPr>
                <w:rFonts w:hint="eastAsia" w:ascii="宋体" w:hAnsi="宋体" w:cs="宋体"/>
                <w:kern w:val="0"/>
                <w:sz w:val="24"/>
              </w:rPr>
              <w:t>执行情况</w:t>
            </w:r>
            <w:r>
              <w:rPr>
                <w:rFonts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执行数：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31.88</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60</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31.88</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年度总体目标</w:t>
            </w:r>
          </w:p>
          <w:p>
            <w:pPr>
              <w:widowControl/>
              <w:spacing w:line="320" w:lineRule="exact"/>
              <w:jc w:val="center"/>
              <w:textAlignment w:val="cente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预期目标</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目标实际完成情况</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对2021年全区离休干部和二等乙级以上革命伤残军人、</w:t>
            </w:r>
            <w:r>
              <w:rPr>
                <w:rFonts w:hint="eastAsia" w:ascii="宋体" w:hAnsi="宋体" w:cs="宋体"/>
                <w:sz w:val="24"/>
                <w:lang w:eastAsia="zh-CN"/>
              </w:rPr>
              <w:t>高级知识分子</w:t>
            </w:r>
            <w:r>
              <w:rPr>
                <w:rFonts w:hint="eastAsia" w:ascii="宋体" w:hAnsi="宋体" w:cs="宋体"/>
                <w:sz w:val="24"/>
              </w:rPr>
              <w:t>、县级干部等人按规定政策报销医疗待遇。</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已按照政策规定，对2021年全区离休干部和二等乙级以上革命伤残军人、</w:t>
            </w:r>
            <w:r>
              <w:rPr>
                <w:rFonts w:hint="eastAsia" w:ascii="宋体" w:hAnsi="宋体" w:cs="宋体"/>
                <w:sz w:val="24"/>
                <w:lang w:eastAsia="zh-CN"/>
              </w:rPr>
              <w:t>高级知识分子</w:t>
            </w:r>
            <w:r>
              <w:rPr>
                <w:rFonts w:hint="eastAsia" w:ascii="宋体" w:hAnsi="宋体" w:cs="宋体"/>
                <w:sz w:val="24"/>
              </w:rPr>
              <w:t>、县级干部等人实际发生的医疗费用按规定政策报销医疗待遇。</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一级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二级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三级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预期指标值</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实际完成指标值</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i/>
                <w:kern w:val="0"/>
                <w:sz w:val="28"/>
                <w:szCs w:val="28"/>
              </w:rPr>
              <w:t>完</w:t>
            </w:r>
            <w:r>
              <w:rPr>
                <w:rFonts w:hint="eastAsia" w:ascii="仿宋_GB2312" w:hAnsi="仿宋_GB2312" w:eastAsia="仿宋_GB2312" w:cs="仿宋_GB2312"/>
                <w:kern w:val="0"/>
                <w:sz w:val="28"/>
                <w:szCs w:val="28"/>
              </w:rPr>
              <w:t>成</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符合要求特殊群体</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2021年实际报销数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562人</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auto"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auto"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auto"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确保特殊群体按政策享受医疗待遇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及时按实际发生费用做好离休干部和二等乙级以上革命伤残军人、</w:t>
            </w:r>
            <w:r>
              <w:rPr>
                <w:rFonts w:hint="eastAsia" w:ascii="宋体" w:hAnsi="宋体" w:cs="宋体"/>
                <w:sz w:val="24"/>
                <w:lang w:eastAsia="zh-CN"/>
              </w:rPr>
              <w:t>高级知识分子</w:t>
            </w:r>
            <w:r>
              <w:rPr>
                <w:rFonts w:hint="eastAsia" w:ascii="宋体" w:hAnsi="宋体" w:cs="宋体"/>
                <w:sz w:val="24"/>
              </w:rPr>
              <w:t>、县级干部等人医疗费用报销工作</w:t>
            </w:r>
            <w:r>
              <w:rPr>
                <w:rFonts w:hint="eastAsia" w:ascii="宋体" w:hAnsi="宋体" w:cs="宋体"/>
                <w:sz w:val="24"/>
                <w:lang w:eastAsia="zh-CN"/>
              </w:rPr>
              <w:t>，</w:t>
            </w:r>
            <w:r>
              <w:rPr>
                <w:rFonts w:hint="eastAsia" w:ascii="宋体" w:hAnsi="宋体" w:cs="宋体"/>
                <w:sz w:val="24"/>
              </w:rPr>
              <w:t>确保特殊人群享有相应的医疗服务</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特殊群体医疗费用报销</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t xml:space="preserve"> </w:t>
            </w:r>
            <w:r>
              <w:rPr>
                <w:rFonts w:ascii="宋体" w:hAnsi="宋体" w:cs="宋体"/>
                <w:sz w:val="24"/>
              </w:rPr>
              <w:t>60万元</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31.88万元</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确保特殊人群享有相应的医疗服务，维护社会稳定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保证革命伤残军人等特殊人员按规定政策享受医疗待遇，</w:t>
            </w:r>
            <w:r>
              <w:rPr>
                <w:rFonts w:hint="eastAsia" w:ascii="宋体" w:hAnsi="宋体" w:cs="宋体"/>
                <w:sz w:val="24"/>
                <w:lang w:eastAsia="zh-CN"/>
              </w:rPr>
              <w:t>维护社会稳定</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77"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ind w:left="463" w:hanging="280"/>
              <w:jc w:val="left"/>
              <w:textAlignment w:val="bottom"/>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30" w:hRule="atLeast"/>
          <w:jc w:val="center"/>
        </w:trPr>
        <w:tc>
          <w:tcPr>
            <w:tcW w:w="1976" w:type="dxa"/>
            <w:vMerge w:val="continue"/>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满意度</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抽样调查满意度达到90%以上。</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bl>
    <w:p>
      <w:pPr>
        <w:pStyle w:val="5"/>
        <w:spacing w:line="600" w:lineRule="exact"/>
        <w:ind w:firstLine="1800" w:firstLineChars="500"/>
        <w:rPr>
          <w:rFonts w:ascii="方正小标宋_GBK" w:hAnsi="黑体" w:eastAsia="方正小标宋_GBK" w:cs="黑体"/>
          <w:sz w:val="36"/>
          <w:szCs w:val="36"/>
        </w:rPr>
      </w:pPr>
      <w:r>
        <w:rPr>
          <w:rFonts w:hint="eastAsia" w:ascii="方正小标宋_GBK" w:hAnsi="黑体" w:eastAsia="方正小标宋_GBK" w:cs="黑体"/>
          <w:sz w:val="36"/>
          <w:szCs w:val="36"/>
        </w:rPr>
        <w:t>攀枝花市仁和区医疗保障局</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（建国初期参加革命工作老干部医疗补助费）</w:t>
      </w:r>
    </w:p>
    <w:p>
      <w:pPr>
        <w:autoSpaceDE w:val="0"/>
        <w:autoSpaceDN w:val="0"/>
        <w:adjustRightInd w:val="0"/>
        <w:spacing w:line="600" w:lineRule="exact"/>
        <w:ind w:firstLine="640" w:firstLineChars="200"/>
        <w:jc w:val="left"/>
        <w:rPr>
          <w:rFonts w:eastAsia="黑体"/>
          <w:kern w:val="0"/>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攀枝花市仁和区医疗保障局</w:t>
      </w:r>
      <w:r>
        <w:rPr>
          <w:rFonts w:hint="eastAsia" w:eastAsia="仿宋_GB2312"/>
          <w:kern w:val="0"/>
          <w:sz w:val="32"/>
          <w:szCs w:val="32"/>
        </w:rPr>
        <w:t>对</w:t>
      </w:r>
      <w:r>
        <w:rPr>
          <w:rFonts w:eastAsia="仿宋_GB2312"/>
          <w:kern w:val="0"/>
          <w:sz w:val="32"/>
          <w:szCs w:val="32"/>
        </w:rPr>
        <w:t>开展的项目进行前期调查、收集并整理好有关资料，制定项目目标及项目计划，把握好项目执行中的问题、风险和变化，保障项目的顺利执行。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立项依据：《关于对区级单位建国初期参加革命工作的部份退休干部级予适当医疗照顾的通知》（攀仁委组【2014】88号）、《关于对市级单位建国初期参加革命工作的部分退休干部给予适当医疗照顾的通知》（攀组发</w:t>
      </w:r>
      <w:r>
        <w:rPr>
          <w:rFonts w:hint="eastAsia" w:eastAsia="仿宋_GB2312"/>
          <w:kern w:val="0"/>
          <w:sz w:val="32"/>
          <w:szCs w:val="32"/>
          <w:lang w:eastAsia="zh-CN"/>
        </w:rPr>
        <w:t>〔</w:t>
      </w:r>
      <w:r>
        <w:rPr>
          <w:rFonts w:hint="eastAsia" w:eastAsia="仿宋_GB2312"/>
          <w:kern w:val="0"/>
          <w:sz w:val="32"/>
          <w:szCs w:val="32"/>
        </w:rPr>
        <w:t>2014</w:t>
      </w:r>
      <w:r>
        <w:rPr>
          <w:rFonts w:hint="eastAsia" w:eastAsia="仿宋_GB2312"/>
          <w:kern w:val="0"/>
          <w:sz w:val="32"/>
          <w:szCs w:val="32"/>
          <w:lang w:eastAsia="zh-CN"/>
        </w:rPr>
        <w:t>〕</w:t>
      </w:r>
      <w:r>
        <w:rPr>
          <w:rFonts w:hint="eastAsia" w:eastAsia="仿宋_GB2312"/>
          <w:kern w:val="0"/>
          <w:sz w:val="32"/>
          <w:szCs w:val="32"/>
        </w:rPr>
        <w:t>8号）。资金申报依据：按文件要求于2021年年初通过预算申报项目资金。</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对区级各单位1949年10月1日至1950年6月30日期间参加革命工作的部分退休干部给予适当医疗照顾。仁和区现有建国初期老干部7人，为其提供住院、门诊及特殊困难补助。其中门诊最高报销4000元/人。</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按人补助门诊费，按需报销住院费。</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对区级各单位1949年10月1日至1950年6月30日期间参加革命工作的部分退休干部给予适当医疗照顾。仁和区现有建国初期老干部7人，为其提供住院、门诊及特殊困难补助。保证医疗补助到位，进一步关心和照顾建国初期参加革命工作的退休干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按照政策要求，对全区建国初期参加革命工作老干部报销门诊费、住院费及特殊困难补助。分上半年、下半年给予老干部门诊补助。</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评价申报内容与实际相符，申报目标合理可行。</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w:t>
      </w:r>
      <w:r>
        <w:rPr>
          <w:rFonts w:eastAsia="仿宋_GB2312"/>
          <w:kern w:val="0"/>
          <w:sz w:val="32"/>
          <w:szCs w:val="32"/>
        </w:rPr>
        <w:t>21年年初，按照项目立项依据及资金申报依据申报项目预算，区财政局同意立项并下达项目经费。</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项目预算资金</w:t>
      </w:r>
      <w:r>
        <w:rPr>
          <w:rFonts w:eastAsia="仿宋_GB2312"/>
          <w:kern w:val="0"/>
          <w:sz w:val="32"/>
          <w:szCs w:val="32"/>
        </w:rPr>
        <w:t>80000.00元，其中区级资金</w:t>
      </w:r>
      <w:r>
        <w:rPr>
          <w:rFonts w:hint="eastAsia" w:eastAsia="仿宋_GB2312"/>
          <w:kern w:val="0"/>
          <w:sz w:val="32"/>
          <w:szCs w:val="32"/>
        </w:rPr>
        <w:t>8</w:t>
      </w:r>
      <w:r>
        <w:rPr>
          <w:rFonts w:eastAsia="仿宋_GB2312"/>
          <w:kern w:val="0"/>
          <w:sz w:val="32"/>
          <w:szCs w:val="32"/>
        </w:rPr>
        <w:t>0000.00元。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021年</w:t>
      </w:r>
      <w:r>
        <w:rPr>
          <w:rFonts w:hint="eastAsia" w:eastAsia="仿宋_GB2312"/>
          <w:kern w:val="0"/>
          <w:sz w:val="32"/>
          <w:szCs w:val="32"/>
        </w:rPr>
        <w:t>3月下达资金8</w:t>
      </w:r>
      <w:r>
        <w:rPr>
          <w:rFonts w:eastAsia="仿宋_GB2312"/>
          <w:kern w:val="0"/>
          <w:sz w:val="32"/>
          <w:szCs w:val="32"/>
        </w:rPr>
        <w:t>0000.00元，其中区级资金</w:t>
      </w:r>
      <w:r>
        <w:rPr>
          <w:rFonts w:hint="eastAsia" w:eastAsia="仿宋_GB2312"/>
          <w:kern w:val="0"/>
          <w:sz w:val="32"/>
          <w:szCs w:val="32"/>
        </w:rPr>
        <w:t>8</w:t>
      </w:r>
      <w:r>
        <w:rPr>
          <w:rFonts w:eastAsia="仿宋_GB2312"/>
          <w:kern w:val="0"/>
          <w:sz w:val="32"/>
          <w:szCs w:val="32"/>
        </w:rPr>
        <w:t>0000.00元，</w:t>
      </w:r>
      <w:r>
        <w:rPr>
          <w:rFonts w:hint="eastAsia" w:eastAsia="仿宋_GB2312"/>
          <w:kern w:val="0"/>
          <w:sz w:val="32"/>
          <w:szCs w:val="32"/>
        </w:rPr>
        <w:t>资金到位金额与资金计划一致。资金到位率1</w:t>
      </w:r>
      <w:r>
        <w:rPr>
          <w:rFonts w:eastAsia="仿宋_GB2312"/>
          <w:kern w:val="0"/>
          <w:sz w:val="32"/>
          <w:szCs w:val="32"/>
        </w:rPr>
        <w:t>00%，资金到位及时。</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项目资金于</w:t>
      </w:r>
      <w:r>
        <w:rPr>
          <w:rFonts w:hint="eastAsia" w:eastAsia="仿宋_GB2312"/>
          <w:kern w:val="0"/>
          <w:sz w:val="32"/>
          <w:szCs w:val="32"/>
        </w:rPr>
        <w:t>2021年12月31日前支付2</w:t>
      </w:r>
      <w:r>
        <w:rPr>
          <w:rFonts w:eastAsia="仿宋_GB2312"/>
          <w:kern w:val="0"/>
          <w:sz w:val="32"/>
          <w:szCs w:val="32"/>
        </w:rPr>
        <w:t>2000.00元</w:t>
      </w:r>
      <w:r>
        <w:rPr>
          <w:rFonts w:hint="eastAsia" w:eastAsia="仿宋_GB2312"/>
          <w:kern w:val="0"/>
          <w:sz w:val="32"/>
          <w:szCs w:val="32"/>
        </w:rPr>
        <w:t>，完成预算数2</w:t>
      </w:r>
      <w:r>
        <w:rPr>
          <w:rFonts w:eastAsia="仿宋_GB2312"/>
          <w:kern w:val="0"/>
          <w:sz w:val="32"/>
          <w:szCs w:val="32"/>
        </w:rPr>
        <w:t>7.5%，资金支付范围、支付标准、支付进度、支付依据合规合法、与预算相符。</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w:t>
      </w:r>
      <w:r>
        <w:rPr>
          <w:rFonts w:eastAsia="仿宋_GB2312"/>
          <w:kern w:val="0"/>
          <w:sz w:val="32"/>
          <w:szCs w:val="32"/>
        </w:rPr>
        <w:t>枝花市仁和区医疗保障局管理制度健全，严格执行财务管理制度，账务处理及时，会计核算规范。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pPr>
        <w:autoSpaceDE w:val="0"/>
        <w:autoSpaceDN w:val="0"/>
        <w:adjustRightInd w:val="0"/>
        <w:spacing w:line="600" w:lineRule="exact"/>
        <w:ind w:firstLine="640" w:firstLineChars="200"/>
        <w:jc w:val="left"/>
        <w:rPr>
          <w:rFonts w:eastAsia="楷体_GB2312"/>
          <w:kern w:val="0"/>
          <w:sz w:val="32"/>
          <w:szCs w:val="32"/>
        </w:rPr>
      </w:pPr>
      <w:r>
        <w:rPr>
          <w:rFonts w:eastAsia="仿宋_GB2312"/>
          <w:kern w:val="0"/>
          <w:sz w:val="32"/>
          <w:szCs w:val="32"/>
        </w:rPr>
        <w:t>项目由仁和区医疗保障局负责，由仁和区医疗保障事务中心负责实施。对老干部门诊及住院费进行补助、报销。</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hint="eastAsia" w:eastAsia="仿宋_GB2312"/>
          <w:kern w:val="0"/>
          <w:sz w:val="32"/>
          <w:szCs w:val="32"/>
          <w:lang w:val="en-US" w:eastAsia="zh-CN"/>
        </w:rPr>
      </w:pPr>
      <w:r>
        <w:rPr>
          <w:rFonts w:eastAsia="仿宋_GB2312"/>
          <w:kern w:val="0"/>
          <w:sz w:val="32"/>
          <w:szCs w:val="32"/>
        </w:rPr>
        <w:t>本项目的实施严格执行相关财经法律法规和其他规章制度，项目实施严格遵照实施方案进行</w:t>
      </w:r>
      <w:r>
        <w:rPr>
          <w:rFonts w:hint="eastAsia" w:eastAsia="仿宋_GB2312"/>
          <w:kern w:val="0"/>
          <w:sz w:val="32"/>
          <w:szCs w:val="32"/>
          <w:lang w:eastAsia="zh-CN"/>
        </w:rPr>
        <w:t>。</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制定</w:t>
      </w:r>
      <w:r>
        <w:rPr>
          <w:rFonts w:eastAsia="仿宋_GB2312"/>
          <w:kern w:val="0"/>
          <w:sz w:val="32"/>
          <w:szCs w:val="32"/>
        </w:rPr>
        <w:t>项目计划，严格按照计划开展工作，严格管理项目资金，确保项目资金使用合理、合规、合法，保障资金安全性，不定期对项目资金开展情况、进度进行检查、跟进。</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021年上半年为</w:t>
      </w:r>
      <w:r>
        <w:rPr>
          <w:rFonts w:hint="eastAsia" w:eastAsia="仿宋_GB2312"/>
          <w:kern w:val="0"/>
          <w:sz w:val="32"/>
          <w:szCs w:val="32"/>
        </w:rPr>
        <w:t>6名老干部，下半年为5名老干部，按人均2</w:t>
      </w:r>
      <w:r>
        <w:rPr>
          <w:rFonts w:eastAsia="仿宋_GB2312"/>
          <w:kern w:val="0"/>
          <w:sz w:val="32"/>
          <w:szCs w:val="32"/>
        </w:rPr>
        <w:t>000.00元</w:t>
      </w:r>
      <w:r>
        <w:rPr>
          <w:rFonts w:hint="eastAsia" w:eastAsia="仿宋_GB2312"/>
          <w:kern w:val="0"/>
          <w:sz w:val="32"/>
          <w:szCs w:val="32"/>
        </w:rPr>
        <w:t xml:space="preserve"> </w:t>
      </w:r>
      <w:r>
        <w:rPr>
          <w:rFonts w:eastAsia="仿宋_GB2312"/>
          <w:kern w:val="0"/>
          <w:sz w:val="32"/>
          <w:szCs w:val="32"/>
        </w:rPr>
        <w:t>/半年的标准</w:t>
      </w:r>
      <w:r>
        <w:rPr>
          <w:rFonts w:hint="eastAsia" w:eastAsia="仿宋_GB2312"/>
          <w:kern w:val="0"/>
          <w:sz w:val="32"/>
          <w:szCs w:val="32"/>
        </w:rPr>
        <w:t>支付了门诊费补助，共计支付费用2</w:t>
      </w:r>
      <w:r>
        <w:rPr>
          <w:rFonts w:eastAsia="仿宋_GB2312"/>
          <w:kern w:val="0"/>
          <w:sz w:val="32"/>
          <w:szCs w:val="32"/>
        </w:rPr>
        <w:t>2000.00元，</w:t>
      </w:r>
      <w:r>
        <w:rPr>
          <w:rFonts w:hint="eastAsia" w:eastAsia="仿宋_GB2312"/>
          <w:kern w:val="0"/>
          <w:sz w:val="32"/>
          <w:szCs w:val="32"/>
        </w:rPr>
        <w:t>保障了老干部的应享受的医疗待遇。于2021年12月31日前支付完毕，完成</w:t>
      </w:r>
      <w:r>
        <w:rPr>
          <w:rFonts w:hint="eastAsia" w:eastAsia="仿宋_GB2312"/>
          <w:kern w:val="0"/>
          <w:sz w:val="32"/>
          <w:szCs w:val="32"/>
          <w:lang w:val="en-US" w:eastAsia="zh-CN"/>
        </w:rPr>
        <w:t>了</w:t>
      </w:r>
      <w:r>
        <w:rPr>
          <w:rFonts w:hint="eastAsia" w:eastAsia="仿宋_GB2312"/>
          <w:kern w:val="0"/>
          <w:sz w:val="32"/>
          <w:szCs w:val="32"/>
        </w:rPr>
        <w:t>该项目。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社会效益：</w:t>
      </w:r>
      <w:r>
        <w:rPr>
          <w:rFonts w:hint="eastAsia" w:eastAsia="仿宋_GB2312"/>
          <w:kern w:val="0"/>
          <w:sz w:val="32"/>
          <w:szCs w:val="32"/>
        </w:rPr>
        <w:t>进一步关心和照顾建国初期参加革命工作的退休干部</w:t>
      </w:r>
      <w:r>
        <w:rPr>
          <w:rFonts w:hint="eastAsia" w:eastAsia="仿宋_GB2312"/>
          <w:kern w:val="0"/>
          <w:sz w:val="32"/>
          <w:szCs w:val="32"/>
          <w:lang w:eastAsia="zh-CN"/>
        </w:rPr>
        <w:t>，</w:t>
      </w:r>
      <w:r>
        <w:rPr>
          <w:rFonts w:hint="eastAsia" w:eastAsia="仿宋_GB2312"/>
          <w:kern w:val="0"/>
          <w:sz w:val="32"/>
          <w:szCs w:val="32"/>
        </w:rPr>
        <w:t>让参保人员按政策规定报销医疗待遇。被服务对象满意度≥90%。</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楷体_GB2312"/>
          <w:kern w:val="0"/>
          <w:sz w:val="32"/>
          <w:szCs w:val="32"/>
        </w:rPr>
      </w:pPr>
      <w:r>
        <w:rPr>
          <w:rFonts w:hint="eastAsia" w:eastAsia="楷体_GB2312"/>
          <w:kern w:val="0"/>
          <w:sz w:val="32"/>
          <w:szCs w:val="32"/>
        </w:rPr>
        <w:t>该项目的实施对建国初期老干部提供住院、门诊及特殊困难补助，保障了老干部应享受的医疗待遇，进一步关心和照顾建国初期参加革命工作的退休干部，项目达到预算效果。</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pPr>
        <w:spacing w:line="600" w:lineRule="exact"/>
        <w:jc w:val="center"/>
        <w:rPr>
          <w:rFonts w:ascii="黑体" w:hAnsi="黑体" w:eastAsia="黑体" w:cs="黑体"/>
          <w:color w:val="000000"/>
          <w:sz w:val="44"/>
          <w:szCs w:val="44"/>
        </w:rPr>
      </w:pPr>
    </w:p>
    <w:tbl>
      <w:tblPr>
        <w:tblStyle w:val="12"/>
        <w:tblW w:w="9824" w:type="dxa"/>
        <w:jc w:val="center"/>
        <w:tblLayout w:type="fixed"/>
        <w:tblCellMar>
          <w:top w:w="0" w:type="dxa"/>
          <w:left w:w="108" w:type="dxa"/>
          <w:bottom w:w="0" w:type="dxa"/>
          <w:right w:w="108" w:type="dxa"/>
        </w:tblCellMar>
      </w:tblPr>
      <w:tblGrid>
        <w:gridCol w:w="1468"/>
        <w:gridCol w:w="1650"/>
        <w:gridCol w:w="1635"/>
        <w:gridCol w:w="1189"/>
        <w:gridCol w:w="1224"/>
        <w:gridCol w:w="2409"/>
        <w:gridCol w:w="10"/>
        <w:gridCol w:w="229"/>
        <w:gridCol w:w="10"/>
      </w:tblGrid>
      <w:tr>
        <w:tblPrEx>
          <w:tblCellMar>
            <w:top w:w="0" w:type="dxa"/>
            <w:left w:w="108" w:type="dxa"/>
            <w:bottom w:w="0" w:type="dxa"/>
            <w:right w:w="108" w:type="dxa"/>
          </w:tblCellMar>
        </w:tblPrEx>
        <w:trPr>
          <w:gridAfter w:val="1"/>
          <w:wAfter w:w="10" w:type="dxa"/>
          <w:trHeight w:val="675" w:hRule="atLeast"/>
          <w:jc w:val="center"/>
        </w:trPr>
        <w:tc>
          <w:tcPr>
            <w:tcW w:w="9575" w:type="dxa"/>
            <w:gridSpan w:val="6"/>
            <w:shd w:val="clear" w:color="auto" w:fill="auto"/>
            <w:vAlign w:val="center"/>
          </w:tcPr>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建国初期参加革命工作老干部医疗补助费项目绩效目标自评</w:t>
            </w:r>
          </w:p>
        </w:tc>
        <w:tc>
          <w:tcPr>
            <w:tcW w:w="239" w:type="dxa"/>
            <w:gridSpan w:val="2"/>
            <w:shd w:val="clear" w:color="auto" w:fill="auto"/>
            <w:vAlign w:val="center"/>
          </w:tcPr>
          <w:p>
            <w:pPr>
              <w:widowControl/>
              <w:snapToGrid w:val="0"/>
              <w:jc w:val="center"/>
              <w:textAlignment w:val="center"/>
              <w:rPr>
                <w:rFonts w:ascii="宋体" w:hAnsi="宋体" w:cs="宋体"/>
                <w:b/>
                <w:kern w:val="0"/>
                <w:sz w:val="32"/>
                <w:szCs w:val="32"/>
              </w:rPr>
            </w:pPr>
          </w:p>
        </w:tc>
      </w:tr>
      <w:tr>
        <w:tblPrEx>
          <w:tblCellMar>
            <w:top w:w="0" w:type="dxa"/>
            <w:left w:w="0" w:type="dxa"/>
            <w:bottom w:w="0" w:type="dxa"/>
            <w:right w:w="0"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攀枝花市仁和区医疗保障局</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项目预算</w:t>
            </w:r>
            <w:r>
              <w:rPr>
                <w:rFonts w:ascii="宋体" w:hAnsi="宋体" w:cs="宋体"/>
                <w:kern w:val="0"/>
                <w:sz w:val="24"/>
              </w:rPr>
              <w:br w:type="textWrapping"/>
            </w:r>
            <w:r>
              <w:rPr>
                <w:rFonts w:hint="eastAsia" w:ascii="宋体" w:hAnsi="宋体" w:cs="宋体"/>
                <w:kern w:val="0"/>
                <w:sz w:val="24"/>
              </w:rPr>
              <w:t>执行情况</w:t>
            </w:r>
            <w:r>
              <w:rPr>
                <w:rFonts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执行数：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2.2</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2.2</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217" w:hRule="atLeast"/>
          <w:jc w:val="center"/>
        </w:trPr>
        <w:tc>
          <w:tcPr>
            <w:tcW w:w="1468"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年度总体目标</w:t>
            </w:r>
          </w:p>
          <w:p>
            <w:pPr>
              <w:widowControl/>
              <w:spacing w:line="320" w:lineRule="exact"/>
              <w:jc w:val="center"/>
              <w:textAlignment w:val="center"/>
            </w:pPr>
            <w:r>
              <w:rPr>
                <w:rFonts w:hint="eastAsia" w:ascii="宋体" w:hAnsi="宋体" w:cs="宋体"/>
                <w:kern w:val="0"/>
                <w:sz w:val="24"/>
              </w:rPr>
              <w:t>完成情况</w:t>
            </w:r>
          </w:p>
        </w:tc>
        <w:tc>
          <w:tcPr>
            <w:tcW w:w="447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预期目标</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目标实际完成情况</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797" w:hRule="atLeast"/>
          <w:jc w:val="center"/>
        </w:trPr>
        <w:tc>
          <w:tcPr>
            <w:tcW w:w="1468"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4474"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按政策规定对参加革命工作的部分退休干部报销相关政策医疗待遇。</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已按照政策规定，于2021年对参加革命工作的部分退休干部报销相关政策医疗待遇。</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693" w:hRule="atLeast"/>
          <w:jc w:val="center"/>
        </w:trPr>
        <w:tc>
          <w:tcPr>
            <w:tcW w:w="1468"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年度绩效指标完成情况</w:t>
            </w:r>
          </w:p>
        </w:tc>
        <w:tc>
          <w:tcPr>
            <w:tcW w:w="1650" w:type="dxa"/>
            <w:tcBorders>
              <w:top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一级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二级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三级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预期指标值</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实际完成指标值</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468"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i/>
                <w:kern w:val="0"/>
                <w:sz w:val="28"/>
                <w:szCs w:val="28"/>
              </w:rPr>
              <w:t>完</w:t>
            </w:r>
            <w:r>
              <w:rPr>
                <w:rFonts w:hint="eastAsia" w:ascii="仿宋_GB2312" w:hAnsi="仿宋_GB2312" w:eastAsia="仿宋_GB2312" w:cs="仿宋_GB2312"/>
                <w:kern w:val="0"/>
                <w:sz w:val="28"/>
                <w:szCs w:val="28"/>
              </w:rPr>
              <w:t>成</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给予建国初期老干部医疗补助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6人</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6人</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468"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确保医疗补助到位</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根据政策要求拨付建国初期参加革命工作老干部医疗补助经费，保证医疗补助到位，进一步关心和照顾建国初期参加革命工作的退休干部。</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468"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468"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对区级各单位1949年10月1日至1950年6月30日期间参加革命工作的部分退休干部给予适当医疗照顾。仁和区现有建国初期老干部7人，为其提供住院、门诊及特殊困难补助。其中门诊最高报销4000元/人，合计7*4000=2.8万元；对生活不能自理人员每月发给200元特殊困难补助，合计7*200*12=1.68万元；住院费用按政策报销，预计3.52万元，合计8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t xml:space="preserve"> </w:t>
            </w:r>
            <w:r>
              <w:rPr>
                <w:rFonts w:ascii="宋体" w:hAnsi="宋体" w:cs="宋体"/>
                <w:sz w:val="24"/>
              </w:rPr>
              <w:t>8万元</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实际支付6人上半年门诊费2000元/人。6*2000=12000元，因下半年一名老干部离世，下半年实际支付5人，5*2000=10000元，共计2.2万元</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468"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468"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关心和照顾建国初期参加革命工作的退休干部</w:t>
            </w:r>
            <w:r>
              <w:rPr>
                <w:rFonts w:hint="eastAsia" w:ascii="宋体" w:hAnsi="宋体" w:cs="宋体"/>
                <w:sz w:val="24"/>
                <w:lang w:eastAsia="zh-CN"/>
              </w:rPr>
              <w:t>医疗</w:t>
            </w:r>
            <w:r>
              <w:rPr>
                <w:rFonts w:hint="eastAsia" w:ascii="宋体" w:hAnsi="宋体" w:cs="宋体"/>
                <w:sz w:val="24"/>
              </w:rPr>
              <w:t>服务，维护社会稳定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hint="eastAsia" w:ascii="宋体" w:hAnsi="宋体" w:eastAsia="宋体" w:cs="宋体"/>
                <w:sz w:val="24"/>
                <w:lang w:val="en-US" w:eastAsia="zh-CN"/>
              </w:rPr>
            </w:pPr>
            <w:r>
              <w:rPr>
                <w:rFonts w:hint="eastAsia" w:ascii="宋体" w:hAnsi="宋体" w:cs="宋体"/>
                <w:sz w:val="24"/>
              </w:rPr>
              <w:t>进一步关心和照顾建国初期参加革命工作的退休干部</w:t>
            </w:r>
            <w:r>
              <w:rPr>
                <w:rFonts w:hint="eastAsia" w:ascii="宋体" w:hAnsi="宋体" w:cs="宋体"/>
                <w:sz w:val="24"/>
                <w:lang w:eastAsia="zh-CN"/>
              </w:rPr>
              <w:t>，</w:t>
            </w:r>
            <w:r>
              <w:rPr>
                <w:rFonts w:hint="eastAsia" w:ascii="宋体" w:hAnsi="宋体" w:cs="宋体"/>
                <w:sz w:val="24"/>
              </w:rPr>
              <w:t>让参保人员按政策规定报销医疗待遇员按规定政策享受医疗待遇，维护社会稳</w:t>
            </w:r>
            <w:r>
              <w:rPr>
                <w:rFonts w:hint="eastAsia" w:ascii="宋体" w:hAnsi="宋体" w:cs="宋体"/>
                <w:sz w:val="24"/>
                <w:lang w:val="en-US" w:eastAsia="zh-CN"/>
              </w:rPr>
              <w:t>定</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77" w:hRule="atLeast"/>
          <w:jc w:val="center"/>
        </w:trPr>
        <w:tc>
          <w:tcPr>
            <w:tcW w:w="1468"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ind w:left="463" w:hanging="280"/>
              <w:jc w:val="left"/>
              <w:textAlignment w:val="bottom"/>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468"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30" w:hRule="atLeast"/>
          <w:jc w:val="center"/>
        </w:trPr>
        <w:tc>
          <w:tcPr>
            <w:tcW w:w="1468"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50"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满意度</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抽样调查满意度达到90%以上。</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8356" w:type="dxa"/>
          <w:trHeight w:val="100" w:hRule="atLeast"/>
          <w:jc w:val="center"/>
        </w:trPr>
        <w:tc>
          <w:tcPr>
            <w:tcW w:w="1468" w:type="dxa"/>
            <w:tcBorders>
              <w:top w:val="single" w:color="auto" w:sz="4" w:space="0"/>
            </w:tcBorders>
          </w:tcPr>
          <w:p>
            <w:pPr>
              <w:widowControl/>
              <w:jc w:val="left"/>
            </w:pPr>
          </w:p>
        </w:tc>
      </w:tr>
    </w:tbl>
    <w:p>
      <w:pPr>
        <w:widowControl/>
        <w:jc w:val="left"/>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攀枝花市仁和区医疗</w:t>
      </w:r>
      <w:r>
        <w:rPr>
          <w:rFonts w:ascii="方正小标宋_GBK" w:hAnsi="黑体" w:eastAsia="方正小标宋_GBK" w:cs="黑体"/>
          <w:sz w:val="36"/>
          <w:szCs w:val="36"/>
        </w:rPr>
        <w:t>保障局</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（2021年国有企业退休人员社会化管理补助资金）</w:t>
      </w:r>
    </w:p>
    <w:p>
      <w:pPr>
        <w:pStyle w:val="5"/>
        <w:spacing w:line="600" w:lineRule="exact"/>
        <w:ind w:firstLine="640" w:firstLineChars="200"/>
        <w:jc w:val="center"/>
        <w:rPr>
          <w:rFonts w:ascii="仿宋_GB2312" w:hAnsi="仿宋_GB2312" w:eastAsia="仿宋_GB2312" w:cs="仿宋_GB2312"/>
          <w:sz w:val="32"/>
          <w:szCs w:val="32"/>
        </w:rPr>
      </w:pPr>
    </w:p>
    <w:p>
      <w:pPr>
        <w:pStyle w:val="5"/>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攀枝花市仁和区医疗保障局</w:t>
      </w:r>
      <w:r>
        <w:rPr>
          <w:rFonts w:hint="eastAsia" w:eastAsia="仿宋_GB2312"/>
          <w:kern w:val="0"/>
          <w:sz w:val="32"/>
          <w:szCs w:val="32"/>
        </w:rPr>
        <w:t>对</w:t>
      </w:r>
      <w:r>
        <w:rPr>
          <w:rFonts w:eastAsia="仿宋_GB2312"/>
          <w:kern w:val="0"/>
          <w:sz w:val="32"/>
          <w:szCs w:val="32"/>
        </w:rPr>
        <w:t>开展的项目进行前期调查、收集并整理好有关资料，制定项目目标及项目计划，把握好项目执行中的问题、风险和变化，保障项目的顺利执行。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hint="eastAsia" w:ascii="仿宋" w:hAnsi="仿宋" w:eastAsia="仿宋"/>
          <w:color w:val="000000"/>
          <w:sz w:val="32"/>
          <w:szCs w:val="32"/>
          <w:shd w:val="clear" w:color="auto" w:fill="FFFFFF"/>
        </w:rPr>
        <w:t>项目立项依据：《四川省国有企业退休人员社会化管理实施方案》，资金申报依据：《财政厅</w:t>
      </w:r>
      <w:r>
        <w:rPr>
          <w:color w:val="000000"/>
          <w:sz w:val="32"/>
          <w:szCs w:val="32"/>
          <w:shd w:val="clear" w:color="auto" w:fill="FFFFFF"/>
        </w:rPr>
        <w:t> </w:t>
      </w:r>
      <w:r>
        <w:rPr>
          <w:rFonts w:hint="eastAsia" w:ascii="仿宋" w:hAnsi="仿宋" w:eastAsia="仿宋"/>
          <w:color w:val="000000"/>
          <w:sz w:val="32"/>
          <w:szCs w:val="32"/>
          <w:shd w:val="clear" w:color="auto" w:fill="FFFFFF"/>
        </w:rPr>
        <w:t>省国资委关于支持市县做好国有企业退休人员社会化管理工作的通知》，于2</w:t>
      </w:r>
      <w:r>
        <w:rPr>
          <w:rFonts w:ascii="仿宋" w:hAnsi="仿宋" w:eastAsia="仿宋"/>
          <w:color w:val="000000"/>
          <w:sz w:val="32"/>
          <w:szCs w:val="32"/>
          <w:shd w:val="clear" w:color="auto" w:fill="FFFFFF"/>
        </w:rPr>
        <w:t>021年年初通过项目预算上报财政。</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制定资金管理办法，该项目资金用于国有企业退休人员移交乡镇和社区实行社会化管理的相关工作。</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国有企业退休人员社会化管理补助资金（仁和区按280元/人标准计发）。</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集中力量将我市范围内尚未实行社会化管理的国有企业退休人员移交乡镇（街道）和社区实行社会化管理，各县（区）政府与移交企业基本完成整体移交接收协议签订；基本完成党员组织关系、人员管理关系和人事档案转接等主体任务；做好完善收尾工作。</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按项目计划开展工作，保证项目实施进度。</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评价申报内容与实际相符，申报目标合理可行。</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20</w:t>
      </w:r>
      <w:r>
        <w:rPr>
          <w:rFonts w:eastAsia="仿宋_GB2312"/>
          <w:kern w:val="0"/>
          <w:sz w:val="32"/>
          <w:szCs w:val="32"/>
        </w:rPr>
        <w:t>21年年初，按照项目立项依据及资金申报依据申报项目预算，区财政局同意立项并下达项目经费。</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项目预算资金2</w:t>
      </w:r>
      <w:r>
        <w:rPr>
          <w:rFonts w:eastAsia="仿宋_GB2312"/>
          <w:kern w:val="0"/>
          <w:sz w:val="32"/>
          <w:szCs w:val="32"/>
        </w:rPr>
        <w:t>30000.00元，其中区级资金</w:t>
      </w:r>
      <w:r>
        <w:rPr>
          <w:rFonts w:hint="eastAsia" w:eastAsia="仿宋_GB2312"/>
          <w:kern w:val="0"/>
          <w:sz w:val="32"/>
          <w:szCs w:val="32"/>
        </w:rPr>
        <w:t>2</w:t>
      </w:r>
      <w:r>
        <w:rPr>
          <w:rFonts w:eastAsia="仿宋_GB2312"/>
          <w:kern w:val="0"/>
          <w:sz w:val="32"/>
          <w:szCs w:val="32"/>
        </w:rPr>
        <w:t>30000.00元。</w:t>
      </w:r>
    </w:p>
    <w:p>
      <w:pPr>
        <w:autoSpaceDE w:val="0"/>
        <w:autoSpaceDN w:val="0"/>
        <w:adjustRightInd w:val="0"/>
        <w:spacing w:line="600" w:lineRule="exact"/>
        <w:ind w:firstLine="640" w:firstLineChars="200"/>
        <w:jc w:val="left"/>
        <w:rPr>
          <w:rFonts w:eastAsia="楷体_GB2312"/>
          <w:kern w:val="0"/>
          <w:sz w:val="32"/>
          <w:szCs w:val="32"/>
        </w:rPr>
      </w:pP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资金到位2</w:t>
      </w:r>
      <w:r>
        <w:rPr>
          <w:rFonts w:eastAsia="仿宋_GB2312"/>
          <w:kern w:val="0"/>
          <w:sz w:val="32"/>
          <w:szCs w:val="32"/>
        </w:rPr>
        <w:t>30000.00元，其中区级资金</w:t>
      </w:r>
      <w:r>
        <w:rPr>
          <w:rFonts w:hint="eastAsia" w:eastAsia="仿宋_GB2312"/>
          <w:kern w:val="0"/>
          <w:sz w:val="32"/>
          <w:szCs w:val="32"/>
        </w:rPr>
        <w:t>2</w:t>
      </w:r>
      <w:r>
        <w:rPr>
          <w:rFonts w:eastAsia="仿宋_GB2312"/>
          <w:kern w:val="0"/>
          <w:sz w:val="32"/>
          <w:szCs w:val="32"/>
        </w:rPr>
        <w:t>30000.00元，</w:t>
      </w:r>
      <w:r>
        <w:rPr>
          <w:rFonts w:hint="eastAsia" w:eastAsia="仿宋_GB2312"/>
          <w:kern w:val="0"/>
          <w:sz w:val="32"/>
          <w:szCs w:val="32"/>
        </w:rPr>
        <w:t>资金到位金额与资金计划一致。资金到位率1</w:t>
      </w:r>
      <w:r>
        <w:rPr>
          <w:rFonts w:eastAsia="仿宋_GB2312"/>
          <w:kern w:val="0"/>
          <w:sz w:val="32"/>
          <w:szCs w:val="32"/>
        </w:rPr>
        <w:t>00%，资金到位及时。</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项目于2</w:t>
      </w:r>
      <w:r>
        <w:rPr>
          <w:rFonts w:eastAsia="仿宋_GB2312"/>
          <w:kern w:val="0"/>
          <w:sz w:val="32"/>
          <w:szCs w:val="32"/>
        </w:rPr>
        <w:t>021年</w:t>
      </w:r>
      <w:r>
        <w:rPr>
          <w:rFonts w:hint="eastAsia" w:eastAsia="仿宋_GB2312"/>
          <w:kern w:val="0"/>
          <w:sz w:val="32"/>
          <w:szCs w:val="32"/>
        </w:rPr>
        <w:t>1</w:t>
      </w:r>
      <w:r>
        <w:rPr>
          <w:rFonts w:eastAsia="仿宋_GB2312"/>
          <w:kern w:val="0"/>
          <w:sz w:val="32"/>
          <w:szCs w:val="32"/>
        </w:rPr>
        <w:t>2月</w:t>
      </w:r>
      <w:r>
        <w:rPr>
          <w:rFonts w:hint="eastAsia" w:eastAsia="仿宋_GB2312"/>
          <w:kern w:val="0"/>
          <w:sz w:val="32"/>
          <w:szCs w:val="32"/>
        </w:rPr>
        <w:t>3</w:t>
      </w:r>
      <w:r>
        <w:rPr>
          <w:rFonts w:eastAsia="仿宋_GB2312"/>
          <w:kern w:val="0"/>
          <w:sz w:val="32"/>
          <w:szCs w:val="32"/>
        </w:rPr>
        <w:t>1日前支付</w:t>
      </w:r>
      <w:r>
        <w:rPr>
          <w:rFonts w:hint="eastAsia" w:eastAsia="仿宋_GB2312"/>
          <w:kern w:val="0"/>
          <w:sz w:val="32"/>
          <w:szCs w:val="32"/>
        </w:rPr>
        <w:t>2</w:t>
      </w:r>
      <w:r>
        <w:rPr>
          <w:rFonts w:eastAsia="仿宋_GB2312"/>
          <w:kern w:val="0"/>
          <w:sz w:val="32"/>
          <w:szCs w:val="32"/>
        </w:rPr>
        <w:t>30000.00元，项目资</w:t>
      </w:r>
      <w:r>
        <w:rPr>
          <w:rFonts w:hint="eastAsia" w:eastAsia="仿宋_GB2312"/>
          <w:kern w:val="0"/>
          <w:sz w:val="32"/>
          <w:szCs w:val="32"/>
        </w:rPr>
        <w:t>金全部使用完毕。完成预算数1</w:t>
      </w:r>
      <w:r>
        <w:rPr>
          <w:rFonts w:eastAsia="仿宋_GB2312"/>
          <w:kern w:val="0"/>
          <w:sz w:val="32"/>
          <w:szCs w:val="32"/>
        </w:rPr>
        <w:t>00%。资金支付范围、支付标准、支付进度、支付依据合规合法、与预算相符。</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w:t>
      </w:r>
      <w:r>
        <w:rPr>
          <w:rFonts w:eastAsia="仿宋_GB2312"/>
          <w:kern w:val="0"/>
          <w:sz w:val="32"/>
          <w:szCs w:val="32"/>
        </w:rPr>
        <w:t>枝花市仁和区医疗保障局管理制度健全，严格执行财务管理制度，账务处理及时，会计核算规范。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局长许必蓉为总负责人，综合股为具体实施部门。</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本项目的实施严格执行相关财经法律法规和其他规章制度，项目实施严格遵照实施方案进行。</w:t>
      </w:r>
    </w:p>
    <w:p>
      <w:pPr>
        <w:autoSpaceDE w:val="0"/>
        <w:autoSpaceDN w:val="0"/>
        <w:adjustRightInd w:val="0"/>
        <w:spacing w:line="600" w:lineRule="exact"/>
        <w:ind w:firstLine="640" w:firstLineChars="200"/>
        <w:jc w:val="left"/>
        <w:rPr>
          <w:rFonts w:eastAsia="仿宋_GB2312"/>
          <w:kern w:val="0"/>
          <w:sz w:val="32"/>
          <w:szCs w:val="32"/>
        </w:rPr>
      </w:pPr>
      <w:r>
        <w:rPr>
          <w:rFonts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制定</w:t>
      </w:r>
      <w:r>
        <w:rPr>
          <w:rFonts w:eastAsia="仿宋_GB2312"/>
          <w:kern w:val="0"/>
          <w:sz w:val="32"/>
          <w:szCs w:val="32"/>
        </w:rPr>
        <w:t>项目计划，严格按照计划开展工作，严格管理项目资金，确保项目资金使用合理、合规、合法，保障资金安全性，不定期对项目资金开展情况、进度进行检查、跟进。</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对符合条件的国有企业退休人员，根据移交企业与辖区政府签订的移交协议完成移交，并根据政策要求适当增减，并交由街办（社区）实行社会化管理。于2</w:t>
      </w:r>
      <w:r>
        <w:rPr>
          <w:rFonts w:eastAsia="仿宋_GB2312"/>
          <w:kern w:val="0"/>
          <w:sz w:val="32"/>
          <w:szCs w:val="32"/>
        </w:rPr>
        <w:t>021年</w:t>
      </w:r>
      <w:r>
        <w:rPr>
          <w:rFonts w:hint="eastAsia" w:eastAsia="仿宋_GB2312"/>
          <w:kern w:val="0"/>
          <w:sz w:val="32"/>
          <w:szCs w:val="32"/>
        </w:rPr>
        <w:t>1</w:t>
      </w:r>
      <w:r>
        <w:rPr>
          <w:rFonts w:eastAsia="仿宋_GB2312"/>
          <w:kern w:val="0"/>
          <w:sz w:val="32"/>
          <w:szCs w:val="32"/>
        </w:rPr>
        <w:t>2月</w:t>
      </w:r>
      <w:r>
        <w:rPr>
          <w:rFonts w:hint="eastAsia" w:eastAsia="仿宋_GB2312"/>
          <w:kern w:val="0"/>
          <w:sz w:val="32"/>
          <w:szCs w:val="32"/>
        </w:rPr>
        <w:t>3</w:t>
      </w:r>
      <w:r>
        <w:rPr>
          <w:rFonts w:eastAsia="仿宋_GB2312"/>
          <w:kern w:val="0"/>
          <w:sz w:val="32"/>
          <w:szCs w:val="32"/>
        </w:rPr>
        <w:t>1日前将该</w:t>
      </w:r>
      <w:r>
        <w:rPr>
          <w:rFonts w:hint="eastAsia" w:eastAsia="仿宋_GB2312"/>
          <w:kern w:val="0"/>
          <w:sz w:val="32"/>
          <w:szCs w:val="32"/>
        </w:rPr>
        <w:t>项目资金使用完毕，完成该项目。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社会效益：</w:t>
      </w:r>
      <w:r>
        <w:rPr>
          <w:rFonts w:hint="eastAsia" w:eastAsia="仿宋_GB2312"/>
          <w:kern w:val="0"/>
          <w:sz w:val="32"/>
          <w:szCs w:val="32"/>
        </w:rPr>
        <w:t>解决国有企业承担的社会责任，降低企业经营成本，保障了退休人员各项权益，维护社会和谐稳定。可持续影响：完成本次移交后实行常态化移交，辖区政府实行常态化管理。支持国有企业持续健康发展。被服务对象满意度≥85%。</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该</w:t>
      </w:r>
      <w:r>
        <w:rPr>
          <w:rFonts w:hint="eastAsia" w:eastAsia="仿宋_GB2312"/>
          <w:kern w:val="0"/>
          <w:sz w:val="32"/>
          <w:szCs w:val="32"/>
        </w:rPr>
        <w:t>项目的实施</w:t>
      </w:r>
      <w:r>
        <w:rPr>
          <w:rFonts w:eastAsia="仿宋_GB2312"/>
          <w:kern w:val="0"/>
          <w:sz w:val="32"/>
          <w:szCs w:val="32"/>
        </w:rPr>
        <w:t>既有助于减轻国有企业的负担，也有助于让退休人员享受更均等化的服务。</w:t>
      </w:r>
      <w:r>
        <w:rPr>
          <w:rFonts w:hint="eastAsia" w:eastAsia="仿宋_GB2312"/>
          <w:kern w:val="0"/>
          <w:sz w:val="32"/>
          <w:szCs w:val="32"/>
        </w:rPr>
        <w:t>严格按照项目进度执行，保障资金的合理支出，达到了预算的效果。</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tbl>
      <w:tblPr>
        <w:tblStyle w:val="12"/>
        <w:tblW w:w="9824" w:type="dxa"/>
        <w:jc w:val="center"/>
        <w:tblLayout w:type="fixed"/>
        <w:tblCellMar>
          <w:top w:w="0" w:type="dxa"/>
          <w:left w:w="108" w:type="dxa"/>
          <w:bottom w:w="0" w:type="dxa"/>
          <w:right w:w="108" w:type="dxa"/>
        </w:tblCellMar>
      </w:tblPr>
      <w:tblGrid>
        <w:gridCol w:w="1976"/>
        <w:gridCol w:w="1142"/>
        <w:gridCol w:w="1635"/>
        <w:gridCol w:w="1189"/>
        <w:gridCol w:w="1224"/>
        <w:gridCol w:w="2409"/>
        <w:gridCol w:w="10"/>
        <w:gridCol w:w="229"/>
        <w:gridCol w:w="10"/>
      </w:tblGrid>
      <w:tr>
        <w:tblPrEx>
          <w:tblCellMar>
            <w:top w:w="0" w:type="dxa"/>
            <w:left w:w="108" w:type="dxa"/>
            <w:bottom w:w="0" w:type="dxa"/>
            <w:right w:w="108" w:type="dxa"/>
          </w:tblCellMar>
        </w:tblPrEx>
        <w:trPr>
          <w:gridAfter w:val="1"/>
          <w:wAfter w:w="10" w:type="dxa"/>
          <w:trHeight w:val="675" w:hRule="atLeast"/>
          <w:jc w:val="center"/>
        </w:trPr>
        <w:tc>
          <w:tcPr>
            <w:tcW w:w="9575" w:type="dxa"/>
            <w:gridSpan w:val="6"/>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2021年国有企业退休人员社会化管理补助资金项目绩效目标自评</w:t>
            </w:r>
          </w:p>
        </w:tc>
        <w:tc>
          <w:tcPr>
            <w:tcW w:w="239" w:type="dxa"/>
            <w:gridSpan w:val="2"/>
            <w:shd w:val="clear" w:color="auto" w:fill="auto"/>
            <w:vAlign w:val="center"/>
          </w:tcPr>
          <w:p>
            <w:pPr>
              <w:widowControl/>
              <w:snapToGrid w:val="0"/>
              <w:jc w:val="center"/>
              <w:textAlignment w:val="center"/>
              <w:rPr>
                <w:rFonts w:ascii="宋体" w:hAnsi="宋体" w:cs="宋体"/>
                <w:b/>
                <w:kern w:val="0"/>
                <w:sz w:val="32"/>
                <w:szCs w:val="32"/>
              </w:rPr>
            </w:pPr>
          </w:p>
        </w:tc>
      </w:tr>
      <w:tr>
        <w:tblPrEx>
          <w:tblCellMar>
            <w:top w:w="0" w:type="dxa"/>
            <w:left w:w="0" w:type="dxa"/>
            <w:bottom w:w="0" w:type="dxa"/>
            <w:right w:w="0"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攀枝花市仁和区医疗保障局</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项目预算</w:t>
            </w:r>
            <w:r>
              <w:rPr>
                <w:rFonts w:ascii="宋体" w:hAnsi="宋体" w:cs="宋体"/>
                <w:kern w:val="0"/>
                <w:sz w:val="24"/>
              </w:rPr>
              <w:br w:type="textWrapping"/>
            </w:r>
            <w:r>
              <w:rPr>
                <w:rFonts w:hint="eastAsia" w:ascii="宋体" w:hAnsi="宋体" w:cs="宋体"/>
                <w:kern w:val="0"/>
                <w:sz w:val="24"/>
              </w:rPr>
              <w:t>执行情况</w:t>
            </w:r>
            <w:r>
              <w:rPr>
                <w:rFonts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23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执行数：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23</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23</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23</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年度总体目标</w:t>
            </w:r>
          </w:p>
          <w:p>
            <w:pPr>
              <w:widowControl/>
              <w:spacing w:line="320" w:lineRule="exact"/>
              <w:jc w:val="center"/>
              <w:textAlignment w:val="cente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预期目标</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目标实际完成情况</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集中力量将我市范围内尚未实行社会化管理的国有企业退休人员移交乡镇（街道）和社区实行社会化管理</w:t>
            </w:r>
            <w:r>
              <w:rPr>
                <w:rFonts w:hint="eastAsia" w:ascii="宋体" w:hAnsi="宋体" w:cs="宋体"/>
                <w:sz w:val="24"/>
                <w:lang w:eastAsia="zh-CN"/>
              </w:rPr>
              <w:t>。</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按照相关政策做好了国有企业退休人员移交乡镇和社区实行社会化管理的相关工作。</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一级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二级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三级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预期指标值</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实际完成指标值</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i/>
                <w:kern w:val="0"/>
                <w:sz w:val="28"/>
                <w:szCs w:val="28"/>
              </w:rPr>
              <w:t>完</w:t>
            </w:r>
            <w:r>
              <w:rPr>
                <w:rFonts w:hint="eastAsia" w:ascii="仿宋_GB2312" w:hAnsi="仿宋_GB2312" w:eastAsia="仿宋_GB2312" w:cs="仿宋_GB2312"/>
                <w:kern w:val="0"/>
                <w:sz w:val="28"/>
                <w:szCs w:val="28"/>
              </w:rPr>
              <w:t>成</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符合条件的国有企业退休人员</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2021年实际人数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1500" w:hRule="atLeast"/>
          <w:jc w:val="center"/>
        </w:trPr>
        <w:tc>
          <w:tcPr>
            <w:tcW w:w="1976" w:type="dxa"/>
            <w:vMerge w:val="continue"/>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质量指标</w:t>
            </w:r>
          </w:p>
        </w:tc>
        <w:tc>
          <w:tcPr>
            <w:tcW w:w="1189"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符合条件的国有企业退休人员全覆盖。</w:t>
            </w:r>
          </w:p>
        </w:tc>
        <w:tc>
          <w:tcPr>
            <w:tcW w:w="1224"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由移交企业提出申请，经辖区政府审定后完成移交，并交由街办（社区）实行社会化管理。</w:t>
            </w:r>
          </w:p>
        </w:tc>
        <w:tc>
          <w:tcPr>
            <w:tcW w:w="2419" w:type="dxa"/>
            <w:gridSpan w:val="2"/>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vMerge w:val="restart"/>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1695" w:hRule="atLeast"/>
          <w:jc w:val="center"/>
        </w:trPr>
        <w:tc>
          <w:tcPr>
            <w:tcW w:w="1976" w:type="dxa"/>
            <w:vMerge w:val="restart"/>
            <w:tcBorders>
              <w:top w:val="single" w:color="auto"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auto"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189" w:type="dxa"/>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p>
        </w:tc>
        <w:tc>
          <w:tcPr>
            <w:tcW w:w="239" w:type="dxa"/>
            <w:gridSpan w:val="2"/>
            <w:vMerge w:val="continue"/>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国有企业退休人员社会化管理补助资金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t>23</w:t>
            </w:r>
            <w:r>
              <w:rPr>
                <w:rFonts w:ascii="宋体" w:hAnsi="宋体" w:cs="宋体"/>
                <w:sz w:val="24"/>
              </w:rPr>
              <w:t>万元</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t>23</w:t>
            </w:r>
            <w:r>
              <w:rPr>
                <w:rFonts w:ascii="宋体" w:hAnsi="宋体" w:cs="宋体"/>
                <w:sz w:val="24"/>
              </w:rPr>
              <w:t>万元</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保障退休人员合法权益，维护退休职工利益，维护社会和谐稳定。</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解决国有企业承担的社会责任，降低企业经营成本，保障了退休人员各项权益。</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77"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ind w:left="463" w:hanging="280"/>
              <w:jc w:val="left"/>
              <w:textAlignment w:val="bottom"/>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完成本次移交后实行常态化移交，辖区政府实行常态化管理。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支持国有企业持续健康发展</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30" w:hRule="atLeast"/>
          <w:jc w:val="center"/>
        </w:trPr>
        <w:tc>
          <w:tcPr>
            <w:tcW w:w="1976" w:type="dxa"/>
            <w:vMerge w:val="continue"/>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满意度</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企业满意度指标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辖区内所属企业的综合满意程度，企业满意度=问卷调查平均得分/总分×100%，满意度≥85%</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bl>
    <w:p>
      <w:pPr>
        <w:widowControl/>
        <w:jc w:val="left"/>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攀枝花市仁和区医疗</w:t>
      </w:r>
      <w:r>
        <w:rPr>
          <w:rFonts w:ascii="方正小标宋_GBK" w:hAnsi="黑体" w:eastAsia="方正小标宋_GBK" w:cs="黑体"/>
          <w:sz w:val="36"/>
          <w:szCs w:val="36"/>
        </w:rPr>
        <w:t>保障局</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202</w:t>
      </w:r>
      <w:r>
        <w:rPr>
          <w:rFonts w:ascii="方正小标宋_GBK" w:hAnsi="黑体" w:eastAsia="方正小标宋_GBK" w:cs="黑体"/>
          <w:sz w:val="36"/>
          <w:szCs w:val="36"/>
        </w:rPr>
        <w:t>1</w:t>
      </w:r>
      <w:r>
        <w:rPr>
          <w:rFonts w:hint="eastAsia" w:ascii="方正小标宋_GBK" w:hAnsi="黑体" w:eastAsia="方正小标宋_GBK" w:cs="黑体"/>
          <w:sz w:val="36"/>
          <w:szCs w:val="36"/>
        </w:rPr>
        <w:t>年度部门预算项目支出绩效自评报告</w:t>
      </w:r>
    </w:p>
    <w:p>
      <w:pPr>
        <w:pStyle w:val="5"/>
        <w:spacing w:line="600" w:lineRule="exact"/>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（区级财政衔接推进乡村振兴补助资金）</w:t>
      </w:r>
    </w:p>
    <w:p>
      <w:pPr>
        <w:pStyle w:val="5"/>
        <w:spacing w:line="600" w:lineRule="exact"/>
        <w:ind w:firstLine="640" w:firstLineChars="200"/>
        <w:jc w:val="center"/>
        <w:rPr>
          <w:rFonts w:ascii="仿宋_GB2312" w:hAnsi="仿宋_GB2312" w:eastAsia="仿宋_GB2312" w:cs="仿宋_GB2312"/>
          <w:sz w:val="32"/>
          <w:szCs w:val="32"/>
        </w:rPr>
      </w:pPr>
    </w:p>
    <w:p>
      <w:pPr>
        <w:pStyle w:val="5"/>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1．说明项目主管部门（单位）在该项目管理中的职能。</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攀枝花市仁和区医疗保障局</w:t>
      </w:r>
      <w:r>
        <w:rPr>
          <w:rFonts w:hint="eastAsia" w:eastAsia="仿宋_GB2312"/>
          <w:kern w:val="0"/>
          <w:sz w:val="32"/>
          <w:szCs w:val="32"/>
        </w:rPr>
        <w:t>对</w:t>
      </w:r>
      <w:r>
        <w:rPr>
          <w:rFonts w:eastAsia="仿宋_GB2312"/>
          <w:kern w:val="0"/>
          <w:sz w:val="32"/>
          <w:szCs w:val="32"/>
        </w:rPr>
        <w:t>开展的项目进行前期调查、收集并整理好有关资料，制定项目目标及项目计划，把握好项目执行中的问题、风险和变化，保障项目的顺利执行。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2．项目立项、资金申报的依据。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项目立项依据：攀枝花市人力资源和社会保障局等5部门关于做好资助困难居民参加城乡居民医疗保险有关问题的通知（攀人社发〔2017〕488号）。资金申报的依据：按文件要求于2021年年初通过预算申报项目资金。</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制定详细的资金管理办法，</w:t>
      </w:r>
      <w:r>
        <w:rPr>
          <w:rFonts w:hint="eastAsia" w:eastAsia="仿宋_GB2312"/>
          <w:kern w:val="0"/>
          <w:sz w:val="32"/>
          <w:szCs w:val="32"/>
        </w:rPr>
        <w:t>资</w:t>
      </w:r>
      <w:r>
        <w:rPr>
          <w:rFonts w:eastAsia="仿宋_GB2312"/>
          <w:kern w:val="0"/>
          <w:sz w:val="32"/>
          <w:szCs w:val="32"/>
        </w:rPr>
        <w:t>金用于本项目的开展，</w:t>
      </w:r>
      <w:r>
        <w:rPr>
          <w:rFonts w:hint="eastAsia" w:eastAsia="仿宋_GB2312"/>
          <w:kern w:val="0"/>
          <w:sz w:val="32"/>
          <w:szCs w:val="32"/>
        </w:rPr>
        <w:t>确保建档立卡贫困人口100%参保，代缴困难群众城乡居民医保。</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4．资金分配的原则及考虑因素。</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按</w:t>
      </w:r>
      <w:r>
        <w:rPr>
          <w:rFonts w:hint="eastAsia" w:eastAsia="仿宋_GB2312"/>
          <w:kern w:val="0"/>
          <w:sz w:val="32"/>
          <w:szCs w:val="32"/>
        </w:rPr>
        <w:t>2</w:t>
      </w:r>
      <w:r>
        <w:rPr>
          <w:rFonts w:eastAsia="仿宋_GB2312"/>
          <w:kern w:val="0"/>
          <w:sz w:val="32"/>
          <w:szCs w:val="32"/>
        </w:rPr>
        <w:t>021年实际困难群众人数代缴居民医保。</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进一步做好资助困难群众参加城乡居民医保工作，确保建档立卡贫困人口100%参保，提高困难群众医疗保障水平。代缴困难群众城乡居民医保。</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2．项目应实现的具体绩效目标，包括目标的量化、细化情况以及项目实施进度计划等。</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依政策规定，按缴费标准为困难群众代缴医保费用。</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3．分析评价申报内容是否与实际相符，申报目标是否合理可行。</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评价申报内容与实际相符，申报目标合理可行。</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021年年初，按照项目立项依据及资金申报依据申报项目预算，区财政局同意立项并下达项目经费。</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1．资金计划。</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该</w:t>
      </w:r>
      <w:r>
        <w:rPr>
          <w:rFonts w:hint="eastAsia" w:eastAsia="仿宋_GB2312"/>
          <w:kern w:val="0"/>
          <w:sz w:val="32"/>
          <w:szCs w:val="32"/>
        </w:rPr>
        <w:t>项目资金共计</w:t>
      </w:r>
      <w:r>
        <w:rPr>
          <w:rFonts w:eastAsia="仿宋_GB2312"/>
          <w:kern w:val="0"/>
          <w:sz w:val="32"/>
          <w:szCs w:val="32"/>
        </w:rPr>
        <w:t>867800.00元，其中区级资金867800.00元。</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2．资金到位。</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021年</w:t>
      </w:r>
      <w:r>
        <w:rPr>
          <w:rFonts w:hint="eastAsia" w:eastAsia="仿宋_GB2312"/>
          <w:kern w:val="0"/>
          <w:sz w:val="32"/>
          <w:szCs w:val="32"/>
        </w:rPr>
        <w:t>6月，该项目资金到位8</w:t>
      </w:r>
      <w:r>
        <w:rPr>
          <w:rFonts w:eastAsia="仿宋_GB2312"/>
          <w:kern w:val="0"/>
          <w:sz w:val="32"/>
          <w:szCs w:val="32"/>
        </w:rPr>
        <w:t>67800.00，其中区级资金</w:t>
      </w:r>
      <w:r>
        <w:rPr>
          <w:rFonts w:hint="eastAsia" w:eastAsia="仿宋_GB2312"/>
          <w:kern w:val="0"/>
          <w:sz w:val="32"/>
          <w:szCs w:val="32"/>
        </w:rPr>
        <w:t>8</w:t>
      </w:r>
      <w:r>
        <w:rPr>
          <w:rFonts w:eastAsia="仿宋_GB2312"/>
          <w:kern w:val="0"/>
          <w:sz w:val="32"/>
          <w:szCs w:val="32"/>
        </w:rPr>
        <w:t>67800.00元，资金到位金额与资金计划一致，资金到位率</w:t>
      </w:r>
      <w:r>
        <w:rPr>
          <w:rFonts w:hint="eastAsia" w:eastAsia="仿宋_GB2312"/>
          <w:kern w:val="0"/>
          <w:sz w:val="32"/>
          <w:szCs w:val="32"/>
        </w:rPr>
        <w:t>1</w:t>
      </w:r>
      <w:r>
        <w:rPr>
          <w:rFonts w:eastAsia="仿宋_GB2312"/>
          <w:kern w:val="0"/>
          <w:sz w:val="32"/>
          <w:szCs w:val="32"/>
        </w:rPr>
        <w:t>00%，资金到位及时。</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3．资金使用。</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按照政策，2021年代缴困难群众城乡居民医保标准为300元/人，省级承担50%，剩余部分区级承担65%，2021年贫困人口为8900人</w:t>
      </w:r>
      <w:r>
        <w:rPr>
          <w:rFonts w:hint="eastAsia" w:eastAsia="仿宋_GB2312"/>
          <w:kern w:val="0"/>
          <w:sz w:val="32"/>
          <w:szCs w:val="32"/>
          <w:lang w:eastAsia="zh-CN"/>
        </w:rPr>
        <w:t>，</w:t>
      </w:r>
      <w:r>
        <w:rPr>
          <w:rFonts w:hint="eastAsia" w:eastAsia="仿宋_GB2312"/>
          <w:kern w:val="0"/>
          <w:sz w:val="32"/>
          <w:szCs w:val="32"/>
        </w:rPr>
        <w:t>合计支出8</w:t>
      </w:r>
      <w:r>
        <w:rPr>
          <w:rFonts w:eastAsia="仿宋_GB2312"/>
          <w:kern w:val="0"/>
          <w:sz w:val="32"/>
          <w:szCs w:val="32"/>
        </w:rPr>
        <w:t>67750.00元。资金使用安全规范，资金支付范围、支付标准、支付进度、支付依据等合规合法、预算相符</w:t>
      </w:r>
      <w:r>
        <w:rPr>
          <w:rFonts w:hint="eastAsia"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攀</w:t>
      </w:r>
      <w:r>
        <w:rPr>
          <w:rFonts w:eastAsia="仿宋_GB2312"/>
          <w:kern w:val="0"/>
          <w:sz w:val="32"/>
          <w:szCs w:val="32"/>
        </w:rPr>
        <w:t>枝花市仁和区医疗保障局财务管理制度健全，严格执行财务管理制度，账务处理及时，会计核算规范。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项目由仁和区医疗保障局负责，由仁和区医疗保障事务中心负责实施。按照困难群众人数代缴居民医保。</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（二）项目管理情况。</w:t>
      </w:r>
    </w:p>
    <w:p>
      <w:pPr>
        <w:autoSpaceDE w:val="0"/>
        <w:autoSpaceDN w:val="0"/>
        <w:adjustRightInd w:val="0"/>
        <w:spacing w:line="600" w:lineRule="exact"/>
        <w:ind w:firstLine="640" w:firstLineChars="200"/>
        <w:jc w:val="left"/>
        <w:rPr>
          <w:rFonts w:eastAsia="仿宋_GB2312"/>
          <w:kern w:val="0"/>
          <w:sz w:val="32"/>
          <w:szCs w:val="32"/>
        </w:rPr>
      </w:pPr>
      <w:r>
        <w:rPr>
          <w:rStyle w:val="15"/>
          <w:rFonts w:hint="eastAsia" w:ascii="仿宋_GB2312" w:eastAsia="仿宋_GB2312"/>
          <w:i w:val="0"/>
          <w:iCs w:val="0"/>
          <w:color w:val="000000"/>
          <w:sz w:val="32"/>
          <w:szCs w:val="32"/>
          <w:shd w:val="clear" w:color="auto" w:fill="FFFFFF"/>
        </w:rPr>
        <w:t>实施单位财务管理制度健全，严格执行财务管理制度，账务处理及时，会计核算规范，</w:t>
      </w:r>
      <w:r>
        <w:rPr>
          <w:rFonts w:hint="eastAsia" w:eastAsia="仿宋_GB2312"/>
          <w:kern w:val="0"/>
          <w:sz w:val="32"/>
          <w:szCs w:val="32"/>
        </w:rPr>
        <w:t>按照相关法律法规及项目管理制度推进相关工作。</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（三）项目监管情况。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制定</w:t>
      </w:r>
      <w:r>
        <w:rPr>
          <w:rFonts w:eastAsia="仿宋_GB2312"/>
          <w:kern w:val="0"/>
          <w:sz w:val="32"/>
          <w:szCs w:val="32"/>
        </w:rPr>
        <w:t>项目计划，严格按照计划开展工作，严格管理项目资金，确保项目资金使用合理、合规、合法，保障资金安全性，不定期对项目资金开展情况、进度进行检查、跟进。</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021年，建档立卡贫困户共计</w:t>
      </w:r>
      <w:r>
        <w:rPr>
          <w:rFonts w:hint="eastAsia" w:eastAsia="仿宋_GB2312"/>
          <w:kern w:val="0"/>
          <w:sz w:val="32"/>
          <w:szCs w:val="32"/>
        </w:rPr>
        <w:t>8</w:t>
      </w:r>
      <w:r>
        <w:rPr>
          <w:rFonts w:eastAsia="仿宋_GB2312"/>
          <w:kern w:val="0"/>
          <w:sz w:val="32"/>
          <w:szCs w:val="32"/>
        </w:rPr>
        <w:t>900人，按每</w:t>
      </w:r>
      <w:r>
        <w:rPr>
          <w:rFonts w:hint="eastAsia" w:eastAsia="仿宋_GB2312"/>
          <w:kern w:val="0"/>
          <w:sz w:val="32"/>
          <w:szCs w:val="32"/>
          <w:lang w:val="en-US" w:eastAsia="zh-CN"/>
        </w:rPr>
        <w:t>人</w:t>
      </w:r>
      <w:bookmarkStart w:id="0" w:name="_GoBack"/>
      <w:bookmarkEnd w:id="0"/>
      <w:r>
        <w:rPr>
          <w:rFonts w:hint="eastAsia" w:eastAsia="仿宋_GB2312"/>
          <w:kern w:val="0"/>
          <w:sz w:val="32"/>
          <w:szCs w:val="32"/>
        </w:rPr>
        <w:t>9</w:t>
      </w:r>
      <w:r>
        <w:rPr>
          <w:rFonts w:eastAsia="仿宋_GB2312"/>
          <w:kern w:val="0"/>
          <w:sz w:val="32"/>
          <w:szCs w:val="32"/>
        </w:rPr>
        <w:t>7.5元的标准进行补助，共计支付</w:t>
      </w:r>
      <w:r>
        <w:rPr>
          <w:rFonts w:hint="eastAsia" w:eastAsia="仿宋_GB2312"/>
          <w:kern w:val="0"/>
          <w:sz w:val="32"/>
          <w:szCs w:val="32"/>
        </w:rPr>
        <w:t>8</w:t>
      </w:r>
      <w:r>
        <w:rPr>
          <w:rFonts w:eastAsia="仿宋_GB2312"/>
          <w:kern w:val="0"/>
          <w:sz w:val="32"/>
          <w:szCs w:val="32"/>
        </w:rPr>
        <w:t>67750.00元。</w:t>
      </w:r>
      <w:r>
        <w:rPr>
          <w:rFonts w:hint="eastAsia" w:eastAsia="仿宋_GB2312"/>
          <w:kern w:val="0"/>
          <w:sz w:val="32"/>
          <w:szCs w:val="32"/>
        </w:rPr>
        <w:t>进一步做好了资助困难群众参加城乡居民医保工作，确保建档立卡贫困人口100%参保，提高困难群众医疗保障水平。2</w:t>
      </w:r>
      <w:r>
        <w:rPr>
          <w:rFonts w:eastAsia="仿宋_GB2312"/>
          <w:kern w:val="0"/>
          <w:sz w:val="32"/>
          <w:szCs w:val="32"/>
        </w:rPr>
        <w:t>021年</w:t>
      </w:r>
      <w:r>
        <w:rPr>
          <w:rFonts w:hint="eastAsia" w:eastAsia="仿宋_GB2312"/>
          <w:kern w:val="0"/>
          <w:sz w:val="32"/>
          <w:szCs w:val="32"/>
        </w:rPr>
        <w:t>1</w:t>
      </w:r>
      <w:r>
        <w:rPr>
          <w:rFonts w:eastAsia="仿宋_GB2312"/>
          <w:kern w:val="0"/>
          <w:sz w:val="32"/>
          <w:szCs w:val="32"/>
        </w:rPr>
        <w:t>2月</w:t>
      </w:r>
      <w:r>
        <w:rPr>
          <w:rFonts w:hint="eastAsia" w:eastAsia="仿宋_GB2312"/>
          <w:kern w:val="0"/>
          <w:sz w:val="32"/>
          <w:szCs w:val="32"/>
        </w:rPr>
        <w:t>3</w:t>
      </w:r>
      <w:r>
        <w:rPr>
          <w:rFonts w:eastAsia="仿宋_GB2312"/>
          <w:kern w:val="0"/>
          <w:sz w:val="32"/>
          <w:szCs w:val="32"/>
        </w:rPr>
        <w:t>1日前已完成该</w:t>
      </w:r>
      <w:r>
        <w:rPr>
          <w:rFonts w:hint="eastAsia" w:eastAsia="仿宋_GB2312"/>
          <w:kern w:val="0"/>
          <w:sz w:val="32"/>
          <w:szCs w:val="32"/>
        </w:rPr>
        <w:t>项目。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社会效益</w:t>
      </w:r>
      <w:r>
        <w:rPr>
          <w:rFonts w:hint="eastAsia" w:eastAsia="仿宋_GB2312"/>
          <w:kern w:val="0"/>
          <w:sz w:val="32"/>
          <w:szCs w:val="32"/>
        </w:rPr>
        <w:t>：确保建档立卡贫困人口100%参保，按政策享受医保报销待遇。被服务对象满意度≥90%。</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该</w:t>
      </w:r>
      <w:r>
        <w:rPr>
          <w:rFonts w:hint="eastAsia" w:eastAsia="仿宋_GB2312"/>
          <w:kern w:val="0"/>
          <w:sz w:val="32"/>
          <w:szCs w:val="32"/>
        </w:rPr>
        <w:t>项目的实施确保了建档立卡贫困人口100%参保，提高了困难群众医疗保障水平。达到了预期效果。</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无</w:t>
      </w:r>
    </w:p>
    <w:p>
      <w:pPr>
        <w:pStyle w:val="5"/>
        <w:spacing w:line="600" w:lineRule="exact"/>
        <w:ind w:firstLine="640" w:firstLineChars="200"/>
        <w:jc w:val="left"/>
        <w:rPr>
          <w:rFonts w:ascii="黑体" w:hAnsi="黑体" w:eastAsia="黑体" w:cs="仿宋_GB2312"/>
          <w:sz w:val="32"/>
          <w:szCs w:val="32"/>
        </w:rPr>
      </w:pPr>
    </w:p>
    <w:tbl>
      <w:tblPr>
        <w:tblStyle w:val="12"/>
        <w:tblW w:w="9824" w:type="dxa"/>
        <w:jc w:val="center"/>
        <w:tblLayout w:type="fixed"/>
        <w:tblCellMar>
          <w:top w:w="0" w:type="dxa"/>
          <w:left w:w="108" w:type="dxa"/>
          <w:bottom w:w="0" w:type="dxa"/>
          <w:right w:w="108" w:type="dxa"/>
        </w:tblCellMar>
      </w:tblPr>
      <w:tblGrid>
        <w:gridCol w:w="1976"/>
        <w:gridCol w:w="1142"/>
        <w:gridCol w:w="1635"/>
        <w:gridCol w:w="1189"/>
        <w:gridCol w:w="1224"/>
        <w:gridCol w:w="2409"/>
        <w:gridCol w:w="10"/>
        <w:gridCol w:w="229"/>
        <w:gridCol w:w="10"/>
      </w:tblGrid>
      <w:tr>
        <w:tblPrEx>
          <w:tblCellMar>
            <w:top w:w="0" w:type="dxa"/>
            <w:left w:w="108" w:type="dxa"/>
            <w:bottom w:w="0" w:type="dxa"/>
            <w:right w:w="108" w:type="dxa"/>
          </w:tblCellMar>
        </w:tblPrEx>
        <w:trPr>
          <w:gridAfter w:val="1"/>
          <w:wAfter w:w="10" w:type="dxa"/>
          <w:trHeight w:val="675" w:hRule="atLeast"/>
          <w:jc w:val="center"/>
        </w:trPr>
        <w:tc>
          <w:tcPr>
            <w:tcW w:w="9575" w:type="dxa"/>
            <w:gridSpan w:val="6"/>
            <w:shd w:val="clear" w:color="auto" w:fill="auto"/>
            <w:vAlign w:val="center"/>
          </w:tcPr>
          <w:p>
            <w:pPr>
              <w:widowControl/>
              <w:textAlignment w:val="center"/>
              <w:rPr>
                <w:rFonts w:ascii="宋体" w:hAnsi="宋体" w:cs="宋体"/>
                <w:b/>
                <w:sz w:val="32"/>
                <w:szCs w:val="32"/>
              </w:rPr>
            </w:pPr>
          </w:p>
          <w:p>
            <w:pPr>
              <w:widowControl/>
              <w:jc w:val="center"/>
              <w:textAlignment w:val="center"/>
              <w:rPr>
                <w:rFonts w:ascii="宋体" w:hAnsi="宋体" w:cs="宋体"/>
                <w:b/>
                <w:sz w:val="32"/>
                <w:szCs w:val="32"/>
              </w:rPr>
            </w:pPr>
            <w:r>
              <w:rPr>
                <w:rFonts w:ascii="宋体" w:hAnsi="宋体" w:cs="宋体"/>
                <w:b/>
                <w:sz w:val="32"/>
                <w:szCs w:val="32"/>
              </w:rPr>
              <w:t>2021年</w:t>
            </w:r>
            <w:r>
              <w:rPr>
                <w:rFonts w:hint="eastAsia" w:ascii="宋体" w:hAnsi="宋体" w:cs="宋体"/>
                <w:b/>
                <w:sz w:val="32"/>
                <w:szCs w:val="32"/>
              </w:rPr>
              <w:t>部门预算项目自评</w:t>
            </w:r>
          </w:p>
          <w:p>
            <w:pPr>
              <w:widowControl/>
              <w:jc w:val="center"/>
              <w:textAlignment w:val="center"/>
              <w:rPr>
                <w:rFonts w:ascii="宋体" w:hAnsi="宋体" w:cs="宋体"/>
                <w:b/>
                <w:sz w:val="32"/>
                <w:szCs w:val="32"/>
              </w:rPr>
            </w:pPr>
            <w:r>
              <w:rPr>
                <w:rFonts w:hint="eastAsia" w:ascii="宋体" w:hAnsi="宋体" w:cs="宋体"/>
                <w:b/>
                <w:sz w:val="32"/>
                <w:szCs w:val="32"/>
              </w:rPr>
              <w:t>区级财政衔接推进乡村振兴补助资金项目绩效目标自评</w:t>
            </w:r>
          </w:p>
        </w:tc>
        <w:tc>
          <w:tcPr>
            <w:tcW w:w="239" w:type="dxa"/>
            <w:gridSpan w:val="2"/>
            <w:shd w:val="clear" w:color="auto" w:fill="auto"/>
            <w:vAlign w:val="center"/>
          </w:tcPr>
          <w:p>
            <w:pPr>
              <w:widowControl/>
              <w:snapToGrid w:val="0"/>
              <w:jc w:val="center"/>
              <w:textAlignment w:val="center"/>
              <w:rPr>
                <w:rFonts w:ascii="宋体" w:hAnsi="宋体" w:cs="宋体"/>
                <w:b/>
                <w:kern w:val="0"/>
                <w:sz w:val="32"/>
                <w:szCs w:val="32"/>
              </w:rPr>
            </w:pPr>
          </w:p>
        </w:tc>
      </w:tr>
      <w:tr>
        <w:tblPrEx>
          <w:tblCellMar>
            <w:top w:w="0" w:type="dxa"/>
            <w:left w:w="0" w:type="dxa"/>
            <w:bottom w:w="0" w:type="dxa"/>
            <w:right w:w="0" w:type="dxa"/>
          </w:tblCellMar>
        </w:tblPrEx>
        <w:trPr>
          <w:trHeight w:val="254" w:hRule="atLeast"/>
          <w:jc w:val="center"/>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实施单位</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攀枝花市仁和区医疗保障局</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项目预算</w:t>
            </w:r>
            <w:r>
              <w:rPr>
                <w:rFonts w:ascii="宋体" w:hAnsi="宋体" w:cs="宋体"/>
                <w:kern w:val="0"/>
                <w:sz w:val="24"/>
              </w:rPr>
              <w:br w:type="textWrapping"/>
            </w:r>
            <w:r>
              <w:rPr>
                <w:rFonts w:hint="eastAsia" w:ascii="宋体" w:hAnsi="宋体" w:cs="宋体"/>
                <w:kern w:val="0"/>
                <w:sz w:val="24"/>
              </w:rPr>
              <w:t>执行情况</w:t>
            </w:r>
            <w:r>
              <w:rPr>
                <w:rFonts w:ascii="宋体" w:hAnsi="宋体" w:cs="宋体"/>
                <w:kern w:val="0"/>
                <w:sz w:val="24"/>
              </w:rPr>
              <w:br w:type="textWrapping"/>
            </w:r>
            <w:r>
              <w:rPr>
                <w:rFonts w:hint="eastAsia" w:ascii="宋体" w:hAnsi="宋体" w:cs="宋体"/>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86.78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执行数：</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86.78</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555"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r>
              <w:rPr>
                <w:rFonts w:ascii="宋体" w:hAnsi="宋体" w:cs="宋体"/>
                <w:sz w:val="24"/>
              </w:rPr>
              <w:t>86.78</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其中：</w:t>
            </w:r>
          </w:p>
          <w:p>
            <w:pPr>
              <w:widowControl/>
              <w:spacing w:line="320" w:lineRule="exact"/>
              <w:jc w:val="left"/>
              <w:textAlignment w:val="center"/>
            </w:pPr>
            <w:r>
              <w:rPr>
                <w:rFonts w:hint="eastAsia" w:ascii="宋体" w:hAnsi="宋体" w:cs="宋体"/>
                <w:kern w:val="0"/>
                <w:sz w:val="24"/>
              </w:rPr>
              <w:t>财政拨款</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r>
              <w:rPr>
                <w:rFonts w:ascii="宋体" w:hAnsi="宋体" w:cs="宋体"/>
                <w:sz w:val="24"/>
              </w:rPr>
              <w:t>86.78</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341" w:hRule="atLeast"/>
          <w:jc w:val="center"/>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left"/>
              <w:textAlignment w:val="center"/>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left"/>
              <w:textAlignment w:val="center"/>
            </w:pPr>
            <w:r>
              <w:rPr>
                <w:rFonts w:hint="eastAsia" w:ascii="宋体" w:hAnsi="宋体" w:cs="宋体"/>
                <w:kern w:val="0"/>
                <w:sz w:val="24"/>
              </w:rPr>
              <w:t>其他资金</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napToGrid w:val="0"/>
              <w:spacing w:line="320" w:lineRule="exact"/>
              <w:jc w:val="center"/>
              <w:textAlignment w:val="center"/>
              <w:rPr>
                <w:rFonts w:ascii="宋体" w:hAnsi="宋体" w:cs="宋体"/>
                <w:sz w:val="24"/>
              </w:rPr>
            </w:pP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217" w:hRule="atLeast"/>
          <w:jc w:val="center"/>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年度总体目标</w:t>
            </w:r>
          </w:p>
          <w:p>
            <w:pPr>
              <w:widowControl/>
              <w:spacing w:line="320" w:lineRule="exact"/>
              <w:jc w:val="center"/>
              <w:textAlignment w:val="center"/>
            </w:pPr>
            <w:r>
              <w:rPr>
                <w:rFonts w:hint="eastAsia" w:ascii="宋体" w:hAnsi="宋体" w:cs="宋体"/>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预期目标</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宋体" w:hAnsi="宋体" w:cs="宋体"/>
                <w:kern w:val="0"/>
                <w:sz w:val="24"/>
              </w:rPr>
              <w:t>目标实际完成情况</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797" w:hRule="atLeast"/>
          <w:jc w:val="center"/>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宋体" w:hAnsi="宋体" w:cs="宋体"/>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进一步做好资助困难群众参加城乡居民医保工作，确保建档立卡贫困人口100%参保，提高困难群众医疗保障水平。</w:t>
            </w:r>
          </w:p>
        </w:tc>
        <w:tc>
          <w:tcPr>
            <w:tcW w:w="3643"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tcPr>
          <w:p>
            <w:pPr>
              <w:widowControl/>
              <w:snapToGrid w:val="0"/>
              <w:spacing w:line="320" w:lineRule="exact"/>
              <w:jc w:val="left"/>
              <w:textAlignment w:val="top"/>
              <w:rPr>
                <w:rFonts w:ascii="宋体" w:hAnsi="宋体" w:cs="宋体"/>
                <w:sz w:val="24"/>
              </w:rPr>
            </w:pPr>
            <w:r>
              <w:rPr>
                <w:rFonts w:hint="eastAsia" w:ascii="宋体" w:hAnsi="宋体" w:cs="宋体"/>
                <w:sz w:val="24"/>
              </w:rPr>
              <w:t>2021年完成建档立卡贫困人口100%参保。提高了困难群众医疗保障水平。</w:t>
            </w:r>
          </w:p>
        </w:tc>
        <w:tc>
          <w:tcPr>
            <w:tcW w:w="239" w:type="dxa"/>
            <w:gridSpan w:val="2"/>
            <w:shd w:val="clear" w:color="auto" w:fill="auto"/>
          </w:tcPr>
          <w:p>
            <w:pPr>
              <w:snapToGrid w:val="0"/>
              <w:rPr>
                <w:rFonts w:ascii="宋体" w:hAnsi="宋体" w:cs="宋体"/>
                <w:sz w:val="24"/>
              </w:rPr>
            </w:pPr>
          </w:p>
        </w:tc>
      </w:tr>
      <w:tr>
        <w:tblPrEx>
          <w:tblCellMar>
            <w:top w:w="0" w:type="dxa"/>
            <w:left w:w="0" w:type="dxa"/>
            <w:bottom w:w="0" w:type="dxa"/>
            <w:right w:w="0" w:type="dxa"/>
          </w:tblCellMar>
        </w:tblPrEx>
        <w:trPr>
          <w:trHeight w:val="693" w:hRule="atLeast"/>
          <w:jc w:val="center"/>
        </w:trPr>
        <w:tc>
          <w:tcPr>
            <w:tcW w:w="1976"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年度绩效指标完成情况</w:t>
            </w:r>
          </w:p>
        </w:tc>
        <w:tc>
          <w:tcPr>
            <w:tcW w:w="1142" w:type="dxa"/>
            <w:tcBorders>
              <w:top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一级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二级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三级</w:t>
            </w:r>
          </w:p>
          <w:p>
            <w:pPr>
              <w:widowControl/>
              <w:spacing w:line="320" w:lineRule="exact"/>
              <w:jc w:val="center"/>
              <w:textAlignment w:val="center"/>
            </w:pPr>
            <w:r>
              <w:rPr>
                <w:rFonts w:hint="eastAsia" w:ascii="仿宋_GB2312" w:hAnsi="仿宋_GB2312" w:eastAsia="仿宋_GB2312" w:cs="仿宋_GB2312"/>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预期指标值</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center"/>
            </w:pPr>
            <w:r>
              <w:rPr>
                <w:rFonts w:hint="eastAsia" w:ascii="仿宋_GB2312" w:hAnsi="仿宋_GB2312" w:eastAsia="仿宋_GB2312" w:cs="仿宋_GB2312"/>
                <w:kern w:val="0"/>
                <w:sz w:val="28"/>
                <w:szCs w:val="28"/>
              </w:rPr>
              <w:t>实际完成指标值</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i/>
                <w:kern w:val="0"/>
                <w:sz w:val="28"/>
                <w:szCs w:val="28"/>
              </w:rPr>
              <w:t>完</w:t>
            </w:r>
            <w:r>
              <w:rPr>
                <w:rFonts w:hint="eastAsia" w:ascii="仿宋_GB2312" w:hAnsi="仿宋_GB2312" w:eastAsia="仿宋_GB2312" w:cs="仿宋_GB2312"/>
                <w:kern w:val="0"/>
                <w:sz w:val="28"/>
                <w:szCs w:val="28"/>
              </w:rPr>
              <w:t>成</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建档立卡贫困人口</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8900人</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bottom"/>
              <w:rPr>
                <w:rFonts w:ascii="宋体" w:hAnsi="宋体" w:cs="宋体"/>
                <w:sz w:val="24"/>
              </w:rPr>
            </w:pPr>
            <w:r>
              <w:rPr>
                <w:rFonts w:hint="eastAsia" w:ascii="宋体" w:hAnsi="宋体" w:cs="宋体"/>
                <w:sz w:val="24"/>
              </w:rPr>
              <w:t>8900人</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15" w:hRule="atLeast"/>
          <w:jc w:val="center"/>
        </w:trPr>
        <w:tc>
          <w:tcPr>
            <w:tcW w:w="1976" w:type="dxa"/>
            <w:vMerge w:val="continue"/>
            <w:tcBorders>
              <w:top w:val="single" w:color="000000"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确保贫困人口医疗保障。</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进一步做好资助困难群众参加城乡居民医保工作，确保建档立卡贫困人口100%参保，提高困难群众医疗保障水平。</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25" w:hRule="atLeast"/>
          <w:jc w:val="center"/>
        </w:trPr>
        <w:tc>
          <w:tcPr>
            <w:tcW w:w="1976" w:type="dxa"/>
            <w:vMerge w:val="continue"/>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时效指标</w:t>
            </w:r>
          </w:p>
        </w:tc>
        <w:tc>
          <w:tcPr>
            <w:tcW w:w="1189"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1224"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2021年1-12月</w:t>
            </w:r>
          </w:p>
        </w:tc>
        <w:tc>
          <w:tcPr>
            <w:tcW w:w="2419" w:type="dxa"/>
            <w:gridSpan w:val="2"/>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r>
              <w:rPr>
                <w:rFonts w:hint="eastAsia" w:ascii="宋体" w:hAnsi="宋体" w:cs="宋体"/>
                <w:sz w:val="24"/>
              </w:rPr>
              <w:t>已完成</w:t>
            </w:r>
          </w:p>
        </w:tc>
        <w:tc>
          <w:tcPr>
            <w:tcW w:w="239" w:type="dxa"/>
            <w:gridSpan w:val="2"/>
            <w:vMerge w:val="restart"/>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320" w:hRule="atLeast"/>
          <w:jc w:val="center"/>
        </w:trPr>
        <w:tc>
          <w:tcPr>
            <w:tcW w:w="1976" w:type="dxa"/>
            <w:vMerge w:val="restart"/>
            <w:tcBorders>
              <w:top w:val="single" w:color="auto" w:sz="4" w:space="0"/>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189" w:type="dxa"/>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center"/>
              <w:textAlignment w:val="top"/>
              <w:rPr>
                <w:rFonts w:ascii="宋体" w:hAnsi="宋体" w:cs="宋体"/>
                <w:sz w:val="24"/>
              </w:rPr>
            </w:pPr>
          </w:p>
        </w:tc>
        <w:tc>
          <w:tcPr>
            <w:tcW w:w="239" w:type="dxa"/>
            <w:gridSpan w:val="2"/>
            <w:vMerge w:val="continue"/>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2021年确保建档立卡贫困人口100%参保。按照政策，2021年代缴困难群众城乡居民医保标准为300元/人，省级承担50%，剩余部分区级承担65%，2021年贫困人口为8900人</w:t>
            </w:r>
            <w:r>
              <w:rPr>
                <w:rFonts w:hint="eastAsia" w:ascii="宋体" w:hAnsi="宋体" w:cs="宋体"/>
                <w:sz w:val="24"/>
                <w:lang w:eastAsia="zh-CN"/>
              </w:rPr>
              <w:t>，</w:t>
            </w:r>
            <w:r>
              <w:rPr>
                <w:rFonts w:hint="eastAsia" w:ascii="宋体" w:hAnsi="宋体" w:cs="宋体"/>
                <w:sz w:val="24"/>
              </w:rPr>
              <w:t>合计97.5*8900=86.78万元。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86.78万元</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86.7万元</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widowControl/>
              <w:spacing w:line="320" w:lineRule="exact"/>
              <w:jc w:val="center"/>
              <w:textAlignment w:val="bottom"/>
            </w:pPr>
            <w:r>
              <w:rPr>
                <w:rFonts w:hint="eastAsia" w:ascii="仿宋_GB2312" w:hAnsi="仿宋_GB2312" w:eastAsia="仿宋_GB2312" w:cs="仿宋_GB2312"/>
                <w:kern w:val="0"/>
                <w:sz w:val="28"/>
                <w:szCs w:val="28"/>
              </w:rPr>
              <w:t>效益</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经济效益指标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社会效益指标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提高困难群众医疗保障水平。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确保建档立卡贫困人口100%参保，按政策享受医保报销待遇。</w:t>
            </w: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ascii="宋体" w:hAnsi="宋体" w:cs="宋体"/>
                <w:sz w:val="24"/>
              </w:rPr>
              <w:t>已完成</w:t>
            </w: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577" w:hRule="atLeast"/>
          <w:jc w:val="center"/>
        </w:trPr>
        <w:tc>
          <w:tcPr>
            <w:tcW w:w="1976" w:type="dxa"/>
            <w:vMerge w:val="continue"/>
            <w:tcBorders>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ind w:left="463" w:hanging="280"/>
              <w:jc w:val="left"/>
              <w:textAlignment w:val="bottom"/>
            </w:pPr>
            <w:r>
              <w:rPr>
                <w:rFonts w:hint="eastAsia" w:ascii="仿宋_GB2312" w:hAnsi="仿宋_GB2312" w:eastAsia="仿宋_GB2312" w:cs="仿宋_GB2312"/>
                <w:kern w:val="0"/>
                <w:sz w:val="28"/>
                <w:szCs w:val="28"/>
              </w:rPr>
              <w:t>生态效益指标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480" w:hRule="atLeast"/>
          <w:jc w:val="center"/>
        </w:trPr>
        <w:tc>
          <w:tcPr>
            <w:tcW w:w="1976" w:type="dxa"/>
            <w:vMerge w:val="continue"/>
            <w:tcBorders>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可持续影响指标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930" w:hRule="atLeast"/>
          <w:jc w:val="center"/>
        </w:trPr>
        <w:tc>
          <w:tcPr>
            <w:tcW w:w="1976" w:type="dxa"/>
            <w:vMerge w:val="continue"/>
            <w:tcBorders>
              <w:left w:val="single" w:color="000000"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tcBorders>
              <w:top w:val="single" w:color="000000" w:sz="4" w:space="0"/>
              <w:left w:val="single" w:color="000000" w:sz="4" w:space="0"/>
              <w:bottom w:val="single" w:color="auto"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w:t>
            </w:r>
            <w:r>
              <w:rPr>
                <w:rFonts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度指标</w:t>
            </w:r>
          </w:p>
        </w:tc>
        <w:tc>
          <w:tcPr>
            <w:tcW w:w="1635"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pPr>
            <w:r>
              <w:rPr>
                <w:rFonts w:hint="eastAsia" w:ascii="仿宋_GB2312" w:hAnsi="仿宋_GB2312" w:eastAsia="仿宋_GB2312" w:cs="仿宋_GB2312"/>
                <w:kern w:val="0"/>
                <w:sz w:val="28"/>
                <w:szCs w:val="28"/>
              </w:rPr>
              <w:t>满意度</w:t>
            </w:r>
          </w:p>
          <w:p>
            <w:pPr>
              <w:widowControl/>
              <w:spacing w:line="320" w:lineRule="exact"/>
              <w:jc w:val="center"/>
              <w:textAlignment w:val="bottom"/>
            </w:pPr>
            <w:r>
              <w:rPr>
                <w:rFonts w:hint="eastAsia" w:ascii="仿宋_GB2312" w:hAnsi="仿宋_GB2312" w:eastAsia="仿宋_GB2312" w:cs="仿宋_GB2312"/>
                <w:kern w:val="0"/>
                <w:sz w:val="28"/>
                <w:szCs w:val="28"/>
              </w:rPr>
              <w:t>指标</w:t>
            </w:r>
          </w:p>
        </w:tc>
        <w:tc>
          <w:tcPr>
            <w:tcW w:w="1189"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群众满意</w:t>
            </w:r>
          </w:p>
        </w:tc>
        <w:tc>
          <w:tcPr>
            <w:tcW w:w="1224" w:type="dxa"/>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抽样调查满意度达到90%以上。</w:t>
            </w:r>
          </w:p>
        </w:tc>
        <w:tc>
          <w:tcPr>
            <w:tcW w:w="2419" w:type="dxa"/>
            <w:gridSpan w:val="2"/>
            <w:vMerge w:val="restart"/>
            <w:tcBorders>
              <w:top w:val="single" w:color="000000" w:sz="4" w:space="0"/>
              <w:left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r>
              <w:rPr>
                <w:rFonts w:hint="eastAsia" w:ascii="宋体" w:hAnsi="宋体" w:cs="宋体"/>
                <w:sz w:val="24"/>
              </w:rPr>
              <w:t>已完成</w:t>
            </w:r>
          </w:p>
        </w:tc>
        <w:tc>
          <w:tcPr>
            <w:tcW w:w="239" w:type="dxa"/>
            <w:gridSpan w:val="2"/>
            <w:vMerge w:val="restart"/>
            <w:shd w:val="clear" w:color="auto" w:fill="auto"/>
          </w:tcPr>
          <w:p>
            <w:pPr>
              <w:snapToGrid w:val="0"/>
              <w:rPr>
                <w:rFonts w:ascii="仿宋_GB2312" w:hAnsi="仿宋_GB2312" w:eastAsia="仿宋_GB2312" w:cs="仿宋_GB2312"/>
                <w:sz w:val="28"/>
                <w:szCs w:val="28"/>
              </w:rPr>
            </w:pPr>
          </w:p>
        </w:tc>
      </w:tr>
      <w:tr>
        <w:tblPrEx>
          <w:tblCellMar>
            <w:top w:w="0" w:type="dxa"/>
            <w:left w:w="0" w:type="dxa"/>
            <w:bottom w:w="0" w:type="dxa"/>
            <w:right w:w="0" w:type="dxa"/>
          </w:tblCellMar>
        </w:tblPrEx>
        <w:trPr>
          <w:trHeight w:val="335" w:hRule="atLeast"/>
          <w:jc w:val="center"/>
        </w:trPr>
        <w:tc>
          <w:tcPr>
            <w:tcW w:w="1976" w:type="dxa"/>
            <w:vMerge w:val="continue"/>
            <w:tcBorders>
              <w:left w:val="single" w:color="000000" w:sz="4" w:space="0"/>
              <w:bottom w:val="single" w:color="auto" w:sz="4" w:space="0"/>
              <w:right w:val="single" w:color="000000" w:sz="4" w:space="0"/>
            </w:tcBorders>
            <w:shd w:val="clear" w:color="auto" w:fill="auto"/>
            <w:tcMar>
              <w:left w:w="108" w:type="dxa"/>
              <w:right w:w="108" w:type="dxa"/>
            </w:tcMar>
            <w:vAlign w:val="center"/>
          </w:tcPr>
          <w:p>
            <w:pPr>
              <w:snapToGrid w:val="0"/>
              <w:spacing w:line="320" w:lineRule="exact"/>
              <w:jc w:val="center"/>
              <w:rPr>
                <w:rFonts w:ascii="仿宋_GB2312" w:hAnsi="仿宋_GB2312" w:eastAsia="仿宋_GB2312" w:cs="仿宋_GB2312"/>
                <w:sz w:val="28"/>
                <w:szCs w:val="28"/>
              </w:rPr>
            </w:pPr>
          </w:p>
        </w:tc>
        <w:tc>
          <w:tcPr>
            <w:tcW w:w="1142" w:type="dxa"/>
            <w:tcBorders>
              <w:top w:val="single" w:color="auto" w:sz="4" w:space="0"/>
              <w:left w:val="single" w:color="000000" w:sz="4" w:space="0"/>
              <w:bottom w:val="single" w:color="auto" w:sz="4" w:space="0"/>
              <w:right w:val="single" w:color="000000" w:sz="4" w:space="0"/>
            </w:tcBorders>
            <w:shd w:val="clear" w:color="auto" w:fill="auto"/>
            <w:tcMar>
              <w:left w:w="108" w:type="dxa"/>
              <w:right w:w="108" w:type="dxa"/>
            </w:tcMar>
            <w:vAlign w:val="bottom"/>
          </w:tcPr>
          <w:p>
            <w:pPr>
              <w:spacing w:line="320" w:lineRule="exact"/>
              <w:jc w:val="center"/>
              <w:textAlignment w:val="bottom"/>
              <w:rPr>
                <w:rFonts w:ascii="仿宋_GB2312" w:hAnsi="仿宋_GB2312" w:eastAsia="仿宋_GB2312" w:cs="仿宋_GB2312"/>
                <w:kern w:val="0"/>
                <w:sz w:val="28"/>
                <w:szCs w:val="28"/>
              </w:rPr>
            </w:pPr>
          </w:p>
        </w:tc>
        <w:tc>
          <w:tcPr>
            <w:tcW w:w="1635" w:type="dxa"/>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pacing w:line="320" w:lineRule="exact"/>
              <w:jc w:val="center"/>
              <w:textAlignment w:val="bottom"/>
              <w:rPr>
                <w:rFonts w:ascii="仿宋_GB2312" w:hAnsi="仿宋_GB2312" w:eastAsia="仿宋_GB2312" w:cs="仿宋_GB2312"/>
                <w:kern w:val="0"/>
                <w:sz w:val="28"/>
                <w:szCs w:val="28"/>
              </w:rPr>
            </w:pPr>
          </w:p>
        </w:tc>
        <w:tc>
          <w:tcPr>
            <w:tcW w:w="1189" w:type="dxa"/>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1224" w:type="dxa"/>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419" w:type="dxa"/>
            <w:gridSpan w:val="2"/>
            <w:vMerge w:val="continue"/>
            <w:tcBorders>
              <w:left w:val="single" w:color="000000" w:sz="4" w:space="0"/>
              <w:bottom w:val="single" w:color="000000" w:sz="4" w:space="0"/>
              <w:right w:val="single" w:color="000000" w:sz="4" w:space="0"/>
            </w:tcBorders>
            <w:shd w:val="clear" w:color="auto" w:fill="auto"/>
            <w:tcMar>
              <w:left w:w="108" w:type="dxa"/>
              <w:right w:w="108" w:type="dxa"/>
            </w:tcMar>
            <w:vAlign w:val="bottom"/>
          </w:tcPr>
          <w:p>
            <w:pPr>
              <w:widowControl/>
              <w:snapToGrid w:val="0"/>
              <w:spacing w:line="320" w:lineRule="exact"/>
              <w:jc w:val="left"/>
              <w:textAlignment w:val="top"/>
              <w:rPr>
                <w:rFonts w:ascii="宋体" w:hAnsi="宋体" w:cs="宋体"/>
                <w:sz w:val="24"/>
              </w:rPr>
            </w:pPr>
          </w:p>
        </w:tc>
        <w:tc>
          <w:tcPr>
            <w:tcW w:w="239" w:type="dxa"/>
            <w:gridSpan w:val="2"/>
            <w:vMerge w:val="continue"/>
            <w:shd w:val="clear" w:color="auto" w:fill="auto"/>
          </w:tcPr>
          <w:p>
            <w:pPr>
              <w:snapToGrid w:val="0"/>
              <w:rPr>
                <w:rFonts w:ascii="仿宋_GB2312" w:hAnsi="仿宋_GB2312" w:eastAsia="仿宋_GB2312" w:cs="仿宋_GB2312"/>
                <w:sz w:val="28"/>
                <w:szCs w:val="28"/>
              </w:rPr>
            </w:pPr>
          </w:p>
        </w:tc>
      </w:tr>
    </w:tbl>
    <w:p>
      <w:pPr>
        <w:widowControl/>
        <w:jc w:val="left"/>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jc w:val="center"/>
        <w:rPr>
          <w:rFonts w:ascii="黑体" w:hAnsi="黑体" w:eastAsia="黑体" w:cs="黑体"/>
          <w:color w:val="000000"/>
          <w:sz w:val="44"/>
          <w:szCs w:val="44"/>
        </w:rPr>
      </w:pPr>
    </w:p>
    <w:p>
      <w:pPr>
        <w:spacing w:line="600" w:lineRule="exact"/>
        <w:rPr>
          <w:rFonts w:ascii="黑体" w:hAnsi="黑体" w:eastAsia="黑体" w:cs="黑体"/>
          <w:color w:val="000000"/>
          <w:sz w:val="44"/>
          <w:szCs w:val="44"/>
        </w:rPr>
      </w:pPr>
    </w:p>
    <w:p>
      <w:pPr>
        <w:spacing w:line="600" w:lineRule="exact"/>
        <w:jc w:val="center"/>
      </w:pPr>
      <w:r>
        <w:rPr>
          <w:rFonts w:hint="eastAsia" w:ascii="黑体" w:hAnsi="黑体" w:eastAsia="黑体" w:cs="黑体"/>
          <w:color w:val="000000"/>
          <w:sz w:val="44"/>
          <w:szCs w:val="44"/>
        </w:rPr>
        <w:t>第</w:t>
      </w:r>
      <w:r>
        <w:rPr>
          <w:rStyle w:val="17"/>
          <w:rFonts w:hint="eastAsia" w:ascii="黑体" w:hAnsi="黑体" w:eastAsia="黑体" w:cs="黑体"/>
          <w:b w:val="0"/>
        </w:rPr>
        <w:t>五部分附表</w:t>
      </w:r>
    </w:p>
    <w:p>
      <w:pPr>
        <w:pStyle w:val="3"/>
      </w:pPr>
      <w:r>
        <w:rPr>
          <w:rFonts w:hint="eastAsia" w:ascii="仿宋" w:hAnsi="仿宋" w:eastAsia="仿宋" w:cs="仿宋"/>
          <w:b w:val="0"/>
          <w:color w:val="000000"/>
        </w:rPr>
        <w:t>一、收</w:t>
      </w:r>
      <w:r>
        <w:rPr>
          <w:rStyle w:val="18"/>
          <w:rFonts w:hint="eastAsia" w:ascii="仿宋" w:hAnsi="仿宋" w:eastAsia="仿宋" w:cs="仿宋"/>
          <w:b w:val="0"/>
          <w:bCs w:val="0"/>
        </w:rPr>
        <w:t>入支出决算总表</w:t>
      </w:r>
    </w:p>
    <w:p>
      <w:pPr>
        <w:pStyle w:val="3"/>
      </w:pPr>
      <w:r>
        <w:rPr>
          <w:rFonts w:hint="eastAsia" w:ascii="仿宋" w:hAnsi="仿宋" w:eastAsia="仿宋" w:cs="仿宋"/>
          <w:b w:val="0"/>
          <w:color w:val="000000"/>
        </w:rPr>
        <w:t>二、收</w:t>
      </w:r>
      <w:r>
        <w:rPr>
          <w:rStyle w:val="18"/>
          <w:rFonts w:hint="eastAsia" w:ascii="仿宋" w:hAnsi="仿宋" w:eastAsia="仿宋" w:cs="仿宋"/>
          <w:b w:val="0"/>
          <w:bCs w:val="0"/>
        </w:rPr>
        <w:t>入决算表</w:t>
      </w:r>
    </w:p>
    <w:p>
      <w:pPr>
        <w:pStyle w:val="3"/>
      </w:pPr>
      <w:r>
        <w:rPr>
          <w:rStyle w:val="18"/>
          <w:rFonts w:hint="eastAsia" w:ascii="仿宋" w:hAnsi="仿宋" w:eastAsia="仿宋" w:cs="仿宋"/>
          <w:b w:val="0"/>
          <w:bCs w:val="0"/>
        </w:rPr>
        <w:t>三、</w:t>
      </w:r>
      <w:r>
        <w:rPr>
          <w:rFonts w:hint="eastAsia" w:ascii="仿宋" w:hAnsi="仿宋" w:eastAsia="仿宋" w:cs="仿宋"/>
          <w:b w:val="0"/>
          <w:color w:val="000000"/>
        </w:rPr>
        <w:t>支</w:t>
      </w:r>
      <w:r>
        <w:rPr>
          <w:rStyle w:val="18"/>
          <w:rFonts w:hint="eastAsia" w:ascii="仿宋" w:hAnsi="仿宋" w:eastAsia="仿宋" w:cs="仿宋"/>
          <w:b w:val="0"/>
          <w:bCs w:val="0"/>
        </w:rPr>
        <w:t>出决算表</w:t>
      </w:r>
    </w:p>
    <w:p>
      <w:pPr>
        <w:pStyle w:val="3"/>
      </w:pPr>
      <w:r>
        <w:rPr>
          <w:rStyle w:val="18"/>
          <w:rFonts w:hint="eastAsia" w:ascii="仿宋" w:hAnsi="仿宋" w:eastAsia="仿宋" w:cs="仿宋"/>
          <w:b w:val="0"/>
          <w:bCs w:val="0"/>
        </w:rPr>
        <w:t>四、</w:t>
      </w:r>
      <w:r>
        <w:rPr>
          <w:rFonts w:hint="eastAsia" w:ascii="仿宋" w:hAnsi="仿宋" w:eastAsia="仿宋" w:cs="仿宋"/>
          <w:b w:val="0"/>
          <w:color w:val="000000"/>
        </w:rPr>
        <w:t>财</w:t>
      </w:r>
      <w:r>
        <w:rPr>
          <w:rStyle w:val="18"/>
          <w:rFonts w:hint="eastAsia" w:ascii="仿宋" w:hAnsi="仿宋" w:eastAsia="仿宋" w:cs="仿宋"/>
          <w:b w:val="0"/>
          <w:bCs w:val="0"/>
        </w:rPr>
        <w:t>政拨款收入支出决算总表</w:t>
      </w:r>
    </w:p>
    <w:p>
      <w:pPr>
        <w:pStyle w:val="3"/>
      </w:pPr>
      <w:r>
        <w:rPr>
          <w:rStyle w:val="18"/>
          <w:rFonts w:hint="eastAsia" w:ascii="仿宋" w:hAnsi="仿宋" w:eastAsia="仿宋" w:cs="仿宋"/>
          <w:b w:val="0"/>
          <w:bCs w:val="0"/>
        </w:rPr>
        <w:t>五、</w:t>
      </w:r>
      <w:r>
        <w:rPr>
          <w:rFonts w:hint="eastAsia" w:ascii="仿宋" w:hAnsi="仿宋" w:eastAsia="仿宋" w:cs="仿宋"/>
          <w:b w:val="0"/>
          <w:color w:val="000000"/>
        </w:rPr>
        <w:t>财</w:t>
      </w:r>
      <w:r>
        <w:rPr>
          <w:rStyle w:val="18"/>
          <w:rFonts w:hint="eastAsia" w:ascii="仿宋" w:hAnsi="仿宋" w:eastAsia="仿宋" w:cs="仿宋"/>
          <w:b w:val="0"/>
          <w:bCs w:val="0"/>
        </w:rPr>
        <w:t>政拨款支出决算明细表</w:t>
      </w:r>
    </w:p>
    <w:p>
      <w:pPr>
        <w:pStyle w:val="3"/>
      </w:pPr>
      <w:r>
        <w:rPr>
          <w:rStyle w:val="18"/>
          <w:rFonts w:hint="eastAsia" w:ascii="仿宋" w:hAnsi="仿宋" w:eastAsia="仿宋" w:cs="仿宋"/>
          <w:b w:val="0"/>
          <w:bCs w:val="0"/>
        </w:rPr>
        <w:t>六、</w:t>
      </w:r>
      <w:r>
        <w:rPr>
          <w:rFonts w:hint="eastAsia" w:ascii="仿宋" w:hAnsi="仿宋" w:eastAsia="仿宋" w:cs="仿宋"/>
          <w:b w:val="0"/>
          <w:color w:val="000000"/>
        </w:rPr>
        <w:t>一</w:t>
      </w:r>
      <w:r>
        <w:rPr>
          <w:rStyle w:val="18"/>
          <w:rFonts w:hint="eastAsia" w:ascii="仿宋" w:hAnsi="仿宋" w:eastAsia="仿宋" w:cs="仿宋"/>
          <w:b w:val="0"/>
          <w:bCs w:val="0"/>
        </w:rPr>
        <w:t>般公共预算财政拨款支出决算表</w:t>
      </w:r>
    </w:p>
    <w:p>
      <w:pPr>
        <w:pStyle w:val="3"/>
      </w:pPr>
      <w:r>
        <w:rPr>
          <w:rStyle w:val="18"/>
          <w:rFonts w:hint="eastAsia" w:ascii="仿宋" w:hAnsi="仿宋" w:eastAsia="仿宋" w:cs="仿宋"/>
          <w:b w:val="0"/>
          <w:bCs w:val="0"/>
        </w:rPr>
        <w:t>七、</w:t>
      </w:r>
      <w:r>
        <w:rPr>
          <w:rFonts w:hint="eastAsia" w:ascii="仿宋" w:hAnsi="仿宋" w:eastAsia="仿宋" w:cs="仿宋"/>
          <w:b w:val="0"/>
          <w:color w:val="000000"/>
        </w:rPr>
        <w:t>一</w:t>
      </w:r>
      <w:r>
        <w:rPr>
          <w:rStyle w:val="18"/>
          <w:rFonts w:hint="eastAsia" w:ascii="仿宋" w:hAnsi="仿宋" w:eastAsia="仿宋" w:cs="仿宋"/>
          <w:b w:val="0"/>
          <w:bCs w:val="0"/>
        </w:rPr>
        <w:t>般公共预算财政拨款支出决算明细表</w:t>
      </w:r>
    </w:p>
    <w:p>
      <w:pPr>
        <w:pStyle w:val="3"/>
      </w:pPr>
      <w:r>
        <w:rPr>
          <w:rStyle w:val="18"/>
          <w:rFonts w:hint="eastAsia" w:ascii="仿宋" w:hAnsi="仿宋" w:eastAsia="仿宋" w:cs="仿宋"/>
          <w:b w:val="0"/>
          <w:bCs w:val="0"/>
        </w:rPr>
        <w:t>八、</w:t>
      </w:r>
      <w:r>
        <w:rPr>
          <w:rFonts w:hint="eastAsia" w:ascii="仿宋" w:hAnsi="仿宋" w:eastAsia="仿宋" w:cs="仿宋"/>
          <w:b w:val="0"/>
          <w:color w:val="000000"/>
        </w:rPr>
        <w:t>一</w:t>
      </w:r>
      <w:r>
        <w:rPr>
          <w:rStyle w:val="18"/>
          <w:rFonts w:hint="eastAsia" w:ascii="仿宋" w:hAnsi="仿宋" w:eastAsia="仿宋" w:cs="仿宋"/>
          <w:b w:val="0"/>
          <w:bCs w:val="0"/>
        </w:rPr>
        <w:t>般公共预算财政拨款基本支出决算表</w:t>
      </w:r>
    </w:p>
    <w:p>
      <w:pPr>
        <w:pStyle w:val="3"/>
      </w:pPr>
      <w:r>
        <w:rPr>
          <w:rStyle w:val="18"/>
          <w:rFonts w:hint="eastAsia" w:ascii="仿宋" w:hAnsi="仿宋" w:eastAsia="仿宋" w:cs="仿宋"/>
          <w:b w:val="0"/>
          <w:bCs w:val="0"/>
        </w:rPr>
        <w:t>九、</w:t>
      </w:r>
      <w:r>
        <w:rPr>
          <w:rFonts w:hint="eastAsia" w:ascii="仿宋" w:hAnsi="仿宋" w:eastAsia="仿宋" w:cs="仿宋"/>
          <w:b w:val="0"/>
          <w:color w:val="000000"/>
        </w:rPr>
        <w:t>一</w:t>
      </w:r>
      <w:r>
        <w:rPr>
          <w:rStyle w:val="18"/>
          <w:rFonts w:hint="eastAsia" w:ascii="仿宋" w:hAnsi="仿宋" w:eastAsia="仿宋" w:cs="仿宋"/>
          <w:b w:val="0"/>
          <w:bCs w:val="0"/>
        </w:rPr>
        <w:t>般公共预算财政拨款项目支出决算表</w:t>
      </w:r>
    </w:p>
    <w:p>
      <w:pPr>
        <w:pStyle w:val="3"/>
      </w:pPr>
      <w:r>
        <w:rPr>
          <w:rStyle w:val="18"/>
          <w:rFonts w:hint="eastAsia" w:ascii="仿宋" w:hAnsi="仿宋" w:eastAsia="仿宋" w:cs="仿宋"/>
          <w:b w:val="0"/>
          <w:bCs w:val="0"/>
        </w:rPr>
        <w:t>十、</w:t>
      </w:r>
      <w:r>
        <w:rPr>
          <w:rFonts w:hint="eastAsia" w:ascii="仿宋" w:hAnsi="仿宋" w:eastAsia="仿宋" w:cs="仿宋"/>
          <w:b w:val="0"/>
          <w:color w:val="000000"/>
        </w:rPr>
        <w:t>一</w:t>
      </w:r>
      <w:r>
        <w:rPr>
          <w:rStyle w:val="18"/>
          <w:rFonts w:hint="eastAsia" w:ascii="仿宋" w:hAnsi="仿宋" w:eastAsia="仿宋" w:cs="仿宋"/>
          <w:b w:val="0"/>
          <w:bCs w:val="0"/>
        </w:rPr>
        <w:t>般公共预算财政拨款“三公”经费支出决算表</w:t>
      </w:r>
    </w:p>
    <w:p>
      <w:pPr>
        <w:pStyle w:val="3"/>
      </w:pPr>
      <w:r>
        <w:rPr>
          <w:rStyle w:val="18"/>
          <w:rFonts w:hint="eastAsia" w:ascii="仿宋" w:hAnsi="仿宋" w:eastAsia="仿宋" w:cs="仿宋"/>
          <w:b w:val="0"/>
          <w:bCs w:val="0"/>
        </w:rPr>
        <w:t>十一、</w:t>
      </w:r>
      <w:r>
        <w:rPr>
          <w:rFonts w:hint="eastAsia" w:ascii="仿宋" w:hAnsi="仿宋" w:eastAsia="仿宋" w:cs="仿宋"/>
          <w:b w:val="0"/>
          <w:color w:val="000000"/>
        </w:rPr>
        <w:t>政</w:t>
      </w:r>
      <w:r>
        <w:rPr>
          <w:rStyle w:val="18"/>
          <w:rFonts w:hint="eastAsia" w:ascii="仿宋" w:hAnsi="仿宋" w:eastAsia="仿宋" w:cs="仿宋"/>
          <w:b w:val="0"/>
          <w:bCs w:val="0"/>
        </w:rPr>
        <w:t>府性基金预算财政拨款收入支出决算表</w:t>
      </w:r>
    </w:p>
    <w:p>
      <w:pPr>
        <w:pStyle w:val="3"/>
      </w:pPr>
      <w:r>
        <w:rPr>
          <w:rStyle w:val="18"/>
          <w:rFonts w:hint="eastAsia" w:ascii="仿宋" w:hAnsi="仿宋" w:eastAsia="仿宋" w:cs="仿宋"/>
          <w:b w:val="0"/>
          <w:bCs w:val="0"/>
        </w:rPr>
        <w:t>十二、</w:t>
      </w:r>
      <w:r>
        <w:rPr>
          <w:rFonts w:hint="eastAsia" w:ascii="仿宋" w:hAnsi="仿宋" w:eastAsia="仿宋" w:cs="仿宋"/>
          <w:b w:val="0"/>
          <w:color w:val="000000"/>
        </w:rPr>
        <w:t>政</w:t>
      </w:r>
      <w:r>
        <w:rPr>
          <w:rStyle w:val="18"/>
          <w:rFonts w:hint="eastAsia" w:ascii="仿宋" w:hAnsi="仿宋" w:eastAsia="仿宋" w:cs="仿宋"/>
          <w:b w:val="0"/>
          <w:bCs w:val="0"/>
        </w:rPr>
        <w:t>府性基金预算财政拨款“三公”经费支出决算表</w:t>
      </w:r>
    </w:p>
    <w:p>
      <w:pPr>
        <w:pStyle w:val="3"/>
      </w:pPr>
      <w:r>
        <w:rPr>
          <w:rStyle w:val="18"/>
          <w:rFonts w:hint="eastAsia" w:ascii="仿宋" w:hAnsi="仿宋" w:eastAsia="仿宋" w:cs="仿宋"/>
          <w:b w:val="0"/>
          <w:bCs w:val="0"/>
        </w:rPr>
        <w:t>十三、</w:t>
      </w:r>
      <w:r>
        <w:rPr>
          <w:rFonts w:hint="eastAsia" w:ascii="仿宋" w:hAnsi="仿宋" w:eastAsia="仿宋" w:cs="仿宋"/>
          <w:b w:val="0"/>
          <w:color w:val="000000"/>
        </w:rPr>
        <w:t>国</w:t>
      </w:r>
      <w:r>
        <w:rPr>
          <w:rStyle w:val="18"/>
          <w:rFonts w:hint="eastAsia" w:ascii="仿宋" w:hAnsi="仿宋" w:eastAsia="仿宋" w:cs="仿宋"/>
          <w:b w:val="0"/>
          <w:bCs w:val="0"/>
        </w:rPr>
        <w:t>有资本经营预算财政拨款收入支出决算表</w:t>
      </w:r>
    </w:p>
    <w:p>
      <w:pPr>
        <w:pStyle w:val="3"/>
      </w:pPr>
      <w:r>
        <w:rPr>
          <w:rStyle w:val="18"/>
          <w:rFonts w:hint="eastAsia" w:ascii="仿宋" w:hAnsi="仿宋" w:eastAsia="仿宋" w:cs="仿宋"/>
          <w:b w:val="0"/>
          <w:bCs w:val="0"/>
        </w:rPr>
        <w:t>十四、</w:t>
      </w:r>
      <w:r>
        <w:rPr>
          <w:rFonts w:hint="eastAsia" w:ascii="仿宋" w:hAnsi="仿宋" w:eastAsia="仿宋" w:cs="仿宋"/>
          <w:b w:val="0"/>
          <w:color w:val="000000"/>
        </w:rPr>
        <w:t>国</w:t>
      </w:r>
      <w:r>
        <w:rPr>
          <w:rStyle w:val="18"/>
          <w:rFonts w:hint="eastAsia" w:ascii="仿宋" w:hAnsi="仿宋" w:eastAsia="仿宋" w:cs="仿宋"/>
          <w:b w:val="0"/>
          <w:bCs w:val="0"/>
        </w:rPr>
        <w:t>有资本经营预算财政拨款支出决算表</w:t>
      </w: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w:instrText>
    </w:r>
    <w:r>
      <w:fldChar w:fldCharType="separate"/>
    </w:r>
    <w:r>
      <w:t>9</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D231C"/>
    <w:multiLevelType w:val="singleLevel"/>
    <w:tmpl w:val="93ED231C"/>
    <w:lvl w:ilvl="0" w:tentative="0">
      <w:start w:val="3"/>
      <w:numFmt w:val="decimal"/>
      <w:suff w:val="nothing"/>
      <w:lvlText w:val="%1．"/>
      <w:lvlJc w:val="left"/>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00000002"/>
    <w:multiLevelType w:val="singleLevel"/>
    <w:tmpl w:val="00000002"/>
    <w:lvl w:ilvl="0" w:tentative="0">
      <w:start w:val="9"/>
      <w:numFmt w:val="chineseCountingThousand"/>
      <w:suff w:val="nothing"/>
      <w:lvlText w:val="%1、"/>
      <w:lvlJc w:val="left"/>
      <w:pPr>
        <w:tabs>
          <w:tab w:val="left" w:pos="0"/>
        </w:tabs>
        <w:ind w:left="0" w:firstLine="0"/>
      </w:pPr>
      <w:rPr>
        <w:rFonts w:hint="eastAsia" w:cs="Times New Roman"/>
      </w:rPr>
    </w:lvl>
  </w:abstractNum>
  <w:abstractNum w:abstractNumId="3">
    <w:nsid w:val="00000003"/>
    <w:multiLevelType w:val="singleLevel"/>
    <w:tmpl w:val="00000003"/>
    <w:lvl w:ilvl="0" w:tentative="0">
      <w:start w:val="3"/>
      <w:numFmt w:val="chineseCountingThousand"/>
      <w:suff w:val="space"/>
      <w:lvlText w:val="第%1部分"/>
      <w:lvlJc w:val="left"/>
      <w:pPr>
        <w:tabs>
          <w:tab w:val="left" w:pos="0"/>
        </w:tabs>
        <w:ind w:left="0" w:firstLine="0"/>
      </w:pPr>
      <w:rPr>
        <w:rFonts w:hint="eastAsia" w:cs="Times New Roman"/>
      </w:rPr>
    </w:lvl>
  </w:abstractNum>
  <w:abstractNum w:abstractNumId="4">
    <w:nsid w:val="00000004"/>
    <w:multiLevelType w:val="multilevel"/>
    <w:tmpl w:val="00000004"/>
    <w:lvl w:ilvl="0" w:tentative="0">
      <w:start w:val="1"/>
      <w:numFmt w:val="chineseCountingThousand"/>
      <w:lvlText w:val="%1、"/>
      <w:lvlJc w:val="left"/>
      <w:pPr>
        <w:tabs>
          <w:tab w:val="left" w:pos="0"/>
        </w:tabs>
        <w:ind w:left="1360" w:hanging="720"/>
      </w:pPr>
      <w:rPr>
        <w:rFonts w:hint="default" w:cs="Times New Roman"/>
        <w:b w:val="0"/>
      </w:rPr>
    </w:lvl>
    <w:lvl w:ilvl="1" w:tentative="0">
      <w:start w:val="1"/>
      <w:numFmt w:val="lowerLetter"/>
      <w:lvlText w:val="%2)"/>
      <w:lvlJc w:val="left"/>
      <w:pPr>
        <w:tabs>
          <w:tab w:val="left" w:pos="0"/>
        </w:tabs>
        <w:ind w:left="1480" w:hanging="420"/>
      </w:pPr>
      <w:rPr>
        <w:rFonts w:cs="Times New Roman"/>
      </w:rPr>
    </w:lvl>
    <w:lvl w:ilvl="2" w:tentative="0">
      <w:start w:val="1"/>
      <w:numFmt w:val="lowerRoman"/>
      <w:lvlText w:val="%3."/>
      <w:lvlJc w:val="right"/>
      <w:pPr>
        <w:tabs>
          <w:tab w:val="left" w:pos="0"/>
        </w:tabs>
        <w:ind w:left="1900" w:hanging="420"/>
      </w:pPr>
      <w:rPr>
        <w:rFonts w:cs="Times New Roman"/>
      </w:rPr>
    </w:lvl>
    <w:lvl w:ilvl="3" w:tentative="0">
      <w:start w:val="1"/>
      <w:numFmt w:val="decimal"/>
      <w:lvlText w:val="%4."/>
      <w:lvlJc w:val="left"/>
      <w:pPr>
        <w:tabs>
          <w:tab w:val="left" w:pos="0"/>
        </w:tabs>
        <w:ind w:left="2320" w:hanging="420"/>
      </w:pPr>
      <w:rPr>
        <w:rFonts w:cs="Times New Roman"/>
      </w:rPr>
    </w:lvl>
    <w:lvl w:ilvl="4" w:tentative="0">
      <w:start w:val="1"/>
      <w:numFmt w:val="lowerLetter"/>
      <w:lvlText w:val="%5)"/>
      <w:lvlJc w:val="left"/>
      <w:pPr>
        <w:tabs>
          <w:tab w:val="left" w:pos="0"/>
        </w:tabs>
        <w:ind w:left="2740" w:hanging="420"/>
      </w:pPr>
      <w:rPr>
        <w:rFonts w:cs="Times New Roman"/>
      </w:rPr>
    </w:lvl>
    <w:lvl w:ilvl="5" w:tentative="0">
      <w:start w:val="1"/>
      <w:numFmt w:val="lowerRoman"/>
      <w:lvlText w:val="%6."/>
      <w:lvlJc w:val="right"/>
      <w:pPr>
        <w:tabs>
          <w:tab w:val="left" w:pos="0"/>
        </w:tabs>
        <w:ind w:left="3160" w:hanging="420"/>
      </w:pPr>
      <w:rPr>
        <w:rFonts w:cs="Times New Roman"/>
      </w:rPr>
    </w:lvl>
    <w:lvl w:ilvl="6" w:tentative="0">
      <w:start w:val="1"/>
      <w:numFmt w:val="decimal"/>
      <w:lvlText w:val="%7."/>
      <w:lvlJc w:val="left"/>
      <w:pPr>
        <w:tabs>
          <w:tab w:val="left" w:pos="0"/>
        </w:tabs>
        <w:ind w:left="3580" w:hanging="420"/>
      </w:pPr>
      <w:rPr>
        <w:rFonts w:cs="Times New Roman"/>
      </w:rPr>
    </w:lvl>
    <w:lvl w:ilvl="7" w:tentative="0">
      <w:start w:val="1"/>
      <w:numFmt w:val="lowerLetter"/>
      <w:lvlText w:val="%8)"/>
      <w:lvlJc w:val="left"/>
      <w:pPr>
        <w:tabs>
          <w:tab w:val="left" w:pos="0"/>
        </w:tabs>
        <w:ind w:left="4000" w:hanging="420"/>
      </w:pPr>
      <w:rPr>
        <w:rFonts w:cs="Times New Roman"/>
      </w:rPr>
    </w:lvl>
    <w:lvl w:ilvl="8" w:tentative="0">
      <w:start w:val="1"/>
      <w:numFmt w:val="lowerRoman"/>
      <w:lvlText w:val="%9."/>
      <w:lvlJc w:val="right"/>
      <w:pPr>
        <w:tabs>
          <w:tab w:val="left" w:pos="0"/>
        </w:tabs>
        <w:ind w:left="4420" w:hanging="420"/>
      </w:pPr>
      <w:rPr>
        <w:rFonts w:cs="Times New Roman"/>
      </w:rPr>
    </w:lvl>
  </w:abstractNum>
  <w:abstractNum w:abstractNumId="5">
    <w:nsid w:val="1FA70040"/>
    <w:multiLevelType w:val="multilevel"/>
    <w:tmpl w:val="1FA70040"/>
    <w:lvl w:ilvl="0" w:tentative="0">
      <w:start w:val="1"/>
      <w:numFmt w:val="japaneseCounting"/>
      <w:lvlText w:val="(%1）"/>
      <w:lvlJc w:val="left"/>
      <w:pPr>
        <w:ind w:left="1600" w:hanging="80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abstractNum w:abstractNumId="6">
    <w:nsid w:val="36187EFD"/>
    <w:multiLevelType w:val="multilevel"/>
    <w:tmpl w:val="36187EFD"/>
    <w:lvl w:ilvl="0" w:tentative="0">
      <w:start w:val="3"/>
      <w:numFmt w:val="japaneseCounting"/>
      <w:lvlText w:val="（%1）"/>
      <w:lvlJc w:val="left"/>
      <w:pPr>
        <w:ind w:left="1880" w:hanging="1080"/>
      </w:pPr>
      <w:rPr>
        <w:rFonts w:hint="default"/>
      </w:rPr>
    </w:lvl>
    <w:lvl w:ilvl="1" w:tentative="0">
      <w:start w:val="1"/>
      <w:numFmt w:val="lowerLetter"/>
      <w:lvlText w:val="%2)"/>
      <w:lvlJc w:val="left"/>
      <w:pPr>
        <w:ind w:left="1640" w:hanging="420"/>
      </w:pPr>
    </w:lvl>
    <w:lvl w:ilvl="2" w:tentative="0">
      <w:start w:val="1"/>
      <w:numFmt w:val="lowerRoman"/>
      <w:lvlText w:val="%3."/>
      <w:lvlJc w:val="right"/>
      <w:pPr>
        <w:ind w:left="2060" w:hanging="420"/>
      </w:pPr>
    </w:lvl>
    <w:lvl w:ilvl="3" w:tentative="0">
      <w:start w:val="1"/>
      <w:numFmt w:val="decimal"/>
      <w:lvlText w:val="%4."/>
      <w:lvlJc w:val="left"/>
      <w:pPr>
        <w:ind w:left="2480" w:hanging="420"/>
      </w:pPr>
    </w:lvl>
    <w:lvl w:ilvl="4" w:tentative="0">
      <w:start w:val="1"/>
      <w:numFmt w:val="lowerLetter"/>
      <w:lvlText w:val="%5)"/>
      <w:lvlJc w:val="left"/>
      <w:pPr>
        <w:ind w:left="2900" w:hanging="420"/>
      </w:pPr>
    </w:lvl>
    <w:lvl w:ilvl="5" w:tentative="0">
      <w:start w:val="1"/>
      <w:numFmt w:val="lowerRoman"/>
      <w:lvlText w:val="%6."/>
      <w:lvlJc w:val="right"/>
      <w:pPr>
        <w:ind w:left="3320" w:hanging="420"/>
      </w:pPr>
    </w:lvl>
    <w:lvl w:ilvl="6" w:tentative="0">
      <w:start w:val="1"/>
      <w:numFmt w:val="decimal"/>
      <w:lvlText w:val="%7."/>
      <w:lvlJc w:val="left"/>
      <w:pPr>
        <w:ind w:left="3740" w:hanging="420"/>
      </w:pPr>
    </w:lvl>
    <w:lvl w:ilvl="7" w:tentative="0">
      <w:start w:val="1"/>
      <w:numFmt w:val="lowerLetter"/>
      <w:lvlText w:val="%8)"/>
      <w:lvlJc w:val="left"/>
      <w:pPr>
        <w:ind w:left="4160" w:hanging="420"/>
      </w:pPr>
    </w:lvl>
    <w:lvl w:ilvl="8" w:tentative="0">
      <w:start w:val="1"/>
      <w:numFmt w:val="lowerRoman"/>
      <w:lvlText w:val="%9."/>
      <w:lvlJc w:val="right"/>
      <w:pPr>
        <w:ind w:left="4580" w:hanging="420"/>
      </w:pPr>
    </w:lvl>
  </w:abstractNum>
  <w:num w:numId="1">
    <w:abstractNumId w:val="1"/>
  </w:num>
  <w:num w:numId="2">
    <w:abstractNumId w:val="5"/>
  </w:num>
  <w:num w:numId="3">
    <w:abstractNumId w:val="4"/>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nforcement="0"/>
  <w:defaultTabStop w:val="420"/>
  <w:drawingGridHorizontalSpacing w:val="0"/>
  <w:drawingGridVerticalSpacing w:val="0"/>
  <w:displayHorizontalDrawingGridEvery w:val="0"/>
  <w:displayVerticalDrawingGridEvery w:val="0"/>
  <w:doNotUseMarginsForDrawingGridOrigin w:val="1"/>
  <w:drawingGridHorizontalOrigin w:val="0"/>
  <w:drawingGridVerticalOrigin w:val="0"/>
  <w:characterSpacingControl w:val="compressPunctuation"/>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WU5MjFmNDBjNzRlNmM5ZjVjMzZmNjJjZWE1OTBjNmIifQ=="/>
  </w:docVars>
  <w:rsids>
    <w:rsidRoot w:val="005C7A1D"/>
    <w:rsid w:val="00006652"/>
    <w:rsid w:val="00017DDE"/>
    <w:rsid w:val="000237EE"/>
    <w:rsid w:val="00035A1C"/>
    <w:rsid w:val="00052A22"/>
    <w:rsid w:val="000551C3"/>
    <w:rsid w:val="00061A0A"/>
    <w:rsid w:val="00067CB7"/>
    <w:rsid w:val="000977DE"/>
    <w:rsid w:val="000A0A4A"/>
    <w:rsid w:val="000A1297"/>
    <w:rsid w:val="000C0717"/>
    <w:rsid w:val="000C104A"/>
    <w:rsid w:val="000C2517"/>
    <w:rsid w:val="000C6B47"/>
    <w:rsid w:val="000C702F"/>
    <w:rsid w:val="000D2B21"/>
    <w:rsid w:val="000D2D84"/>
    <w:rsid w:val="000F541D"/>
    <w:rsid w:val="00102D45"/>
    <w:rsid w:val="001056D9"/>
    <w:rsid w:val="00117E13"/>
    <w:rsid w:val="00130D7C"/>
    <w:rsid w:val="001553D0"/>
    <w:rsid w:val="00180847"/>
    <w:rsid w:val="00184646"/>
    <w:rsid w:val="00186A29"/>
    <w:rsid w:val="001A10F7"/>
    <w:rsid w:val="001B0C00"/>
    <w:rsid w:val="001B71D2"/>
    <w:rsid w:val="001D3838"/>
    <w:rsid w:val="001F3093"/>
    <w:rsid w:val="001F3968"/>
    <w:rsid w:val="001F45B3"/>
    <w:rsid w:val="001F5404"/>
    <w:rsid w:val="002015AD"/>
    <w:rsid w:val="00203AC3"/>
    <w:rsid w:val="00207EDF"/>
    <w:rsid w:val="00216E62"/>
    <w:rsid w:val="00227B19"/>
    <w:rsid w:val="00227D96"/>
    <w:rsid w:val="00254DDA"/>
    <w:rsid w:val="00260BED"/>
    <w:rsid w:val="002640BD"/>
    <w:rsid w:val="00281695"/>
    <w:rsid w:val="00281C35"/>
    <w:rsid w:val="0028282E"/>
    <w:rsid w:val="00283FFA"/>
    <w:rsid w:val="002A6F5A"/>
    <w:rsid w:val="002C1746"/>
    <w:rsid w:val="002D2DEA"/>
    <w:rsid w:val="002D50FA"/>
    <w:rsid w:val="002D587E"/>
    <w:rsid w:val="002E3DCC"/>
    <w:rsid w:val="002F12A9"/>
    <w:rsid w:val="002F16BD"/>
    <w:rsid w:val="0030134A"/>
    <w:rsid w:val="0033182D"/>
    <w:rsid w:val="0033490B"/>
    <w:rsid w:val="003473EF"/>
    <w:rsid w:val="00365EAB"/>
    <w:rsid w:val="0037333A"/>
    <w:rsid w:val="003858ED"/>
    <w:rsid w:val="003B4585"/>
    <w:rsid w:val="003D64D0"/>
    <w:rsid w:val="003F567F"/>
    <w:rsid w:val="00417D22"/>
    <w:rsid w:val="00417D2B"/>
    <w:rsid w:val="00421AA5"/>
    <w:rsid w:val="0042409B"/>
    <w:rsid w:val="00437EB6"/>
    <w:rsid w:val="00490807"/>
    <w:rsid w:val="004A46AF"/>
    <w:rsid w:val="004B1034"/>
    <w:rsid w:val="004B5048"/>
    <w:rsid w:val="004C257E"/>
    <w:rsid w:val="004C36C5"/>
    <w:rsid w:val="004C524B"/>
    <w:rsid w:val="004D1487"/>
    <w:rsid w:val="004E3149"/>
    <w:rsid w:val="0051203E"/>
    <w:rsid w:val="0051698C"/>
    <w:rsid w:val="00523BF2"/>
    <w:rsid w:val="00530D10"/>
    <w:rsid w:val="00543013"/>
    <w:rsid w:val="00570A3A"/>
    <w:rsid w:val="00585C28"/>
    <w:rsid w:val="005A7561"/>
    <w:rsid w:val="005C33AD"/>
    <w:rsid w:val="005C6AF3"/>
    <w:rsid w:val="005C7A1D"/>
    <w:rsid w:val="005D3503"/>
    <w:rsid w:val="005E0428"/>
    <w:rsid w:val="005F5DBE"/>
    <w:rsid w:val="0060633A"/>
    <w:rsid w:val="00634B57"/>
    <w:rsid w:val="006426FF"/>
    <w:rsid w:val="0064634E"/>
    <w:rsid w:val="0066100A"/>
    <w:rsid w:val="00663D8F"/>
    <w:rsid w:val="00675B6B"/>
    <w:rsid w:val="00676B7D"/>
    <w:rsid w:val="00683D5E"/>
    <w:rsid w:val="006934BB"/>
    <w:rsid w:val="00697572"/>
    <w:rsid w:val="006A74EB"/>
    <w:rsid w:val="006C3BFC"/>
    <w:rsid w:val="006F683B"/>
    <w:rsid w:val="00710E93"/>
    <w:rsid w:val="00713600"/>
    <w:rsid w:val="0072115D"/>
    <w:rsid w:val="007244CD"/>
    <w:rsid w:val="007316A0"/>
    <w:rsid w:val="007416FA"/>
    <w:rsid w:val="00745713"/>
    <w:rsid w:val="00753184"/>
    <w:rsid w:val="007634EC"/>
    <w:rsid w:val="00773D2B"/>
    <w:rsid w:val="00775E03"/>
    <w:rsid w:val="007C13A8"/>
    <w:rsid w:val="007C201F"/>
    <w:rsid w:val="007C315F"/>
    <w:rsid w:val="007D576B"/>
    <w:rsid w:val="007F0327"/>
    <w:rsid w:val="007F0E2A"/>
    <w:rsid w:val="0080499A"/>
    <w:rsid w:val="00805947"/>
    <w:rsid w:val="00812441"/>
    <w:rsid w:val="00814806"/>
    <w:rsid w:val="00820C76"/>
    <w:rsid w:val="0082156B"/>
    <w:rsid w:val="008558D3"/>
    <w:rsid w:val="0085711A"/>
    <w:rsid w:val="00874CAC"/>
    <w:rsid w:val="00880573"/>
    <w:rsid w:val="00891B08"/>
    <w:rsid w:val="008B2A2E"/>
    <w:rsid w:val="008C0553"/>
    <w:rsid w:val="008E72DF"/>
    <w:rsid w:val="008F06C8"/>
    <w:rsid w:val="008F3201"/>
    <w:rsid w:val="00904B41"/>
    <w:rsid w:val="0093435E"/>
    <w:rsid w:val="0093510A"/>
    <w:rsid w:val="009448EB"/>
    <w:rsid w:val="009567E7"/>
    <w:rsid w:val="00991FBF"/>
    <w:rsid w:val="009948BC"/>
    <w:rsid w:val="009A5628"/>
    <w:rsid w:val="009C107D"/>
    <w:rsid w:val="009E201B"/>
    <w:rsid w:val="00A20E9A"/>
    <w:rsid w:val="00A3143F"/>
    <w:rsid w:val="00A3533F"/>
    <w:rsid w:val="00A44CC7"/>
    <w:rsid w:val="00A45E73"/>
    <w:rsid w:val="00A46ABF"/>
    <w:rsid w:val="00A56BD0"/>
    <w:rsid w:val="00A64F32"/>
    <w:rsid w:val="00A66483"/>
    <w:rsid w:val="00AA67E6"/>
    <w:rsid w:val="00AD1AE2"/>
    <w:rsid w:val="00AD5EFA"/>
    <w:rsid w:val="00AD7764"/>
    <w:rsid w:val="00AE0D67"/>
    <w:rsid w:val="00B02DB0"/>
    <w:rsid w:val="00B2277C"/>
    <w:rsid w:val="00B30D94"/>
    <w:rsid w:val="00B348C3"/>
    <w:rsid w:val="00B44337"/>
    <w:rsid w:val="00B529B1"/>
    <w:rsid w:val="00B807DA"/>
    <w:rsid w:val="00B86289"/>
    <w:rsid w:val="00B903BC"/>
    <w:rsid w:val="00BA0214"/>
    <w:rsid w:val="00BC2E69"/>
    <w:rsid w:val="00C109BB"/>
    <w:rsid w:val="00C17C2D"/>
    <w:rsid w:val="00C17FAA"/>
    <w:rsid w:val="00C23480"/>
    <w:rsid w:val="00C266CC"/>
    <w:rsid w:val="00C52298"/>
    <w:rsid w:val="00C65784"/>
    <w:rsid w:val="00C679BB"/>
    <w:rsid w:val="00C82A02"/>
    <w:rsid w:val="00C87C22"/>
    <w:rsid w:val="00C92EE1"/>
    <w:rsid w:val="00CA3720"/>
    <w:rsid w:val="00CA5D54"/>
    <w:rsid w:val="00CC5C6E"/>
    <w:rsid w:val="00D10EB8"/>
    <w:rsid w:val="00D37D69"/>
    <w:rsid w:val="00D41B2A"/>
    <w:rsid w:val="00D52652"/>
    <w:rsid w:val="00D55FD1"/>
    <w:rsid w:val="00D56A80"/>
    <w:rsid w:val="00D758EC"/>
    <w:rsid w:val="00D8184A"/>
    <w:rsid w:val="00D92783"/>
    <w:rsid w:val="00D95845"/>
    <w:rsid w:val="00DC40E3"/>
    <w:rsid w:val="00DF191E"/>
    <w:rsid w:val="00DF316D"/>
    <w:rsid w:val="00E004A6"/>
    <w:rsid w:val="00E01AF3"/>
    <w:rsid w:val="00E13CD4"/>
    <w:rsid w:val="00E418FE"/>
    <w:rsid w:val="00E47F90"/>
    <w:rsid w:val="00E548BC"/>
    <w:rsid w:val="00E5704B"/>
    <w:rsid w:val="00E60AC3"/>
    <w:rsid w:val="00E76AC4"/>
    <w:rsid w:val="00E83A64"/>
    <w:rsid w:val="00E84954"/>
    <w:rsid w:val="00E9677D"/>
    <w:rsid w:val="00EA234F"/>
    <w:rsid w:val="00EB0C39"/>
    <w:rsid w:val="00EB4E4D"/>
    <w:rsid w:val="00ED3026"/>
    <w:rsid w:val="00ED5B2B"/>
    <w:rsid w:val="00ED5F91"/>
    <w:rsid w:val="00EE730A"/>
    <w:rsid w:val="00F15952"/>
    <w:rsid w:val="00F24C10"/>
    <w:rsid w:val="00F448D9"/>
    <w:rsid w:val="00F56E04"/>
    <w:rsid w:val="00F653CB"/>
    <w:rsid w:val="00F80016"/>
    <w:rsid w:val="00F83A95"/>
    <w:rsid w:val="00F9541C"/>
    <w:rsid w:val="00F979F9"/>
    <w:rsid w:val="00FC1A6B"/>
    <w:rsid w:val="00FD75D4"/>
    <w:rsid w:val="00FF3592"/>
    <w:rsid w:val="013019FE"/>
    <w:rsid w:val="01581BE5"/>
    <w:rsid w:val="01E830A7"/>
    <w:rsid w:val="02D37EB0"/>
    <w:rsid w:val="038C33D6"/>
    <w:rsid w:val="042652DF"/>
    <w:rsid w:val="05BE40FB"/>
    <w:rsid w:val="05CB7B8E"/>
    <w:rsid w:val="05F30D52"/>
    <w:rsid w:val="060F2843"/>
    <w:rsid w:val="06320837"/>
    <w:rsid w:val="06410E51"/>
    <w:rsid w:val="075B6A1A"/>
    <w:rsid w:val="078758E5"/>
    <w:rsid w:val="07A51789"/>
    <w:rsid w:val="07D956F0"/>
    <w:rsid w:val="09616470"/>
    <w:rsid w:val="0D6F3717"/>
    <w:rsid w:val="0EBC11BB"/>
    <w:rsid w:val="0F995326"/>
    <w:rsid w:val="0FC306E9"/>
    <w:rsid w:val="0FD6518B"/>
    <w:rsid w:val="10F246E4"/>
    <w:rsid w:val="11953E67"/>
    <w:rsid w:val="119B5D70"/>
    <w:rsid w:val="1702234F"/>
    <w:rsid w:val="18985C69"/>
    <w:rsid w:val="1A0A0AF5"/>
    <w:rsid w:val="1A49562F"/>
    <w:rsid w:val="1A85418F"/>
    <w:rsid w:val="1B8462B0"/>
    <w:rsid w:val="1D752B34"/>
    <w:rsid w:val="1F0F2A13"/>
    <w:rsid w:val="1F4F6990"/>
    <w:rsid w:val="1FA50BDF"/>
    <w:rsid w:val="1FEA77EA"/>
    <w:rsid w:val="201C12BD"/>
    <w:rsid w:val="210F3D49"/>
    <w:rsid w:val="2361109A"/>
    <w:rsid w:val="282F7679"/>
    <w:rsid w:val="28E9232B"/>
    <w:rsid w:val="28F57442"/>
    <w:rsid w:val="29D457AB"/>
    <w:rsid w:val="2F371186"/>
    <w:rsid w:val="30567BE4"/>
    <w:rsid w:val="32923106"/>
    <w:rsid w:val="337F1A8A"/>
    <w:rsid w:val="34AF7BFE"/>
    <w:rsid w:val="36625EF3"/>
    <w:rsid w:val="36B10648"/>
    <w:rsid w:val="3908412D"/>
    <w:rsid w:val="3A6F486B"/>
    <w:rsid w:val="3CF86493"/>
    <w:rsid w:val="3E7F2E17"/>
    <w:rsid w:val="401541B2"/>
    <w:rsid w:val="41CB477D"/>
    <w:rsid w:val="43AF5C17"/>
    <w:rsid w:val="45313B95"/>
    <w:rsid w:val="47072496"/>
    <w:rsid w:val="478A34FC"/>
    <w:rsid w:val="47AA5523"/>
    <w:rsid w:val="482F577C"/>
    <w:rsid w:val="49321993"/>
    <w:rsid w:val="4CC53C01"/>
    <w:rsid w:val="50607003"/>
    <w:rsid w:val="509074BA"/>
    <w:rsid w:val="510164F4"/>
    <w:rsid w:val="53CB6987"/>
    <w:rsid w:val="545A4F71"/>
    <w:rsid w:val="54A2689B"/>
    <w:rsid w:val="554004A2"/>
    <w:rsid w:val="58FA1B08"/>
    <w:rsid w:val="5A5B044A"/>
    <w:rsid w:val="5A715E71"/>
    <w:rsid w:val="5AB94067"/>
    <w:rsid w:val="5BAD5361"/>
    <w:rsid w:val="5C2A51C2"/>
    <w:rsid w:val="5D1F69D4"/>
    <w:rsid w:val="5D84417A"/>
    <w:rsid w:val="60B430B8"/>
    <w:rsid w:val="61554876"/>
    <w:rsid w:val="6278621C"/>
    <w:rsid w:val="64837576"/>
    <w:rsid w:val="65A93AD5"/>
    <w:rsid w:val="65F94B59"/>
    <w:rsid w:val="66613283"/>
    <w:rsid w:val="67F97B21"/>
    <w:rsid w:val="685D5648"/>
    <w:rsid w:val="6904579B"/>
    <w:rsid w:val="6AE517EE"/>
    <w:rsid w:val="6C5C4853"/>
    <w:rsid w:val="6CBE48F7"/>
    <w:rsid w:val="6CDC4906"/>
    <w:rsid w:val="6FFB1846"/>
    <w:rsid w:val="72000C97"/>
    <w:rsid w:val="72C33F7A"/>
    <w:rsid w:val="72D71916"/>
    <w:rsid w:val="73206B70"/>
    <w:rsid w:val="7512151E"/>
    <w:rsid w:val="761558C9"/>
    <w:rsid w:val="76603AE4"/>
    <w:rsid w:val="76D46C00"/>
    <w:rsid w:val="779437BB"/>
    <w:rsid w:val="77AA3761"/>
    <w:rsid w:val="78B72619"/>
    <w:rsid w:val="7A0122DE"/>
    <w:rsid w:val="7AD1070A"/>
    <w:rsid w:val="7B9F58E0"/>
    <w:rsid w:val="7CD868E1"/>
    <w:rsid w:val="7CF57E0E"/>
    <w:rsid w:val="7D3D4087"/>
    <w:rsid w:val="7DA75CB5"/>
    <w:rsid w:val="7F7A3631"/>
    <w:rsid w:val="7F957A5E"/>
    <w:rsid w:val="7FA657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bCs/>
      <w:sz w:val="44"/>
      <w:szCs w:val="44"/>
    </w:rPr>
  </w:style>
  <w:style w:type="paragraph" w:styleId="3">
    <w:name w:val="heading 2"/>
    <w:basedOn w:val="1"/>
    <w:next w:val="1"/>
    <w:qFormat/>
    <w:uiPriority w:val="0"/>
    <w:pPr>
      <w:keepNext/>
      <w:keepLines/>
      <w:numPr>
        <w:ilvl w:val="1"/>
        <w:numId w:val="1"/>
      </w:numPr>
      <w:spacing w:before="260" w:after="260" w:line="415" w:lineRule="auto"/>
      <w:outlineLvl w:val="1"/>
    </w:pPr>
    <w:rPr>
      <w:rFonts w:ascii="Cambria" w:hAnsi="Cambria" w:cs="Cambria"/>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Body Text"/>
    <w:basedOn w:val="1"/>
    <w:uiPriority w:val="0"/>
    <w:rPr>
      <w:rFonts w:ascii="仿宋_GB2312" w:hAnsi="仿宋_GB2312" w:eastAsia="仿宋_GB2312"/>
      <w:kern w:val="0"/>
      <w:sz w:val="24"/>
      <w:szCs w:val="20"/>
    </w:rPr>
  </w:style>
  <w:style w:type="paragraph" w:styleId="5">
    <w:name w:val="Plain Text"/>
    <w:basedOn w:val="1"/>
    <w:link w:val="22"/>
    <w:uiPriority w:val="0"/>
    <w:rPr>
      <w:rFonts w:ascii="宋体" w:hAnsi="Courier New"/>
    </w:rPr>
  </w:style>
  <w:style w:type="paragraph" w:styleId="6">
    <w:name w:val="Balloon Text"/>
    <w:basedOn w:val="1"/>
    <w:link w:val="21"/>
    <w:semiHidden/>
    <w:unhideWhenUsed/>
    <w:uiPriority w:val="99"/>
    <w:rPr>
      <w:sz w:val="18"/>
      <w:szCs w:val="18"/>
    </w:rPr>
  </w:style>
  <w:style w:type="paragraph" w:styleId="7">
    <w:name w:val="footer"/>
    <w:basedOn w:val="1"/>
    <w:uiPriority w:val="0"/>
    <w:pPr>
      <w:tabs>
        <w:tab w:val="center" w:pos="4153"/>
        <w:tab w:val="right" w:pos="8306"/>
      </w:tabs>
      <w:snapToGrid w:val="0"/>
      <w:jc w:val="left"/>
    </w:pPr>
    <w:rPr>
      <w:rFonts w:ascii="Calibri" w:hAnsi="Calibri" w:cs="Calibri"/>
      <w:kern w:val="0"/>
      <w:sz w:val="18"/>
      <w:szCs w:val="20"/>
    </w:rPr>
  </w:style>
  <w:style w:type="paragraph" w:styleId="8">
    <w:name w:val="header"/>
    <w:basedOn w:val="1"/>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Calibri" w:hAnsi="Calibri" w:cs="Calibri"/>
      <w:kern w:val="0"/>
      <w:sz w:val="18"/>
      <w:szCs w:val="20"/>
    </w:rPr>
  </w:style>
  <w:style w:type="paragraph" w:styleId="9">
    <w:name w:val="toc 1"/>
    <w:basedOn w:val="1"/>
    <w:next w:val="1"/>
    <w:uiPriority w:val="0"/>
    <w:pPr>
      <w:tabs>
        <w:tab w:val="right" w:leader="dot" w:pos="8296"/>
      </w:tabs>
      <w:spacing w:before="93"/>
      <w:jc w:val="center"/>
    </w:pPr>
    <w:rPr>
      <w:rFonts w:ascii="仿宋" w:hAnsi="仿宋" w:eastAsia="仿宋" w:cs="仿宋"/>
      <w:sz w:val="28"/>
      <w:szCs w:val="28"/>
    </w:rPr>
  </w:style>
  <w:style w:type="paragraph" w:styleId="10">
    <w:name w:val="toc 2"/>
    <w:basedOn w:val="1"/>
    <w:next w:val="1"/>
    <w:uiPriority w:val="0"/>
    <w:pPr>
      <w:tabs>
        <w:tab w:val="right" w:leader="dot" w:pos="8296"/>
      </w:tabs>
      <w:ind w:left="420"/>
    </w:p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4">
    <w:name w:val="Strong"/>
    <w:qFormat/>
    <w:uiPriority w:val="0"/>
    <w:rPr>
      <w:rFonts w:cs="Times New Roman"/>
      <w:b/>
    </w:rPr>
  </w:style>
  <w:style w:type="character" w:styleId="15">
    <w:name w:val="Emphasis"/>
    <w:qFormat/>
    <w:uiPriority w:val="20"/>
    <w:rPr>
      <w:i/>
      <w:iCs/>
    </w:rPr>
  </w:style>
  <w:style w:type="character" w:styleId="16">
    <w:name w:val="Hyperlink"/>
    <w:uiPriority w:val="0"/>
    <w:rPr>
      <w:rFonts w:cs="Times New Roman"/>
      <w:color w:val="0000FF"/>
      <w:u w:val="single"/>
    </w:rPr>
  </w:style>
  <w:style w:type="character" w:customStyle="1" w:styleId="17">
    <w:name w:val="标题 1 Char"/>
    <w:uiPriority w:val="0"/>
    <w:rPr>
      <w:rFonts w:ascii="Times New Roman" w:hAnsi="Times New Roman" w:cs="Times New Roman"/>
      <w:b/>
      <w:bCs/>
      <w:kern w:val="2"/>
      <w:sz w:val="44"/>
      <w:szCs w:val="44"/>
    </w:rPr>
  </w:style>
  <w:style w:type="character" w:customStyle="1" w:styleId="18">
    <w:name w:val="标题 2 Char"/>
    <w:uiPriority w:val="0"/>
    <w:rPr>
      <w:rFonts w:ascii="Cambria" w:hAnsi="Cambria" w:eastAsia="宋体" w:cs="Times New Roman"/>
      <w:b/>
      <w:bCs/>
      <w:kern w:val="2"/>
      <w:sz w:val="32"/>
      <w:szCs w:val="32"/>
    </w:rPr>
  </w:style>
  <w:style w:type="paragraph" w:customStyle="1" w:styleId="19">
    <w:name w:val="Default"/>
    <w:uiPriority w:val="0"/>
    <w:pPr>
      <w:widowControl w:val="0"/>
      <w:autoSpaceDE w:val="0"/>
    </w:pPr>
    <w:rPr>
      <w:rFonts w:ascii="仿宋" w:hAnsi="仿宋" w:eastAsia="仿宋" w:cs="仿宋"/>
      <w:color w:val="000000"/>
      <w:sz w:val="24"/>
      <w:szCs w:val="24"/>
      <w:lang w:val="en-US" w:eastAsia="zh-CN" w:bidi="ar-SA"/>
    </w:rPr>
  </w:style>
  <w:style w:type="paragraph" w:customStyle="1" w:styleId="20">
    <w:name w:val="列出段落1"/>
    <w:basedOn w:val="1"/>
    <w:uiPriority w:val="0"/>
    <w:pPr>
      <w:ind w:firstLine="420"/>
    </w:pPr>
  </w:style>
  <w:style w:type="character" w:customStyle="1" w:styleId="21">
    <w:name w:val="批注框文本 Char"/>
    <w:basedOn w:val="13"/>
    <w:link w:val="6"/>
    <w:semiHidden/>
    <w:uiPriority w:val="99"/>
    <w:rPr>
      <w:kern w:val="2"/>
      <w:sz w:val="18"/>
      <w:szCs w:val="18"/>
    </w:rPr>
  </w:style>
  <w:style w:type="character" w:customStyle="1" w:styleId="22">
    <w:name w:val="纯文本 Char"/>
    <w:basedOn w:val="13"/>
    <w:link w:val="5"/>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收入、支出总计</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1610.28</c:v>
                </c:pt>
                <c:pt idx="1">
                  <c:v>1796.45</c:v>
                </c:pt>
              </c:numCache>
            </c:numRef>
          </c:val>
        </c:ser>
        <c:dLbls>
          <c:showLegendKey val="0"/>
          <c:showVal val="0"/>
          <c:showCatName val="0"/>
          <c:showSerName val="0"/>
          <c:showPercent val="0"/>
          <c:showBubbleSize val="0"/>
        </c:dLbls>
        <c:gapWidth val="150"/>
        <c:axId val="-988117088"/>
        <c:axId val="-988123072"/>
      </c:barChart>
      <c:catAx>
        <c:axId val="-98811708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88123072"/>
        <c:crosses val="autoZero"/>
        <c:auto val="1"/>
        <c:lblAlgn val="ctr"/>
        <c:lblOffset val="100"/>
        <c:noMultiLvlLbl val="0"/>
      </c:catAx>
      <c:valAx>
        <c:axId val="-9881230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881170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本年收入</c:v>
                </c:pt>
              </c:strCache>
            </c:strRef>
          </c:tx>
          <c:explosion val="0"/>
          <c:dPt>
            <c:idx val="0"/>
            <c:bubble3D val="0"/>
          </c:dPt>
          <c:dPt>
            <c:idx val="1"/>
            <c:bubble3D val="0"/>
          </c:dPt>
          <c:dLbls>
            <c:delete val="1"/>
          </c:dLbls>
          <c:cat>
            <c:strRef>
              <c:f>Sheet1!$A$2:$A$3</c:f>
              <c:strCache>
                <c:ptCount val="2"/>
                <c:pt idx="0">
                  <c:v>一般公共预算财政拨款收入</c:v>
                </c:pt>
                <c:pt idx="1">
                  <c:v>政府性基金预算财政拨款</c:v>
                </c:pt>
              </c:strCache>
            </c:strRef>
          </c:cat>
          <c:val>
            <c:numRef>
              <c:f>Sheet1!$B$2:$B$3</c:f>
              <c:numCache>
                <c:formatCode>General</c:formatCode>
                <c:ptCount val="2"/>
                <c:pt idx="0">
                  <c:v>1758.56</c:v>
                </c:pt>
                <c:pt idx="1">
                  <c:v>37.21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本年支出合计</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287.43</c:v>
                </c:pt>
                <c:pt idx="1">
                  <c:v>3.2</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财政拨款收入、支出总计</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1610.28</c:v>
                </c:pt>
                <c:pt idx="1">
                  <c:v>1796.45</c:v>
                </c:pt>
              </c:numCache>
            </c:numRef>
          </c:val>
        </c:ser>
        <c:dLbls>
          <c:showLegendKey val="0"/>
          <c:showVal val="0"/>
          <c:showCatName val="0"/>
          <c:showSerName val="0"/>
          <c:showPercent val="0"/>
          <c:showBubbleSize val="0"/>
        </c:dLbls>
        <c:gapWidth val="150"/>
        <c:axId val="-680625616"/>
        <c:axId val="-680627792"/>
      </c:barChart>
      <c:catAx>
        <c:axId val="-6806256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0627792"/>
        <c:crosses val="autoZero"/>
        <c:auto val="1"/>
        <c:lblAlgn val="ctr"/>
        <c:lblOffset val="100"/>
        <c:noMultiLvlLbl val="0"/>
      </c:catAx>
      <c:valAx>
        <c:axId val="-6806277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062561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invertIfNegative val="0"/>
          <c:dLbls>
            <c:delete val="1"/>
          </c:dLbls>
          <c:cat>
            <c:numRef>
              <c:f>Sheet1!$A$2:$A$3</c:f>
              <c:numCache>
                <c:formatCode>General</c:formatCode>
                <c:ptCount val="2"/>
                <c:pt idx="0">
                  <c:v>2020</c:v>
                </c:pt>
                <c:pt idx="1">
                  <c:v>2021</c:v>
                </c:pt>
              </c:numCache>
            </c:numRef>
          </c:cat>
          <c:val>
            <c:numRef>
              <c:f>Sheet1!$B$2:$B$3</c:f>
              <c:numCache>
                <c:formatCode>General</c:formatCode>
                <c:ptCount val="2"/>
                <c:pt idx="0">
                  <c:v>1392.73</c:v>
                </c:pt>
                <c:pt idx="1">
                  <c:v>1758.56</c:v>
                </c:pt>
              </c:numCache>
            </c:numRef>
          </c:val>
        </c:ser>
        <c:dLbls>
          <c:showLegendKey val="0"/>
          <c:showVal val="0"/>
          <c:showCatName val="0"/>
          <c:showSerName val="0"/>
          <c:showPercent val="0"/>
          <c:showBubbleSize val="0"/>
        </c:dLbls>
        <c:gapWidth val="150"/>
        <c:axId val="-680625072"/>
        <c:axId val="-680623984"/>
      </c:barChart>
      <c:catAx>
        <c:axId val="-6806250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0623984"/>
        <c:crosses val="autoZero"/>
        <c:auto val="1"/>
        <c:lblAlgn val="ctr"/>
        <c:lblOffset val="100"/>
        <c:noMultiLvlLbl val="0"/>
      </c:catAx>
      <c:valAx>
        <c:axId val="-6806239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806250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一般公共服务支出</c:v>
                </c:pt>
                <c:pt idx="1">
                  <c:v>社会保障和就业支出</c:v>
                </c:pt>
                <c:pt idx="2">
                  <c:v>卫生健康支出</c:v>
                </c:pt>
                <c:pt idx="3">
                  <c:v>农林水支出</c:v>
                </c:pt>
                <c:pt idx="4">
                  <c:v>住房保障支出</c:v>
                </c:pt>
              </c:strCache>
            </c:strRef>
          </c:cat>
          <c:val>
            <c:numRef>
              <c:f>Sheet1!$B$2:$B$6</c:f>
              <c:numCache>
                <c:formatCode>General</c:formatCode>
                <c:ptCount val="5"/>
                <c:pt idx="0">
                  <c:v>0.08</c:v>
                </c:pt>
                <c:pt idx="1">
                  <c:v>211.38</c:v>
                </c:pt>
                <c:pt idx="2">
                  <c:v>1434.62</c:v>
                </c:pt>
                <c:pt idx="3">
                  <c:v>86.78</c:v>
                </c:pt>
                <c:pt idx="4">
                  <c:v>26.37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Pt>
            <c:idx val="2"/>
            <c:bubble3D val="0"/>
          </c:dPt>
          <c:dLbls>
            <c:delete val="1"/>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0</c:v>
                </c:pt>
                <c:pt idx="2">
                  <c:v>0.13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909C-992B-4629-9EA2-341E4DF1A1B4}">
  <ds:schemaRefs/>
</ds:datastoreItem>
</file>

<file path=docProps/app.xml><?xml version="1.0" encoding="utf-8"?>
<Properties xmlns="http://schemas.openxmlformats.org/officeDocument/2006/extended-properties" xmlns:vt="http://schemas.openxmlformats.org/officeDocument/2006/docPropsVTypes">
  <Template>Normal</Template>
  <Pages>81</Pages>
  <Words>4918</Words>
  <Characters>28039</Characters>
  <Lines>233</Lines>
  <Paragraphs>65</Paragraphs>
  <TotalTime>462</TotalTime>
  <ScaleCrop>false</ScaleCrop>
  <LinksUpToDate>false</LinksUpToDate>
  <CharactersWithSpaces>32892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2022-09-22T10:18:00Z</dcterms:created>
  <dc:creator>曹颖</dc:creator>
  <cp:lastModifiedBy>王雨函</cp:lastModifiedBy>
  <cp:lastPrinted>2021-07-29T03:56:00Z</cp:lastPrinted>
  <dcterms:modified xsi:type="dcterms:W3CDTF">2023-10-08T03:36:07Z</dcterms:modified>
  <dc:title>四川省***</dc:title>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39752C091920412B8707097672628513</vt:lpwstr>
  </property>
</Properties>
</file>