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000000"/>
          <w:sz w:val="30"/>
          <w:szCs w:val="30"/>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25721"/>
      <w:bookmarkStart w:id="3" w:name="_Toc15396597"/>
      <w:bookmarkStart w:id="4" w:name="_Toc30282"/>
      <w:bookmarkStart w:id="5" w:name="_Toc15396475"/>
      <w:bookmarkStart w:id="6" w:name="_Toc7480"/>
      <w:bookmarkStart w:id="7" w:name="_Toc15378441"/>
      <w:bookmarkStart w:id="8" w:name="_Toc15377193"/>
      <w:r>
        <w:rPr>
          <w:rFonts w:ascii="黑体" w:hAnsi="黑体" w:eastAsia="黑体"/>
          <w:color w:val="000000"/>
          <w:sz w:val="72"/>
          <w:szCs w:val="72"/>
        </w:rPr>
        <w:t>202</w:t>
      </w:r>
      <w:r>
        <w:rPr>
          <w:rFonts w:hint="eastAsia" w:ascii="黑体" w:hAnsi="黑体" w:eastAsia="黑体"/>
          <w:color w:val="000000"/>
          <w:sz w:val="72"/>
          <w:szCs w:val="72"/>
        </w:rPr>
        <w:t>1</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9" w:name="_Toc7556"/>
      <w:bookmarkStart w:id="10" w:name="_Toc1659"/>
      <w:bookmarkStart w:id="11" w:name="_Toc5598"/>
      <w:r>
        <w:rPr>
          <w:rFonts w:hint="eastAsia" w:ascii="方正小标宋简体" w:hAnsi="宋体" w:eastAsia="方正小标宋简体"/>
          <w:color w:val="000000"/>
          <w:sz w:val="72"/>
          <w:szCs w:val="72"/>
        </w:rPr>
        <w:t>仁和区</w:t>
      </w:r>
      <w:bookmarkEnd w:id="0"/>
      <w:bookmarkStart w:id="12" w:name="_Toc15306268"/>
      <w:r>
        <w:rPr>
          <w:rFonts w:hint="eastAsia" w:ascii="方正小标宋简体" w:hAnsi="宋体" w:eastAsia="方正小标宋简体"/>
          <w:color w:val="000000"/>
          <w:sz w:val="72"/>
          <w:szCs w:val="72"/>
          <w:lang w:val="en-US" w:eastAsia="zh-CN"/>
        </w:rPr>
        <w:t>大田镇中心学校</w:t>
      </w:r>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72"/>
          <w:szCs w:val="72"/>
        </w:rPr>
      </w:pPr>
      <w:bookmarkStart w:id="13" w:name="_Toc8613"/>
      <w:bookmarkStart w:id="14" w:name="_Toc22620"/>
      <w:bookmarkStart w:id="15" w:name="_Toc11773"/>
      <w:r>
        <w:rPr>
          <w:rFonts w:hint="eastAsia" w:ascii="方正小标宋简体" w:hAnsi="宋体" w:eastAsia="方正小标宋简体"/>
          <w:color w:val="000000"/>
          <w:sz w:val="72"/>
          <w:szCs w:val="72"/>
        </w:rPr>
        <w:t>决算</w:t>
      </w:r>
      <w:bookmarkEnd w:id="12"/>
      <w:r>
        <w:rPr>
          <w:rFonts w:hint="eastAsia" w:ascii="方正小标宋简体" w:hAnsi="宋体" w:eastAsia="方正小标宋简体"/>
          <w:color w:val="000000"/>
          <w:sz w:val="72"/>
          <w:szCs w:val="72"/>
        </w:rPr>
        <w:t>编制说明</w:t>
      </w:r>
      <w:bookmarkEnd w:id="13"/>
      <w:bookmarkEnd w:id="14"/>
      <w:bookmarkEnd w:id="15"/>
    </w:p>
    <w:p>
      <w:pPr>
        <w:adjustRightInd w:val="0"/>
        <w:snapToGrid w:val="0"/>
        <w:spacing w:line="360" w:lineRule="auto"/>
        <w:jc w:val="center"/>
        <w:outlineLvl w:val="9"/>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bookmarkStart w:id="16" w:name="_Toc15377196"/>
      <w:bookmarkStart w:id="17" w:name="_Toc15396599"/>
      <w:r>
        <w:rPr>
          <w:rFonts w:hint="eastAsia" w:ascii="黑体" w:hAnsi="黑体" w:eastAsia="黑体"/>
          <w:color w:val="000000"/>
          <w:sz w:val="48"/>
          <w:szCs w:val="48"/>
        </w:rPr>
        <w:t>目录</w:t>
      </w:r>
    </w:p>
    <w:p>
      <w:pPr>
        <w:widowControl/>
        <w:jc w:val="center"/>
        <w:rPr>
          <w:rFonts w:ascii="黑体" w:hAnsi="黑体" w:eastAsia="黑体"/>
          <w:sz w:val="28"/>
          <w:szCs w:val="28"/>
        </w:rPr>
      </w:pPr>
    </w:p>
    <w:p/>
    <w:p>
      <w:pPr>
        <w:pStyle w:val="10"/>
      </w:pPr>
      <w:r>
        <w:rPr>
          <w:rFonts w:hint="eastAsia"/>
        </w:rPr>
        <w:t>公开时间：</w:t>
      </w:r>
      <w:r>
        <w:t>202</w:t>
      </w:r>
      <w:r>
        <w:rPr>
          <w:rFonts w:hint="eastAsia"/>
        </w:rPr>
        <w:t>2年</w:t>
      </w:r>
      <w:r>
        <w:rPr>
          <w:rFonts w:hint="eastAsia"/>
          <w:lang w:val="en-US" w:eastAsia="zh-CN"/>
        </w:rPr>
        <w:t>10</w:t>
      </w:r>
      <w:r>
        <w:rPr>
          <w:rFonts w:hint="eastAsia"/>
        </w:rPr>
        <w:t>月</w:t>
      </w:r>
      <w:r>
        <w:rPr>
          <w:rFonts w:hint="eastAsia"/>
          <w:lang w:val="en-US" w:eastAsia="zh-CN"/>
        </w:rPr>
        <w:t>9</w:t>
      </w:r>
      <w:bookmarkStart w:id="154" w:name="_GoBack"/>
      <w:bookmarkEnd w:id="154"/>
      <w:r>
        <w:rPr>
          <w:rFonts w:hint="eastAsia"/>
        </w:rPr>
        <w:t>日</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TOC \o "1-2" \h \u </w:instrText>
      </w:r>
      <w:r>
        <w:rPr>
          <w:rFonts w:hint="eastAsia" w:ascii="宋体" w:hAnsi="宋体" w:eastAsia="宋体" w:cs="宋体"/>
          <w:b w:val="0"/>
          <w:bCs/>
          <w:sz w:val="24"/>
          <w:szCs w:val="24"/>
        </w:rPr>
        <w:fldChar w:fldCharType="separate"/>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_Toc28617 </w:instrText>
      </w:r>
      <w:r>
        <w:rPr>
          <w:rFonts w:hint="eastAsia" w:ascii="宋体" w:hAnsi="宋体" w:eastAsia="宋体" w:cs="宋体"/>
          <w:bCs/>
          <w:szCs w:val="24"/>
        </w:rP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rPr>
        <w:t>单位概况</w:t>
      </w:r>
      <w:r>
        <w:tab/>
      </w:r>
      <w:r>
        <w:fldChar w:fldCharType="begin"/>
      </w:r>
      <w:r>
        <w:instrText xml:space="preserve"> PAGEREF _Toc28617 \h </w:instrText>
      </w:r>
      <w:r>
        <w:fldChar w:fldCharType="separate"/>
      </w:r>
      <w:r>
        <w:t>4</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_Toc31974 </w:instrText>
      </w:r>
      <w:r>
        <w:rPr>
          <w:rFonts w:hint="eastAsia" w:ascii="宋体" w:hAnsi="宋体" w:eastAsia="宋体" w:cs="宋体"/>
          <w:bCs/>
          <w:szCs w:val="24"/>
        </w:rPr>
        <w:fldChar w:fldCharType="separate"/>
      </w:r>
      <w:r>
        <w:rPr>
          <w:rFonts w:hint="eastAsia" w:ascii="黑体" w:hAnsi="黑体" w:eastAsia="黑体"/>
        </w:rPr>
        <w:t>一、职能简介</w:t>
      </w:r>
      <w:r>
        <w:tab/>
      </w:r>
      <w:r>
        <w:fldChar w:fldCharType="begin"/>
      </w:r>
      <w:r>
        <w:instrText xml:space="preserve"> PAGEREF _Toc31974 \h </w:instrText>
      </w:r>
      <w:r>
        <w:fldChar w:fldCharType="separate"/>
      </w:r>
      <w:r>
        <w:t>4</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_Toc11177 </w:instrText>
      </w:r>
      <w:r>
        <w:rPr>
          <w:rFonts w:hint="eastAsia" w:ascii="宋体" w:hAnsi="宋体" w:eastAsia="宋体" w:cs="宋体"/>
          <w:bCs/>
          <w:szCs w:val="24"/>
        </w:rPr>
        <w:fldChar w:fldCharType="separate"/>
      </w:r>
      <w:r>
        <w:rPr>
          <w:rFonts w:hint="default" w:ascii="黑体" w:hAnsi="黑体" w:eastAsia="黑体"/>
          <w:kern w:val="2"/>
          <w:szCs w:val="24"/>
          <w:lang w:val="zh-CN"/>
        </w:rPr>
        <w:t xml:space="preserve">二、 </w:t>
      </w:r>
      <w:r>
        <w:rPr>
          <w:rFonts w:hint="eastAsia" w:ascii="黑体" w:hAnsi="黑体" w:eastAsia="黑体"/>
          <w:kern w:val="2"/>
          <w:szCs w:val="24"/>
          <w:lang w:val="zh-CN"/>
        </w:rPr>
        <w:t>机构设置</w:t>
      </w:r>
      <w:r>
        <w:tab/>
      </w:r>
      <w:r>
        <w:fldChar w:fldCharType="begin"/>
      </w:r>
      <w:r>
        <w:instrText xml:space="preserve"> PAGEREF _Toc11177 \h </w:instrText>
      </w:r>
      <w:r>
        <w:fldChar w:fldCharType="separate"/>
      </w:r>
      <w:r>
        <w:t>4</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_Toc9986 </w:instrText>
      </w:r>
      <w:r>
        <w:rPr>
          <w:rFonts w:hint="eastAsia" w:ascii="宋体" w:hAnsi="宋体" w:eastAsia="宋体" w:cs="宋体"/>
          <w:bCs/>
          <w:szCs w:val="24"/>
        </w:rPr>
        <w:fldChar w:fldCharType="separate"/>
      </w:r>
      <w:r>
        <w:rPr>
          <w:rFonts w:hint="default" w:ascii="黑体" w:hAnsi="黑体" w:eastAsia="黑体"/>
        </w:rPr>
        <w:t xml:space="preserve">三、 </w:t>
      </w:r>
      <w:r>
        <w:rPr>
          <w:rFonts w:hint="eastAsia" w:ascii="黑体" w:hAnsi="黑体" w:eastAsia="黑体"/>
        </w:rPr>
        <w:t>2021年重点工作完成情况</w:t>
      </w:r>
      <w:r>
        <w:tab/>
      </w:r>
      <w:r>
        <w:fldChar w:fldCharType="begin"/>
      </w:r>
      <w:r>
        <w:instrText xml:space="preserve"> PAGEREF _Toc9986 \h </w:instrText>
      </w:r>
      <w:r>
        <w:fldChar w:fldCharType="separate"/>
      </w:r>
      <w:r>
        <w:t>4</w:t>
      </w:r>
      <w:r>
        <w:fldChar w:fldCharType="end"/>
      </w:r>
      <w:r>
        <w:rPr>
          <w:rFonts w:hint="eastAsia" w:ascii="宋体" w:hAnsi="宋体" w:eastAsia="宋体" w:cs="宋体"/>
          <w:bCs/>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_Toc16445 </w:instrText>
      </w:r>
      <w:r>
        <w:rPr>
          <w:rFonts w:hint="eastAsia" w:ascii="宋体" w:hAnsi="宋体" w:eastAsia="宋体" w:cs="宋体"/>
          <w:bCs/>
          <w:szCs w:val="24"/>
        </w:rPr>
        <w:fldChar w:fldCharType="separate"/>
      </w:r>
      <w:r>
        <w:rPr>
          <w:rFonts w:hint="eastAsia" w:ascii="黑体" w:hAnsi="黑体" w:eastAsia="黑体"/>
        </w:rPr>
        <w:t>第二部分</w:t>
      </w:r>
      <w:r>
        <w:rPr>
          <w:rFonts w:ascii="黑体" w:hAnsi="黑体" w:eastAsia="黑体"/>
        </w:rPr>
        <w:t xml:space="preserve"> 202</w:t>
      </w:r>
      <w:r>
        <w:rPr>
          <w:rFonts w:hint="eastAsia" w:ascii="黑体" w:hAnsi="黑体" w:eastAsia="黑体"/>
        </w:rPr>
        <w:t>1年度单位决算情况说明</w:t>
      </w:r>
      <w:r>
        <w:tab/>
      </w:r>
      <w:r>
        <w:fldChar w:fldCharType="begin"/>
      </w:r>
      <w:r>
        <w:instrText xml:space="preserve"> PAGEREF _Toc16445 \h </w:instrText>
      </w:r>
      <w:r>
        <w:fldChar w:fldCharType="separate"/>
      </w:r>
      <w:r>
        <w:t>6</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_Toc11302 </w:instrText>
      </w:r>
      <w:r>
        <w:rPr>
          <w:rFonts w:hint="eastAsia" w:ascii="宋体" w:hAnsi="宋体" w:eastAsia="宋体" w:cs="宋体"/>
          <w:bCs/>
          <w:szCs w:val="24"/>
        </w:rPr>
        <w:fldChar w:fldCharType="separate"/>
      </w:r>
      <w:r>
        <w:rPr>
          <w:rFonts w:hint="default" w:ascii="黑体" w:hAnsi="黑体" w:eastAsia="黑体" w:cs="Times New Roman"/>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_Toc11302 \h </w:instrText>
      </w:r>
      <w:r>
        <w:fldChar w:fldCharType="separate"/>
      </w:r>
      <w:r>
        <w:t>6</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_Toc30032 </w:instrText>
      </w:r>
      <w:r>
        <w:rPr>
          <w:rFonts w:hint="eastAsia" w:ascii="宋体" w:hAnsi="宋体" w:eastAsia="宋体" w:cs="宋体"/>
          <w:bCs/>
          <w:szCs w:val="24"/>
        </w:rPr>
        <w:fldChar w:fldCharType="separate"/>
      </w:r>
      <w:r>
        <w:rPr>
          <w:rFonts w:hint="default" w:ascii="黑体" w:hAnsi="黑体" w:eastAsia="黑体" w:cs="Times New Roman"/>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_Toc30032 \h </w:instrText>
      </w:r>
      <w:r>
        <w:fldChar w:fldCharType="separate"/>
      </w:r>
      <w:r>
        <w:t>6</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_Toc1588 </w:instrText>
      </w:r>
      <w:r>
        <w:rPr>
          <w:rFonts w:hint="eastAsia" w:ascii="宋体" w:hAnsi="宋体" w:eastAsia="宋体" w:cs="宋体"/>
          <w:bCs/>
          <w:szCs w:val="24"/>
        </w:rPr>
        <w:fldChar w:fldCharType="separate"/>
      </w:r>
      <w:r>
        <w:rPr>
          <w:rFonts w:hint="default" w:ascii="黑体" w:hAnsi="黑体" w:eastAsia="黑体" w:cs="Times New Roman"/>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_Toc1588 \h </w:instrText>
      </w:r>
      <w:r>
        <w:fldChar w:fldCharType="separate"/>
      </w:r>
      <w:r>
        <w:t>6</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_Toc1944 </w:instrText>
      </w:r>
      <w:r>
        <w:rPr>
          <w:rFonts w:hint="eastAsia" w:ascii="宋体" w:hAnsi="宋体" w:eastAsia="宋体" w:cs="宋体"/>
          <w:bCs/>
          <w:szCs w:val="24"/>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_Toc1944 \h </w:instrText>
      </w:r>
      <w:r>
        <w:fldChar w:fldCharType="separate"/>
      </w:r>
      <w:r>
        <w:t>6</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_Toc12980 </w:instrText>
      </w:r>
      <w:r>
        <w:rPr>
          <w:rFonts w:hint="eastAsia" w:ascii="宋体" w:hAnsi="宋体" w:eastAsia="宋体" w:cs="宋体"/>
          <w:bCs/>
          <w:szCs w:val="24"/>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_Toc12980 \h </w:instrText>
      </w:r>
      <w:r>
        <w:fldChar w:fldCharType="separate"/>
      </w:r>
      <w:r>
        <w:t>7</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_Toc18726 </w:instrText>
      </w:r>
      <w:r>
        <w:rPr>
          <w:rFonts w:hint="eastAsia" w:ascii="宋体" w:hAnsi="宋体" w:eastAsia="宋体" w:cs="宋体"/>
          <w:bCs/>
          <w:szCs w:val="24"/>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_Toc18726 \h </w:instrText>
      </w:r>
      <w:r>
        <w:fldChar w:fldCharType="separate"/>
      </w:r>
      <w:r>
        <w:t>8</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_Toc28144 </w:instrText>
      </w:r>
      <w:r>
        <w:rPr>
          <w:rFonts w:hint="eastAsia" w:ascii="宋体" w:hAnsi="宋体" w:eastAsia="宋体" w:cs="宋体"/>
          <w:bCs/>
          <w:szCs w:val="24"/>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_Toc28144 \h </w:instrText>
      </w:r>
      <w:r>
        <w:fldChar w:fldCharType="separate"/>
      </w:r>
      <w:r>
        <w:t>9</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_Toc5908 </w:instrText>
      </w:r>
      <w:r>
        <w:rPr>
          <w:rFonts w:hint="eastAsia" w:ascii="宋体" w:hAnsi="宋体" w:eastAsia="宋体" w:cs="宋体"/>
          <w:bCs/>
          <w:szCs w:val="24"/>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_Toc5908 \h </w:instrText>
      </w:r>
      <w:r>
        <w:fldChar w:fldCharType="separate"/>
      </w:r>
      <w:r>
        <w:t>10</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_Toc16025 </w:instrText>
      </w:r>
      <w:r>
        <w:rPr>
          <w:rFonts w:hint="eastAsia" w:ascii="宋体" w:hAnsi="宋体" w:eastAsia="宋体" w:cs="宋体"/>
          <w:bCs/>
          <w:szCs w:val="24"/>
        </w:rPr>
        <w:fldChar w:fldCharType="separate"/>
      </w:r>
      <w:r>
        <w:rPr>
          <w:rFonts w:hint="eastAsia" w:ascii="黑体" w:hAnsi="黑体" w:eastAsia="黑体" w:cs="Times New Roman"/>
        </w:rPr>
        <w:t xml:space="preserve">九、 </w:t>
      </w:r>
      <w:r>
        <w:rPr>
          <w:rFonts w:hint="eastAsia" w:ascii="黑体" w:hAnsi="黑体" w:eastAsia="黑体"/>
        </w:rPr>
        <w:t>国有资本经营预算支出决算情况说明</w:t>
      </w:r>
      <w:r>
        <w:tab/>
      </w:r>
      <w:r>
        <w:fldChar w:fldCharType="begin"/>
      </w:r>
      <w:r>
        <w:instrText xml:space="preserve"> PAGEREF _Toc16025 \h </w:instrText>
      </w:r>
      <w:r>
        <w:fldChar w:fldCharType="separate"/>
      </w:r>
      <w:r>
        <w:t>10</w:t>
      </w:r>
      <w:r>
        <w:fldChar w:fldCharType="end"/>
      </w:r>
      <w:r>
        <w:rPr>
          <w:rFonts w:hint="eastAsia" w:ascii="宋体" w:hAnsi="宋体" w:eastAsia="宋体" w:cs="宋体"/>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_Toc17439 </w:instrText>
      </w:r>
      <w:r>
        <w:rPr>
          <w:rFonts w:hint="eastAsia" w:ascii="宋体" w:hAnsi="宋体" w:eastAsia="宋体" w:cs="宋体"/>
          <w:bCs/>
          <w:szCs w:val="24"/>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_Toc17439 \h </w:instrText>
      </w:r>
      <w:r>
        <w:fldChar w:fldCharType="separate"/>
      </w:r>
      <w:r>
        <w:t>10</w:t>
      </w:r>
      <w:r>
        <w:fldChar w:fldCharType="end"/>
      </w:r>
      <w:r>
        <w:rPr>
          <w:rFonts w:hint="eastAsia" w:ascii="宋体" w:hAnsi="宋体" w:eastAsia="宋体" w:cs="宋体"/>
          <w:bCs/>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_Toc30713 </w:instrText>
      </w:r>
      <w:r>
        <w:rPr>
          <w:rFonts w:hint="eastAsia" w:ascii="宋体" w:hAnsi="宋体" w:eastAsia="宋体" w:cs="宋体"/>
          <w:bCs/>
          <w:szCs w:val="24"/>
        </w:rPr>
        <w:fldChar w:fldCharType="separate"/>
      </w:r>
      <w:r>
        <w:rPr>
          <w:rFonts w:hint="eastAsia" w:ascii="黑体" w:hAnsi="黑体" w:eastAsia="黑体" w:cs="Times New Roman"/>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_Toc30713 \h </w:instrText>
      </w:r>
      <w:r>
        <w:fldChar w:fldCharType="separate"/>
      </w:r>
      <w:r>
        <w:t>12</w:t>
      </w:r>
      <w:r>
        <w:fldChar w:fldCharType="end"/>
      </w:r>
      <w:r>
        <w:rPr>
          <w:rFonts w:hint="eastAsia" w:ascii="宋体" w:hAnsi="宋体" w:eastAsia="宋体" w:cs="宋体"/>
          <w:bCs/>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24"/>
        </w:rPr>
        <w:fldChar w:fldCharType="begin"/>
      </w:r>
      <w:r>
        <w:rPr>
          <w:rFonts w:hint="eastAsia" w:ascii="宋体" w:hAnsi="宋体" w:eastAsia="宋体" w:cs="宋体"/>
          <w:bCs/>
          <w:szCs w:val="24"/>
        </w:rPr>
        <w:instrText xml:space="preserve"> HYPERLINK \l _Toc9494 </w:instrText>
      </w:r>
      <w:r>
        <w:rPr>
          <w:rFonts w:hint="eastAsia" w:ascii="宋体" w:hAnsi="宋体" w:eastAsia="宋体" w:cs="宋体"/>
          <w:bCs/>
          <w:szCs w:val="24"/>
        </w:rPr>
        <w:fldChar w:fldCharType="separate"/>
      </w:r>
      <w:r>
        <w:rPr>
          <w:rFonts w:hint="eastAsia" w:ascii="黑体" w:hAnsi="黑体" w:eastAsia="黑体"/>
          <w:szCs w:val="44"/>
        </w:rPr>
        <w:t>第</w:t>
      </w:r>
      <w:r>
        <w:rPr>
          <w:rFonts w:hint="eastAsia" w:ascii="黑体" w:hAnsi="黑体" w:eastAsia="黑体"/>
        </w:rPr>
        <w:t>四部分</w:t>
      </w:r>
      <w:r>
        <w:rPr>
          <w:rFonts w:ascii="黑体" w:hAnsi="黑体" w:eastAsia="黑体"/>
        </w:rPr>
        <w:t xml:space="preserve"> </w:t>
      </w:r>
      <w:r>
        <w:rPr>
          <w:rFonts w:hint="eastAsia" w:ascii="黑体" w:hAnsi="黑体" w:eastAsia="黑体"/>
        </w:rPr>
        <w:t>附件</w:t>
      </w:r>
      <w:r>
        <w:tab/>
      </w:r>
      <w:r>
        <w:fldChar w:fldCharType="begin"/>
      </w:r>
      <w:r>
        <w:instrText xml:space="preserve"> PAGEREF _Toc9494 \h </w:instrText>
      </w:r>
      <w:r>
        <w:fldChar w:fldCharType="separate"/>
      </w:r>
      <w:r>
        <w:t>16</w:t>
      </w:r>
      <w:r>
        <w:fldChar w:fldCharType="end"/>
      </w:r>
      <w:r>
        <w:rPr>
          <w:rFonts w:hint="eastAsia" w:ascii="宋体" w:hAnsi="宋体" w:eastAsia="宋体" w:cs="宋体"/>
          <w:bCs/>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val="0"/>
          <w:bCs w:val="0"/>
        </w:rPr>
      </w:pPr>
      <w:r>
        <w:rPr>
          <w:rFonts w:hint="eastAsia" w:ascii="宋体" w:hAnsi="宋体" w:eastAsia="宋体" w:cs="宋体"/>
          <w:b w:val="0"/>
          <w:bCs w:val="0"/>
          <w:szCs w:val="24"/>
        </w:rPr>
        <w:fldChar w:fldCharType="begin"/>
      </w:r>
      <w:r>
        <w:rPr>
          <w:rFonts w:hint="eastAsia" w:ascii="宋体" w:hAnsi="宋体" w:eastAsia="宋体" w:cs="宋体"/>
          <w:b w:val="0"/>
          <w:bCs w:val="0"/>
          <w:szCs w:val="24"/>
        </w:rPr>
        <w:instrText xml:space="preserve"> HYPERLINK \l _Toc32395 </w:instrText>
      </w:r>
      <w:r>
        <w:rPr>
          <w:rFonts w:hint="eastAsia" w:ascii="宋体" w:hAnsi="宋体" w:eastAsia="宋体" w:cs="宋体"/>
          <w:b w:val="0"/>
          <w:bCs w:val="0"/>
          <w:szCs w:val="24"/>
        </w:rPr>
        <w:fldChar w:fldCharType="separate"/>
      </w:r>
      <w:r>
        <w:rPr>
          <w:rFonts w:hint="eastAsia" w:ascii="黑体" w:hAnsi="黑体" w:eastAsia="黑体"/>
          <w:b w:val="0"/>
          <w:bCs w:val="0"/>
          <w:szCs w:val="44"/>
        </w:rPr>
        <w:t>第</w:t>
      </w:r>
      <w:r>
        <w:rPr>
          <w:rFonts w:hint="eastAsia" w:ascii="黑体" w:hAnsi="黑体" w:eastAsia="黑体"/>
          <w:b w:val="0"/>
          <w:bCs w:val="0"/>
        </w:rPr>
        <w:t>五部分</w:t>
      </w:r>
      <w:r>
        <w:rPr>
          <w:rFonts w:ascii="黑体" w:hAnsi="黑体" w:eastAsia="黑体"/>
          <w:b w:val="0"/>
          <w:bCs w:val="0"/>
        </w:rPr>
        <w:t xml:space="preserve"> </w:t>
      </w:r>
      <w:r>
        <w:rPr>
          <w:rFonts w:hint="eastAsia" w:ascii="黑体" w:hAnsi="黑体" w:eastAsia="黑体"/>
          <w:b w:val="0"/>
          <w:bCs w:val="0"/>
        </w:rPr>
        <w:t>附表</w:t>
      </w:r>
      <w:r>
        <w:rPr>
          <w:b w:val="0"/>
          <w:bCs w:val="0"/>
        </w:rPr>
        <w:tab/>
      </w:r>
      <w:r>
        <w:rPr>
          <w:b w:val="0"/>
          <w:bCs w:val="0"/>
        </w:rPr>
        <w:fldChar w:fldCharType="begin"/>
      </w:r>
      <w:r>
        <w:rPr>
          <w:b w:val="0"/>
          <w:bCs w:val="0"/>
        </w:rPr>
        <w:instrText xml:space="preserve"> PAGEREF _Toc32395 \h </w:instrText>
      </w:r>
      <w:r>
        <w:rPr>
          <w:b w:val="0"/>
          <w:bCs w:val="0"/>
        </w:rPr>
        <w:fldChar w:fldCharType="separate"/>
      </w:r>
      <w:r>
        <w:rPr>
          <w:b w:val="0"/>
          <w:bCs w:val="0"/>
        </w:rPr>
        <w:t>20</w:t>
      </w:r>
      <w:r>
        <w:rPr>
          <w:b w:val="0"/>
          <w:bCs w:val="0"/>
        </w:rPr>
        <w:fldChar w:fldCharType="end"/>
      </w:r>
      <w:r>
        <w:rPr>
          <w:rFonts w:hint="eastAsia" w:ascii="宋体" w:hAnsi="宋体" w:eastAsia="宋体" w:cs="宋体"/>
          <w:b w:val="0"/>
          <w:bCs w:val="0"/>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_Toc23542 </w:instrText>
      </w:r>
      <w:r>
        <w:rPr>
          <w:rFonts w:hint="eastAsia" w:ascii="宋体" w:hAnsi="宋体" w:eastAsia="宋体" w:cs="宋体"/>
          <w:b/>
          <w:bCs/>
          <w:szCs w:val="24"/>
        </w:rPr>
        <w:fldChar w:fldCharType="separate"/>
      </w:r>
      <w:r>
        <w:rPr>
          <w:rFonts w:hint="eastAsia" w:ascii="仿宋" w:hAnsi="仿宋" w:eastAsia="仿宋"/>
          <w:b/>
          <w:bCs/>
        </w:rPr>
        <w:t>一、收入支出决算总表</w:t>
      </w:r>
      <w:r>
        <w:rPr>
          <w:b/>
          <w:bCs/>
        </w:rPr>
        <w:tab/>
      </w:r>
      <w:r>
        <w:rPr>
          <w:b/>
          <w:bCs/>
        </w:rPr>
        <w:fldChar w:fldCharType="begin"/>
      </w:r>
      <w:r>
        <w:rPr>
          <w:b/>
          <w:bCs/>
        </w:rPr>
        <w:instrText xml:space="preserve"> PAGEREF _Toc23542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_Toc8179 </w:instrText>
      </w:r>
      <w:r>
        <w:rPr>
          <w:rFonts w:hint="eastAsia" w:ascii="宋体" w:hAnsi="宋体" w:eastAsia="宋体" w:cs="宋体"/>
          <w:b/>
          <w:bCs/>
          <w:szCs w:val="24"/>
        </w:rPr>
        <w:fldChar w:fldCharType="separate"/>
      </w:r>
      <w:r>
        <w:rPr>
          <w:rFonts w:hint="eastAsia" w:ascii="仿宋" w:hAnsi="仿宋" w:eastAsia="仿宋"/>
          <w:b/>
          <w:bCs/>
        </w:rPr>
        <w:t>二、收入决算表</w:t>
      </w:r>
      <w:r>
        <w:rPr>
          <w:b/>
          <w:bCs/>
        </w:rPr>
        <w:tab/>
      </w:r>
      <w:r>
        <w:rPr>
          <w:b/>
          <w:bCs/>
        </w:rPr>
        <w:fldChar w:fldCharType="begin"/>
      </w:r>
      <w:r>
        <w:rPr>
          <w:b/>
          <w:bCs/>
        </w:rPr>
        <w:instrText xml:space="preserve"> PAGEREF _Toc8179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_Toc31538 </w:instrText>
      </w:r>
      <w:r>
        <w:rPr>
          <w:rFonts w:hint="eastAsia" w:ascii="宋体" w:hAnsi="宋体" w:eastAsia="宋体" w:cs="宋体"/>
          <w:b/>
          <w:bCs/>
          <w:szCs w:val="24"/>
        </w:rPr>
        <w:fldChar w:fldCharType="separate"/>
      </w:r>
      <w:r>
        <w:rPr>
          <w:rFonts w:hint="eastAsia" w:ascii="仿宋" w:hAnsi="仿宋" w:eastAsia="仿宋"/>
          <w:b/>
          <w:bCs/>
        </w:rPr>
        <w:t>三、支出决算表</w:t>
      </w:r>
      <w:r>
        <w:rPr>
          <w:b/>
          <w:bCs/>
        </w:rPr>
        <w:tab/>
      </w:r>
      <w:r>
        <w:rPr>
          <w:b/>
          <w:bCs/>
        </w:rPr>
        <w:fldChar w:fldCharType="begin"/>
      </w:r>
      <w:r>
        <w:rPr>
          <w:b/>
          <w:bCs/>
        </w:rPr>
        <w:instrText xml:space="preserve"> PAGEREF _Toc31538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val="0"/>
          <w:bCs w:val="0"/>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_Toc5 </w:instrText>
      </w:r>
      <w:r>
        <w:rPr>
          <w:rFonts w:hint="eastAsia" w:ascii="宋体" w:hAnsi="宋体" w:eastAsia="宋体" w:cs="宋体"/>
          <w:b/>
          <w:bCs/>
          <w:szCs w:val="24"/>
        </w:rPr>
        <w:fldChar w:fldCharType="separate"/>
      </w:r>
      <w:r>
        <w:rPr>
          <w:rFonts w:hint="eastAsia" w:ascii="仿宋" w:hAnsi="仿宋" w:eastAsia="仿宋"/>
          <w:b/>
          <w:bCs/>
        </w:rPr>
        <w:t>四、财政拨款收入支出决算总表</w:t>
      </w:r>
      <w:r>
        <w:rPr>
          <w:b/>
          <w:bCs/>
        </w:rPr>
        <w:tab/>
      </w:r>
      <w:r>
        <w:rPr>
          <w:b/>
          <w:bCs/>
        </w:rPr>
        <w:fldChar w:fldCharType="begin"/>
      </w:r>
      <w:r>
        <w:rPr>
          <w:b/>
          <w:bCs/>
        </w:rPr>
        <w:instrText xml:space="preserve"> PAGEREF _Toc5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_Toc18762 </w:instrText>
      </w:r>
      <w:r>
        <w:rPr>
          <w:rFonts w:hint="eastAsia" w:ascii="宋体" w:hAnsi="宋体" w:eastAsia="宋体" w:cs="宋体"/>
          <w:b/>
          <w:bCs/>
          <w:szCs w:val="24"/>
        </w:rPr>
        <w:fldChar w:fldCharType="separate"/>
      </w:r>
      <w:r>
        <w:rPr>
          <w:rFonts w:hint="eastAsia" w:ascii="仿宋" w:hAnsi="仿宋" w:eastAsia="仿宋"/>
          <w:b/>
          <w:bCs/>
        </w:rPr>
        <w:t>五、财政拨款支出决算明细表</w:t>
      </w:r>
      <w:r>
        <w:rPr>
          <w:b/>
          <w:bCs/>
        </w:rPr>
        <w:tab/>
      </w:r>
      <w:r>
        <w:rPr>
          <w:b/>
          <w:bCs/>
        </w:rPr>
        <w:fldChar w:fldCharType="begin"/>
      </w:r>
      <w:r>
        <w:rPr>
          <w:b/>
          <w:bCs/>
        </w:rPr>
        <w:instrText xml:space="preserve"> PAGEREF _Toc18762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_Toc21485 </w:instrText>
      </w:r>
      <w:r>
        <w:rPr>
          <w:rFonts w:hint="eastAsia" w:ascii="宋体" w:hAnsi="宋体" w:eastAsia="宋体" w:cs="宋体"/>
          <w:b/>
          <w:bCs/>
          <w:szCs w:val="24"/>
        </w:rPr>
        <w:fldChar w:fldCharType="separate"/>
      </w:r>
      <w:r>
        <w:rPr>
          <w:rFonts w:hint="eastAsia" w:ascii="仿宋" w:hAnsi="仿宋" w:eastAsia="仿宋"/>
          <w:b/>
          <w:bCs/>
        </w:rPr>
        <w:t>六、一般公共预算财政拨款支出决算表</w:t>
      </w:r>
      <w:r>
        <w:rPr>
          <w:b/>
          <w:bCs/>
        </w:rPr>
        <w:tab/>
      </w:r>
      <w:r>
        <w:rPr>
          <w:b/>
          <w:bCs/>
        </w:rPr>
        <w:fldChar w:fldCharType="begin"/>
      </w:r>
      <w:r>
        <w:rPr>
          <w:b/>
          <w:bCs/>
        </w:rPr>
        <w:instrText xml:space="preserve"> PAGEREF _Toc21485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_Toc30624 </w:instrText>
      </w:r>
      <w:r>
        <w:rPr>
          <w:rFonts w:hint="eastAsia" w:ascii="宋体" w:hAnsi="宋体" w:eastAsia="宋体" w:cs="宋体"/>
          <w:b/>
          <w:bCs/>
          <w:szCs w:val="24"/>
        </w:rPr>
        <w:fldChar w:fldCharType="separate"/>
      </w:r>
      <w:r>
        <w:rPr>
          <w:rFonts w:hint="eastAsia" w:ascii="仿宋" w:hAnsi="仿宋" w:eastAsia="仿宋"/>
          <w:b/>
          <w:bCs/>
        </w:rPr>
        <w:t>七、一般公共预算财政拨款支出决算明细表</w:t>
      </w:r>
      <w:r>
        <w:rPr>
          <w:b/>
          <w:bCs/>
        </w:rPr>
        <w:tab/>
      </w:r>
      <w:r>
        <w:rPr>
          <w:b/>
          <w:bCs/>
        </w:rPr>
        <w:fldChar w:fldCharType="begin"/>
      </w:r>
      <w:r>
        <w:rPr>
          <w:b/>
          <w:bCs/>
        </w:rPr>
        <w:instrText xml:space="preserve"> PAGEREF _Toc30624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_Toc7392 </w:instrText>
      </w:r>
      <w:r>
        <w:rPr>
          <w:rFonts w:hint="eastAsia" w:ascii="宋体" w:hAnsi="宋体" w:eastAsia="宋体" w:cs="宋体"/>
          <w:b/>
          <w:bCs/>
          <w:szCs w:val="24"/>
        </w:rPr>
        <w:fldChar w:fldCharType="separate"/>
      </w:r>
      <w:r>
        <w:rPr>
          <w:rFonts w:hint="eastAsia" w:ascii="仿宋" w:hAnsi="仿宋" w:eastAsia="仿宋"/>
          <w:b/>
          <w:bCs/>
        </w:rPr>
        <w:t>八、一般公共预算财政拨款基本支出决算表</w:t>
      </w:r>
      <w:r>
        <w:rPr>
          <w:b/>
          <w:bCs/>
        </w:rPr>
        <w:tab/>
      </w:r>
      <w:r>
        <w:rPr>
          <w:b/>
          <w:bCs/>
        </w:rPr>
        <w:fldChar w:fldCharType="begin"/>
      </w:r>
      <w:r>
        <w:rPr>
          <w:b/>
          <w:bCs/>
        </w:rPr>
        <w:instrText xml:space="preserve"> PAGEREF _Toc7392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_Toc10887 </w:instrText>
      </w:r>
      <w:r>
        <w:rPr>
          <w:rFonts w:hint="eastAsia" w:ascii="宋体" w:hAnsi="宋体" w:eastAsia="宋体" w:cs="宋体"/>
          <w:b/>
          <w:bCs/>
          <w:szCs w:val="24"/>
        </w:rPr>
        <w:fldChar w:fldCharType="separate"/>
      </w:r>
      <w:r>
        <w:rPr>
          <w:rFonts w:hint="eastAsia" w:ascii="仿宋" w:hAnsi="仿宋" w:eastAsia="仿宋"/>
          <w:b/>
          <w:bCs/>
        </w:rPr>
        <w:t>九、一般公共预算财政拨款项目支出决算表</w:t>
      </w:r>
      <w:r>
        <w:rPr>
          <w:b/>
          <w:bCs/>
        </w:rPr>
        <w:tab/>
      </w:r>
      <w:r>
        <w:rPr>
          <w:b/>
          <w:bCs/>
        </w:rPr>
        <w:fldChar w:fldCharType="begin"/>
      </w:r>
      <w:r>
        <w:rPr>
          <w:b/>
          <w:bCs/>
        </w:rPr>
        <w:instrText xml:space="preserve"> PAGEREF _Toc10887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_Toc15889 </w:instrText>
      </w:r>
      <w:r>
        <w:rPr>
          <w:rFonts w:hint="eastAsia" w:ascii="宋体" w:hAnsi="宋体" w:eastAsia="宋体" w:cs="宋体"/>
          <w:b/>
          <w:bCs/>
          <w:szCs w:val="24"/>
        </w:rPr>
        <w:fldChar w:fldCharType="separate"/>
      </w:r>
      <w:r>
        <w:rPr>
          <w:rFonts w:hint="eastAsia" w:ascii="仿宋" w:hAnsi="仿宋" w:eastAsia="仿宋"/>
          <w:b/>
          <w:bCs/>
        </w:rPr>
        <w:t>十、一般公共预算财政拨款“三公”经费支出决算表</w:t>
      </w:r>
      <w:r>
        <w:rPr>
          <w:b/>
          <w:bCs/>
        </w:rPr>
        <w:tab/>
      </w:r>
      <w:r>
        <w:rPr>
          <w:b/>
          <w:bCs/>
        </w:rPr>
        <w:fldChar w:fldCharType="begin"/>
      </w:r>
      <w:r>
        <w:rPr>
          <w:b/>
          <w:bCs/>
        </w:rPr>
        <w:instrText xml:space="preserve"> PAGEREF _Toc15889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_Toc28644 </w:instrText>
      </w:r>
      <w:r>
        <w:rPr>
          <w:rFonts w:hint="eastAsia" w:ascii="宋体" w:hAnsi="宋体" w:eastAsia="宋体" w:cs="宋体"/>
          <w:b/>
          <w:bCs/>
          <w:szCs w:val="24"/>
        </w:rPr>
        <w:fldChar w:fldCharType="separate"/>
      </w:r>
      <w:r>
        <w:rPr>
          <w:rFonts w:hint="eastAsia" w:ascii="仿宋" w:hAnsi="仿宋" w:eastAsia="仿宋"/>
          <w:b/>
          <w:bCs/>
        </w:rPr>
        <w:t>十一、政府性基金预算财政拨款收入支出决算表</w:t>
      </w:r>
      <w:r>
        <w:rPr>
          <w:b/>
          <w:bCs/>
        </w:rPr>
        <w:tab/>
      </w:r>
      <w:r>
        <w:rPr>
          <w:b/>
          <w:bCs/>
        </w:rPr>
        <w:fldChar w:fldCharType="begin"/>
      </w:r>
      <w:r>
        <w:rPr>
          <w:b/>
          <w:bCs/>
        </w:rPr>
        <w:instrText xml:space="preserve"> PAGEREF _Toc28644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_Toc28488 </w:instrText>
      </w:r>
      <w:r>
        <w:rPr>
          <w:rFonts w:hint="eastAsia" w:ascii="宋体" w:hAnsi="宋体" w:eastAsia="宋体" w:cs="宋体"/>
          <w:b/>
          <w:bCs/>
          <w:szCs w:val="24"/>
        </w:rPr>
        <w:fldChar w:fldCharType="separate"/>
      </w:r>
      <w:r>
        <w:rPr>
          <w:rFonts w:hint="eastAsia" w:ascii="仿宋" w:hAnsi="仿宋" w:eastAsia="仿宋"/>
          <w:b/>
          <w:bCs/>
        </w:rPr>
        <w:t>十二、政府性基金预算财政拨款“三公”经费支出决算表</w:t>
      </w:r>
      <w:r>
        <w:rPr>
          <w:b/>
          <w:bCs/>
        </w:rPr>
        <w:tab/>
      </w:r>
      <w:r>
        <w:rPr>
          <w:b/>
          <w:bCs/>
        </w:rPr>
        <w:fldChar w:fldCharType="begin"/>
      </w:r>
      <w:r>
        <w:rPr>
          <w:b/>
          <w:bCs/>
        </w:rPr>
        <w:instrText xml:space="preserve"> PAGEREF _Toc28488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b/>
          <w:bCs/>
        </w:rPr>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_Toc25586 </w:instrText>
      </w:r>
      <w:r>
        <w:rPr>
          <w:rFonts w:hint="eastAsia" w:ascii="宋体" w:hAnsi="宋体" w:eastAsia="宋体" w:cs="宋体"/>
          <w:b/>
          <w:bCs/>
          <w:szCs w:val="24"/>
        </w:rPr>
        <w:fldChar w:fldCharType="separate"/>
      </w:r>
      <w:r>
        <w:rPr>
          <w:rFonts w:hint="eastAsia" w:ascii="仿宋" w:hAnsi="仿宋" w:eastAsia="仿宋"/>
          <w:b/>
          <w:bCs/>
        </w:rPr>
        <w:t>十三、国有资本经营预算财政拨款收入支出决算表</w:t>
      </w:r>
      <w:r>
        <w:rPr>
          <w:b/>
          <w:bCs/>
        </w:rPr>
        <w:tab/>
      </w:r>
      <w:r>
        <w:rPr>
          <w:b/>
          <w:bCs/>
        </w:rPr>
        <w:fldChar w:fldCharType="begin"/>
      </w:r>
      <w:r>
        <w:rPr>
          <w:b/>
          <w:bCs/>
        </w:rPr>
        <w:instrText xml:space="preserve"> PAGEREF _Toc25586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pPr>
      <w:r>
        <w:rPr>
          <w:rFonts w:hint="eastAsia" w:ascii="宋体" w:hAnsi="宋体" w:eastAsia="宋体" w:cs="宋体"/>
          <w:b/>
          <w:bCs/>
          <w:szCs w:val="24"/>
        </w:rPr>
        <w:fldChar w:fldCharType="begin"/>
      </w:r>
      <w:r>
        <w:rPr>
          <w:rFonts w:hint="eastAsia" w:ascii="宋体" w:hAnsi="宋体" w:eastAsia="宋体" w:cs="宋体"/>
          <w:b/>
          <w:bCs/>
          <w:szCs w:val="24"/>
        </w:rPr>
        <w:instrText xml:space="preserve"> HYPERLINK \l _Toc22816 </w:instrText>
      </w:r>
      <w:r>
        <w:rPr>
          <w:rFonts w:hint="eastAsia" w:ascii="宋体" w:hAnsi="宋体" w:eastAsia="宋体" w:cs="宋体"/>
          <w:b/>
          <w:bCs/>
          <w:szCs w:val="24"/>
        </w:rPr>
        <w:fldChar w:fldCharType="separate"/>
      </w:r>
      <w:r>
        <w:rPr>
          <w:rFonts w:hint="eastAsia" w:ascii="仿宋" w:hAnsi="仿宋" w:eastAsia="仿宋"/>
          <w:b/>
          <w:bCs/>
        </w:rPr>
        <w:t>十四、国有资本经营预算财政拨款支出决算表</w:t>
      </w:r>
      <w:r>
        <w:rPr>
          <w:b/>
          <w:bCs/>
        </w:rPr>
        <w:tab/>
      </w:r>
      <w:r>
        <w:rPr>
          <w:b/>
          <w:bCs/>
        </w:rPr>
        <w:fldChar w:fldCharType="begin"/>
      </w:r>
      <w:r>
        <w:rPr>
          <w:b/>
          <w:bCs/>
        </w:rPr>
        <w:instrText xml:space="preserve"> PAGEREF _Toc22816 \h </w:instrText>
      </w:r>
      <w:r>
        <w:rPr>
          <w:b/>
          <w:bCs/>
        </w:rPr>
        <w:fldChar w:fldCharType="separate"/>
      </w:r>
      <w:r>
        <w:rPr>
          <w:b/>
          <w:bCs/>
        </w:rPr>
        <w:t>21</w:t>
      </w:r>
      <w:r>
        <w:rPr>
          <w:b/>
          <w:bCs/>
        </w:rPr>
        <w:fldChar w:fldCharType="end"/>
      </w:r>
      <w:r>
        <w:rPr>
          <w:rFonts w:hint="eastAsia" w:ascii="宋体" w:hAnsi="宋体" w:eastAsia="宋体" w:cs="宋体"/>
          <w:b/>
          <w:bCs/>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Cs/>
          <w:szCs w:val="24"/>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p>
    <w:p>
      <w:pPr>
        <w:rPr>
          <w:rFonts w:hint="eastAsia" w:ascii="黑体" w:hAnsi="黑体" w:eastAsia="黑体"/>
          <w:b/>
        </w:rPr>
      </w:pPr>
    </w:p>
    <w:p>
      <w:pPr>
        <w:rPr>
          <w:rFonts w:hint="eastAsia" w:ascii="黑体" w:hAnsi="黑体" w:eastAsia="黑体"/>
          <w:b/>
        </w:rPr>
      </w:pPr>
    </w:p>
    <w:p>
      <w:pPr>
        <w:pStyle w:val="2"/>
        <w:rPr>
          <w:rFonts w:hint="eastAsia" w:ascii="黑体" w:hAnsi="黑体" w:eastAsia="黑体"/>
          <w:b w:val="0"/>
        </w:rPr>
      </w:pPr>
      <w:bookmarkStart w:id="18" w:name="_Toc28617"/>
      <w:bookmarkStart w:id="19" w:name="_Toc30913"/>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ascii="黑体" w:hAnsi="黑体" w:eastAsia="黑体"/>
          <w:b/>
        </w:rPr>
      </w:pPr>
    </w:p>
    <w:p>
      <w:pPr>
        <w:rPr>
          <w:rFonts w:hint="eastAsia"/>
        </w:rPr>
      </w:pP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单位概况</w:t>
      </w:r>
      <w:bookmarkEnd w:id="18"/>
      <w:bookmarkEnd w:id="19"/>
    </w:p>
    <w:bookmarkEnd w:id="16"/>
    <w:bookmarkEnd w:id="17"/>
    <w:p>
      <w:pPr>
        <w:pStyle w:val="5"/>
        <w:adjustRightInd w:val="0"/>
        <w:snapToGrid w:val="0"/>
        <w:spacing w:before="93" w:line="600" w:lineRule="exact"/>
        <w:outlineLvl w:val="1"/>
        <w:rPr>
          <w:rFonts w:hint="eastAsia" w:ascii="仿宋" w:hAnsi="仿宋" w:eastAsia="仿宋"/>
          <w:bCs/>
          <w:i/>
          <w:sz w:val="32"/>
          <w:szCs w:val="32"/>
          <w:highlight w:val="yellow"/>
        </w:rPr>
      </w:pPr>
      <w:bookmarkStart w:id="20" w:name="_Toc31974"/>
      <w:bookmarkStart w:id="21" w:name="_Toc12309"/>
      <w:bookmarkStart w:id="22" w:name="_Toc15396600"/>
      <w:bookmarkStart w:id="23" w:name="_Toc15377197"/>
      <w:r>
        <w:rPr>
          <w:rStyle w:val="18"/>
          <w:rFonts w:hint="eastAsia" w:ascii="黑体" w:hAnsi="黑体" w:eastAsia="黑体"/>
        </w:rPr>
        <w:t>一、职能简介</w:t>
      </w:r>
      <w:bookmarkEnd w:id="20"/>
      <w:bookmarkEnd w:id="21"/>
    </w:p>
    <w:p>
      <w:pPr>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i/>
          <w:sz w:val="32"/>
          <w:szCs w:val="32"/>
          <w:highlight w:val="yellow"/>
          <w:lang w:eastAsia="zh-CN"/>
        </w:rPr>
      </w:pPr>
      <w:r>
        <w:rPr>
          <w:rFonts w:hint="eastAsia" w:ascii="仿宋" w:hAnsi="仿宋" w:eastAsia="仿宋" w:cs="仿宋"/>
          <w:sz w:val="32"/>
          <w:szCs w:val="32"/>
        </w:rPr>
        <w:t>制定学校发展目标，制定和健全各项规章制度，规范办学行为，加强教师队伍建设，不断提高教师的政治素质、文化业务水平和科研水平；坚持以教学为中心，保证教学计划的贯彻执行，实施素质教育，围绕培养学生创新精神和实践能力，努力提高教育教学质量。完成本辖区内小学阶段学历教育及相关社会服务。</w:t>
      </w:r>
    </w:p>
    <w:p>
      <w:pPr>
        <w:numPr>
          <w:ilvl w:val="0"/>
          <w:numId w:val="1"/>
        </w:numPr>
        <w:autoSpaceDE/>
        <w:autoSpaceDN/>
        <w:adjustRightInd/>
        <w:spacing w:line="360" w:lineRule="auto"/>
        <w:ind w:firstLine="640" w:firstLineChars="200"/>
        <w:outlineLvl w:val="1"/>
        <w:rPr>
          <w:rFonts w:hint="eastAsia" w:ascii="黑体" w:hAnsi="黑体" w:eastAsia="黑体"/>
          <w:color w:val="FF0000"/>
          <w:kern w:val="2"/>
          <w:sz w:val="32"/>
          <w:szCs w:val="24"/>
          <w:lang w:val="zh-CN"/>
        </w:rPr>
      </w:pPr>
      <w:bookmarkStart w:id="24" w:name="_Toc4356"/>
      <w:bookmarkStart w:id="25" w:name="_Toc11177"/>
      <w:bookmarkStart w:id="26" w:name="_Toc16181"/>
      <w:bookmarkStart w:id="27" w:name="_Toc18240"/>
      <w:bookmarkStart w:id="28" w:name="_Toc4043"/>
      <w:r>
        <w:rPr>
          <w:rFonts w:hint="eastAsia" w:ascii="黑体" w:hAnsi="黑体" w:eastAsia="黑体"/>
          <w:color w:val="FF0000"/>
          <w:kern w:val="2"/>
          <w:sz w:val="32"/>
          <w:szCs w:val="24"/>
          <w:lang w:val="zh-CN"/>
        </w:rPr>
        <w:t>机构设置</w:t>
      </w:r>
      <w:bookmarkEnd w:id="24"/>
      <w:bookmarkEnd w:id="25"/>
      <w:bookmarkEnd w:id="26"/>
      <w:bookmarkEnd w:id="27"/>
    </w:p>
    <w:p>
      <w:pPr>
        <w:numPr>
          <w:ilvl w:val="0"/>
          <w:numId w:val="0"/>
        </w:numPr>
        <w:autoSpaceDE/>
        <w:autoSpaceDN/>
        <w:adjustRightInd/>
        <w:spacing w:line="360" w:lineRule="auto"/>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rPr>
        <w:t>攀枝花市仁和区大田镇中心学校为攀枝花市仁和区教育和体育局所属从事公益服务的公益一类事业单位。攀枝花市仁和区大田镇中心学校事业编制32名</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校级领导职数3名；其中党支部书记、校长 1 名，党支部副书记1名，副校长1名。设3个内设机构</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分别是教务处、德育处、总务处，共有在职教师32人。</w:t>
      </w: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b w:val="0"/>
        </w:rPr>
      </w:pPr>
      <w:bookmarkStart w:id="29" w:name="_Toc9986"/>
      <w:r>
        <w:rPr>
          <w:rFonts w:hint="eastAsia" w:ascii="黑体" w:hAnsi="黑体" w:eastAsia="黑体"/>
          <w:b w:val="0"/>
        </w:rPr>
        <w:t>2021年重点工作完成情况</w:t>
      </w:r>
      <w:bookmarkEnd w:id="28"/>
      <w:bookmarkEnd w:id="29"/>
    </w:p>
    <w:p>
      <w:pPr>
        <w:pageBreakBefore w:val="0"/>
        <w:numPr>
          <w:ilvl w:val="0"/>
          <w:numId w:val="2"/>
        </w:numPr>
        <w:kinsoku/>
        <w:wordWrap/>
        <w:overflowPunct/>
        <w:topLinePunct w:val="0"/>
        <w:autoSpaceDE/>
        <w:autoSpaceDN/>
        <w:bidi w:val="0"/>
        <w:adjustRightInd/>
        <w:snapToGrid/>
        <w:spacing w:line="360" w:lineRule="auto"/>
        <w:ind w:firstLine="822" w:firstLineChars="257"/>
        <w:textAlignment w:val="auto"/>
        <w:rPr>
          <w:rFonts w:hint="eastAsia" w:ascii="仿宋" w:hAnsi="仿宋" w:eastAsia="仿宋" w:cs="仿宋"/>
          <w:sz w:val="32"/>
          <w:szCs w:val="32"/>
        </w:rPr>
      </w:pPr>
      <w:r>
        <w:rPr>
          <w:rFonts w:hint="eastAsia" w:ascii="仿宋" w:hAnsi="仿宋" w:eastAsia="仿宋" w:cs="仿宋"/>
          <w:sz w:val="32"/>
          <w:szCs w:val="32"/>
        </w:rPr>
        <w:t>在劳动教育方面，进一步规范 “三园”劳动教育课堂，深入挖掘劳动教育课程文化，开展了以“三园”为主的语文数学公开课竞赛。同时就“三园”建设申报了省级课题，旨在把劳动教育和课程开发做实在，把课程整合进一步引向深入。</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在校园安全管理方面，严格按照上级文件要求，安全教育天天讲，安全排查周周新，把安全责任落实到了人头。特别是学校校舍及器械安全情况，主动进行排查，发现</w:t>
      </w:r>
      <w:r>
        <w:rPr>
          <w:rFonts w:hint="eastAsia" w:ascii="仿宋" w:hAnsi="仿宋" w:eastAsia="仿宋" w:cs="仿宋"/>
          <w:sz w:val="32"/>
          <w:szCs w:val="32"/>
          <w:lang w:val="en-US" w:eastAsia="zh-CN"/>
        </w:rPr>
        <w:t>教师</w:t>
      </w:r>
      <w:r>
        <w:rPr>
          <w:rFonts w:hint="eastAsia" w:ascii="仿宋" w:hAnsi="仿宋" w:eastAsia="仿宋" w:cs="仿宋"/>
          <w:sz w:val="32"/>
          <w:szCs w:val="32"/>
        </w:rPr>
        <w:t>宿舍已成危房，一个星期时间全部搬离，一个月时间解决了教师住宿问题，让老师安居乐教，也让家长安心和放心。</w:t>
      </w:r>
      <w:r>
        <w:rPr>
          <w:rFonts w:hint="eastAsia" w:ascii="仿宋" w:hAnsi="仿宋" w:eastAsia="仿宋" w:cs="仿宋"/>
          <w:sz w:val="32"/>
          <w:szCs w:val="32"/>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在德育工作方面，结合每月一个主题开展一次大型活动。今年在中国共产党成立100周年的大背景下，依托活动激发师生爱党爱国热情，有效做好了学党史，感党恩，跟党走系列教育活动。另外</w:t>
      </w:r>
      <w:r>
        <w:rPr>
          <w:rFonts w:hint="eastAsia" w:ascii="仿宋" w:hAnsi="仿宋" w:eastAsia="仿宋" w:cs="仿宋"/>
          <w:sz w:val="32"/>
          <w:szCs w:val="32"/>
          <w:lang w:val="en-US" w:eastAsia="zh-CN"/>
        </w:rPr>
        <w:t>学校</w:t>
      </w:r>
      <w:r>
        <w:rPr>
          <w:rFonts w:hint="eastAsia" w:ascii="仿宋" w:hAnsi="仿宋" w:eastAsia="仿宋" w:cs="仿宋"/>
          <w:sz w:val="32"/>
          <w:szCs w:val="32"/>
        </w:rPr>
        <w:t>狠抓学生的作息和日常行为习惯，开齐开足了艺体课程，丰富了学生的学习生活，有效的提升了学生的行为品质和行为习惯。</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在课后服务方面</w:t>
      </w:r>
      <w:r>
        <w:rPr>
          <w:rFonts w:hint="eastAsia" w:ascii="仿宋" w:hAnsi="仿宋" w:eastAsia="仿宋" w:cs="仿宋"/>
          <w:sz w:val="32"/>
          <w:szCs w:val="32"/>
          <w:lang w:val="en-US" w:eastAsia="zh-CN"/>
        </w:rPr>
        <w:t>学校</w:t>
      </w:r>
      <w:r>
        <w:rPr>
          <w:rFonts w:hint="eastAsia" w:ascii="仿宋" w:hAnsi="仿宋" w:eastAsia="仿宋" w:cs="仿宋"/>
          <w:sz w:val="32"/>
          <w:szCs w:val="32"/>
        </w:rPr>
        <w:t>以课后服务为平台，办好乡村少年宫，实行社团活动承包制，和赛事接轨，把体艺“2+1”实实在在的落实到时间上，既保证了学生的体育锻炼时间，也提高了学生的体育能力，足球赛、市区艺术人才大赛成绩优异。</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在教学质量提升方面。</w:t>
      </w:r>
      <w:r>
        <w:rPr>
          <w:rFonts w:hint="eastAsia" w:ascii="仿宋" w:hAnsi="仿宋" w:eastAsia="仿宋" w:cs="仿宋"/>
          <w:sz w:val="32"/>
          <w:szCs w:val="32"/>
          <w:lang w:val="en-US" w:eastAsia="zh-CN"/>
        </w:rPr>
        <w:t>学校</w:t>
      </w:r>
      <w:r>
        <w:rPr>
          <w:rFonts w:hint="eastAsia" w:ascii="仿宋" w:hAnsi="仿宋" w:eastAsia="仿宋" w:cs="仿宋"/>
          <w:sz w:val="32"/>
          <w:szCs w:val="32"/>
        </w:rPr>
        <w:t>采取了年级承包责任制，首次将1、2年级承包给年级组长，年级团队建设、班主任选择、科任教师搭配等均由年级负责人说了算。给足空间促发展，进一步提高了教师的积极性，质量有所提升，其他年级采用学校领导班子成员下沉指导的方式，双向促发展，也进一步提高了学校领导的质量意识，提升了老师的质量紧迫感，2020秋和2021年春季学期各年级排名均有不同程度的提升。</w:t>
      </w:r>
    </w:p>
    <w:p>
      <w:pPr>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在后勤财务管理方面，着力于食堂管理，确保让师生吃得放心和开心。同时加强了人、财、物管理，精打细算，使有限的资金得到合理利用，一年时间，学校办公条件、维护修缮、设备设施都有提升，后勤保障服务运行步入正轨，高效运行。</w:t>
      </w:r>
    </w:p>
    <w:bookmarkEnd w:id="22"/>
    <w:bookmarkEnd w:id="23"/>
    <w:p>
      <w:pPr>
        <w:pStyle w:val="2"/>
        <w:ind w:right="220"/>
        <w:jc w:val="right"/>
        <w:rPr>
          <w:rStyle w:val="17"/>
          <w:rFonts w:ascii="黑体" w:hAnsi="黑体" w:eastAsia="黑体"/>
          <w:b w:val="0"/>
          <w:bCs w:val="0"/>
        </w:rPr>
      </w:pPr>
      <w:bookmarkStart w:id="30" w:name="_Toc18820"/>
      <w:bookmarkStart w:id="31" w:name="_Toc15377204"/>
      <w:bookmarkStart w:id="32" w:name="_Toc15396602"/>
      <w:bookmarkStart w:id="33" w:name="_Toc16445"/>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w:t>
      </w:r>
      <w:r>
        <w:rPr>
          <w:rStyle w:val="17"/>
          <w:rFonts w:hint="eastAsia" w:ascii="黑体" w:hAnsi="黑体" w:eastAsia="黑体"/>
          <w:b w:val="0"/>
          <w:bCs w:val="0"/>
        </w:rPr>
        <w:t>1年度单位决算情况说明</w:t>
      </w:r>
      <w:bookmarkEnd w:id="30"/>
      <w:bookmarkEnd w:id="31"/>
      <w:bookmarkEnd w:id="32"/>
      <w:bookmarkEnd w:id="33"/>
    </w:p>
    <w:p/>
    <w:p>
      <w:pPr>
        <w:pStyle w:val="28"/>
        <w:numPr>
          <w:ilvl w:val="0"/>
          <w:numId w:val="3"/>
        </w:numPr>
        <w:spacing w:line="600" w:lineRule="exact"/>
        <w:ind w:firstLineChars="0"/>
        <w:outlineLvl w:val="1"/>
        <w:rPr>
          <w:rStyle w:val="18"/>
          <w:rFonts w:ascii="黑体" w:hAnsi="黑体" w:eastAsia="黑体"/>
          <w:b w:val="0"/>
        </w:rPr>
      </w:pPr>
      <w:bookmarkStart w:id="34" w:name="_Toc15396603"/>
      <w:bookmarkStart w:id="35" w:name="_Toc11302"/>
      <w:bookmarkStart w:id="36" w:name="_Toc15377205"/>
      <w:bookmarkStart w:id="37" w:name="_Toc511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34"/>
      <w:bookmarkEnd w:id="35"/>
      <w:bookmarkEnd w:id="36"/>
      <w:bookmarkEnd w:id="3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1年度收、支总计</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20年相比，收、支总计各减少</w:t>
      </w:r>
      <w:r>
        <w:rPr>
          <w:rFonts w:hint="eastAsia" w:ascii="仿宋" w:hAnsi="仿宋" w:eastAsia="仿宋"/>
          <w:color w:val="000000"/>
          <w:sz w:val="32"/>
          <w:szCs w:val="32"/>
          <w:lang w:val="en-US" w:eastAsia="zh-CN"/>
        </w:rPr>
        <w:t>47.83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单位人员减少，人员经费减少</w:t>
      </w:r>
      <w:r>
        <w:rPr>
          <w:rFonts w:hint="eastAsia" w:ascii="仿宋" w:hAnsi="仿宋" w:eastAsia="仿宋"/>
          <w:color w:val="000000"/>
          <w:sz w:val="32"/>
          <w:szCs w:val="32"/>
        </w:rPr>
        <w:t>。</w:t>
      </w:r>
    </w:p>
    <w:p>
      <w:pPr>
        <w:pStyle w:val="28"/>
        <w:numPr>
          <w:ilvl w:val="0"/>
          <w:numId w:val="3"/>
        </w:numPr>
        <w:spacing w:line="600" w:lineRule="exact"/>
        <w:ind w:firstLineChars="0"/>
        <w:outlineLvl w:val="1"/>
        <w:rPr>
          <w:rStyle w:val="18"/>
          <w:rFonts w:ascii="黑体" w:hAnsi="黑体" w:eastAsia="黑体"/>
          <w:b w:val="0"/>
        </w:rPr>
      </w:pPr>
      <w:bookmarkStart w:id="38" w:name="_Toc30032"/>
      <w:bookmarkStart w:id="39" w:name="_Toc1835"/>
      <w:bookmarkStart w:id="40" w:name="_Toc15396604"/>
      <w:bookmarkStart w:id="41"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38"/>
      <w:bookmarkEnd w:id="39"/>
      <w:bookmarkEnd w:id="40"/>
      <w:bookmarkEnd w:id="41"/>
    </w:p>
    <w:p>
      <w:pPr>
        <w:spacing w:line="600" w:lineRule="exact"/>
        <w:ind w:firstLine="640" w:firstLineChars="200"/>
        <w:outlineLvl w:val="1"/>
        <w:rPr>
          <w:rFonts w:ascii="仿宋" w:hAnsi="仿宋" w:eastAsia="仿宋"/>
          <w:color w:val="000000"/>
          <w:sz w:val="32"/>
          <w:szCs w:val="32"/>
        </w:rPr>
      </w:pPr>
      <w:bookmarkStart w:id="42" w:name="_Toc13703"/>
      <w:bookmarkStart w:id="43" w:name="_Toc18835"/>
      <w:bookmarkStart w:id="44" w:name="_Toc6163"/>
      <w:r>
        <w:rPr>
          <w:rFonts w:ascii="仿宋" w:hAnsi="仿宋" w:eastAsia="仿宋"/>
          <w:color w:val="000000"/>
          <w:sz w:val="32"/>
          <w:szCs w:val="32"/>
        </w:rPr>
        <w:t>202</w:t>
      </w:r>
      <w:r>
        <w:rPr>
          <w:rFonts w:hint="eastAsia" w:ascii="仿宋" w:hAnsi="仿宋" w:eastAsia="仿宋"/>
          <w:color w:val="000000"/>
          <w:sz w:val="32"/>
          <w:szCs w:val="32"/>
        </w:rPr>
        <w:t>1年本年收入合计</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bookmarkEnd w:id="42"/>
      <w:bookmarkEnd w:id="43"/>
      <w:bookmarkEnd w:id="44"/>
    </w:p>
    <w:p>
      <w:pPr>
        <w:pStyle w:val="28"/>
        <w:numPr>
          <w:ilvl w:val="0"/>
          <w:numId w:val="3"/>
        </w:numPr>
        <w:spacing w:line="600" w:lineRule="exact"/>
        <w:ind w:firstLineChars="0"/>
        <w:outlineLvl w:val="1"/>
        <w:rPr>
          <w:rStyle w:val="18"/>
          <w:rFonts w:ascii="黑体" w:hAnsi="黑体" w:eastAsia="黑体"/>
          <w:b w:val="0"/>
        </w:rPr>
      </w:pPr>
      <w:bookmarkStart w:id="45" w:name="_Toc1588"/>
      <w:bookmarkStart w:id="46" w:name="_Toc15377207"/>
      <w:bookmarkStart w:id="47" w:name="_Toc15396605"/>
      <w:bookmarkStart w:id="48" w:name="_Toc13141"/>
      <w:r>
        <w:rPr>
          <w:rFonts w:hint="eastAsia" w:ascii="黑体" w:hAnsi="黑体" w:eastAsia="黑体"/>
          <w:color w:val="000000"/>
          <w:sz w:val="32"/>
          <w:szCs w:val="32"/>
        </w:rPr>
        <w:t>支</w:t>
      </w:r>
      <w:r>
        <w:rPr>
          <w:rStyle w:val="18"/>
          <w:rFonts w:hint="eastAsia" w:ascii="黑体" w:hAnsi="黑体" w:eastAsia="黑体"/>
          <w:b w:val="0"/>
        </w:rPr>
        <w:t>出决算情况说明</w:t>
      </w:r>
      <w:bookmarkEnd w:id="45"/>
      <w:bookmarkEnd w:id="46"/>
      <w:bookmarkEnd w:id="47"/>
      <w:bookmarkEnd w:id="48"/>
    </w:p>
    <w:p>
      <w:pPr>
        <w:spacing w:line="600" w:lineRule="exact"/>
        <w:ind w:firstLine="640" w:firstLineChars="200"/>
        <w:outlineLvl w:val="1"/>
        <w:rPr>
          <w:rFonts w:hint="eastAsia" w:ascii="仿宋" w:hAnsi="仿宋" w:eastAsia="仿宋"/>
          <w:color w:val="000000"/>
          <w:sz w:val="32"/>
          <w:szCs w:val="32"/>
          <w:lang w:val="en-US" w:eastAsia="zh-CN"/>
        </w:rPr>
      </w:pPr>
      <w:bookmarkStart w:id="49" w:name="_Toc1287"/>
      <w:bookmarkStart w:id="50" w:name="_Toc12496"/>
      <w:bookmarkStart w:id="51" w:name="_Toc5198"/>
      <w:r>
        <w:rPr>
          <w:rFonts w:ascii="仿宋" w:hAnsi="仿宋" w:eastAsia="仿宋"/>
          <w:color w:val="000000"/>
          <w:sz w:val="32"/>
          <w:szCs w:val="32"/>
        </w:rPr>
        <w:t>202</w:t>
      </w:r>
      <w:r>
        <w:rPr>
          <w:rFonts w:hint="eastAsia" w:ascii="仿宋" w:hAnsi="仿宋" w:eastAsia="仿宋"/>
          <w:color w:val="000000"/>
          <w:sz w:val="32"/>
          <w:szCs w:val="32"/>
        </w:rPr>
        <w:t>1年本年支出合计</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565.80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129.03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18.5</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9"/>
      <w:bookmarkEnd w:id="50"/>
      <w:bookmarkEnd w:id="51"/>
    </w:p>
    <w:p>
      <w:pPr>
        <w:spacing w:line="600" w:lineRule="exact"/>
        <w:ind w:firstLine="640" w:firstLineChars="200"/>
        <w:outlineLvl w:val="1"/>
        <w:rPr>
          <w:rStyle w:val="18"/>
          <w:rFonts w:ascii="黑体" w:hAnsi="黑体" w:eastAsia="黑体"/>
          <w:b w:val="0"/>
        </w:rPr>
      </w:pPr>
      <w:bookmarkStart w:id="52" w:name="_Toc17170"/>
      <w:bookmarkStart w:id="53" w:name="_Toc15396606"/>
      <w:bookmarkStart w:id="54" w:name="_Toc1944"/>
      <w:bookmarkStart w:id="55"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52"/>
      <w:bookmarkEnd w:id="53"/>
      <w:bookmarkEnd w:id="54"/>
      <w:bookmarkEnd w:id="5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1年财政拨款收、支总计</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20年相比，财政拨款收、支总计各减少</w:t>
      </w:r>
      <w:r>
        <w:rPr>
          <w:rFonts w:hint="eastAsia" w:ascii="仿宋" w:hAnsi="仿宋" w:eastAsia="仿宋"/>
          <w:color w:val="000000"/>
          <w:sz w:val="32"/>
          <w:szCs w:val="32"/>
          <w:lang w:val="en-US" w:eastAsia="zh-CN"/>
        </w:rPr>
        <w:t>47.83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6.4</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单位人员减少，人员经费减少</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56" w:name="_Toc15396607"/>
      <w:bookmarkStart w:id="57" w:name="_Toc15377209"/>
      <w:bookmarkStart w:id="58" w:name="_Toc12980"/>
      <w:bookmarkStart w:id="59" w:name="_Toc3184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56"/>
      <w:bookmarkEnd w:id="57"/>
      <w:bookmarkEnd w:id="58"/>
      <w:bookmarkEnd w:id="59"/>
    </w:p>
    <w:p>
      <w:pPr>
        <w:spacing w:line="600" w:lineRule="exact"/>
        <w:ind w:firstLine="643" w:firstLineChars="200"/>
        <w:outlineLvl w:val="2"/>
        <w:rPr>
          <w:rFonts w:ascii="仿宋" w:hAnsi="仿宋" w:eastAsia="仿宋"/>
          <w:b/>
          <w:color w:val="000000"/>
          <w:sz w:val="32"/>
          <w:szCs w:val="32"/>
        </w:rPr>
      </w:pPr>
      <w:bookmarkStart w:id="60" w:name="_Toc15377210"/>
      <w:r>
        <w:rPr>
          <w:rFonts w:hint="eastAsia" w:ascii="仿宋" w:hAnsi="仿宋" w:eastAsia="仿宋"/>
          <w:b/>
          <w:color w:val="000000"/>
          <w:sz w:val="32"/>
          <w:szCs w:val="32"/>
        </w:rPr>
        <w:t>（一）一般公共预算财政拨款支出决算总体情况</w:t>
      </w:r>
      <w:bookmarkEnd w:id="6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20年相比，一般公共预算财政拨款支出减少</w:t>
      </w:r>
      <w:r>
        <w:rPr>
          <w:rFonts w:hint="eastAsia" w:ascii="仿宋" w:hAnsi="仿宋" w:eastAsia="仿宋"/>
          <w:color w:val="000000"/>
          <w:sz w:val="32"/>
          <w:szCs w:val="32"/>
          <w:lang w:val="en-US" w:eastAsia="zh-CN"/>
        </w:rPr>
        <w:t>17.75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单位人员减少，人员经费减少</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61" w:name="_Toc15377211"/>
      <w:r>
        <w:rPr>
          <w:rFonts w:hint="eastAsia" w:ascii="仿宋" w:hAnsi="仿宋" w:eastAsia="仿宋"/>
          <w:b/>
          <w:color w:val="000000"/>
          <w:sz w:val="32"/>
          <w:szCs w:val="32"/>
        </w:rPr>
        <w:t>（二）一般公共预算财政拨款支出决算结构情况</w:t>
      </w:r>
      <w:bookmarkEnd w:id="61"/>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1年一般公共预算财政拨款支出</w:t>
      </w:r>
      <w:r>
        <w:rPr>
          <w:rFonts w:hint="eastAsia" w:ascii="仿宋" w:hAnsi="仿宋" w:eastAsia="仿宋"/>
          <w:color w:val="000000"/>
          <w:sz w:val="32"/>
          <w:szCs w:val="32"/>
          <w:lang w:val="en-US" w:eastAsia="zh-CN"/>
        </w:rPr>
        <w:t>694.83</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color w:val="000000"/>
          <w:sz w:val="32"/>
          <w:szCs w:val="32"/>
        </w:rPr>
        <w:t xml:space="preserve"> 一般公共服务支出</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0.1</w:t>
      </w:r>
      <w:r>
        <w:rPr>
          <w:rFonts w:hint="eastAsia" w:ascii="仿宋" w:hAnsi="仿宋" w:eastAsia="仿宋"/>
          <w:color w:val="000000"/>
          <w:sz w:val="32"/>
          <w:szCs w:val="32"/>
        </w:rPr>
        <w:t>%；教育支出</w:t>
      </w:r>
      <w:r>
        <w:rPr>
          <w:rFonts w:hint="eastAsia" w:ascii="仿宋" w:hAnsi="仿宋" w:eastAsia="仿宋"/>
          <w:color w:val="000000"/>
          <w:sz w:val="32"/>
          <w:szCs w:val="32"/>
          <w:lang w:val="en-US" w:eastAsia="zh-CN"/>
        </w:rPr>
        <w:t>489.63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70.5</w:t>
      </w:r>
      <w:r>
        <w:rPr>
          <w:rFonts w:hint="eastAsia" w:ascii="仿宋" w:hAnsi="仿宋" w:eastAsia="仿宋"/>
          <w:color w:val="000000"/>
          <w:sz w:val="32"/>
          <w:szCs w:val="32"/>
        </w:rPr>
        <w:t>%；社会保障和就业支出</w:t>
      </w:r>
      <w:r>
        <w:rPr>
          <w:rFonts w:hint="eastAsia" w:ascii="仿宋" w:hAnsi="仿宋" w:eastAsia="仿宋"/>
          <w:color w:val="000000"/>
          <w:sz w:val="32"/>
          <w:szCs w:val="32"/>
          <w:lang w:val="en-US" w:eastAsia="zh-CN"/>
        </w:rPr>
        <w:t>116.68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16.8</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32.39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55.13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7.9</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62" w:name="_Toc15377212"/>
      <w:r>
        <w:rPr>
          <w:rFonts w:hint="eastAsia" w:ascii="仿宋" w:hAnsi="仿宋" w:eastAsia="仿宋"/>
          <w:b/>
          <w:color w:val="000000"/>
          <w:sz w:val="32"/>
          <w:szCs w:val="32"/>
        </w:rPr>
        <w:t>（三）一般公共预算财政拨款支出决算具体情况</w:t>
      </w:r>
      <w:bookmarkEnd w:id="62"/>
    </w:p>
    <w:p>
      <w:pPr>
        <w:spacing w:line="600" w:lineRule="exact"/>
        <w:ind w:firstLine="643" w:firstLineChars="200"/>
        <w:outlineLvl w:val="2"/>
        <w:rPr>
          <w:rFonts w:ascii="仿宋" w:hAnsi="仿宋" w:eastAsia="仿宋"/>
          <w:color w:val="FF0000"/>
          <w:sz w:val="32"/>
          <w:szCs w:val="32"/>
        </w:rPr>
      </w:pPr>
      <w:bookmarkStart w:id="63" w:name="_Toc15377213"/>
      <w:bookmarkStart w:id="64" w:name="_Toc15378460"/>
      <w:bookmarkStart w:id="65" w:name="_Toc15377444"/>
      <w:r>
        <w:rPr>
          <w:rFonts w:ascii="仿宋" w:hAnsi="仿宋" w:eastAsia="仿宋"/>
          <w:b/>
          <w:color w:val="000000"/>
          <w:sz w:val="32"/>
          <w:szCs w:val="32"/>
        </w:rPr>
        <w:t>202</w:t>
      </w:r>
      <w:r>
        <w:rPr>
          <w:rFonts w:hint="eastAsia" w:ascii="仿宋" w:hAnsi="仿宋" w:eastAsia="仿宋"/>
          <w:b/>
          <w:color w:val="000000"/>
          <w:sz w:val="32"/>
          <w:szCs w:val="32"/>
        </w:rPr>
        <w:t>1年一般公共预算支出决算数为</w:t>
      </w:r>
      <w:r>
        <w:rPr>
          <w:rFonts w:hint="eastAsia" w:ascii="仿宋" w:hAnsi="仿宋" w:eastAsia="仿宋"/>
          <w:b/>
          <w:color w:val="000000"/>
          <w:sz w:val="32"/>
          <w:szCs w:val="32"/>
          <w:lang w:val="en-US" w:eastAsia="zh-CN"/>
        </w:rPr>
        <w:t>694.83万元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完成调整预算数的</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63"/>
      <w:bookmarkEnd w:id="64"/>
      <w:bookmarkEnd w:id="65"/>
    </w:p>
    <w:p>
      <w:pPr>
        <w:spacing w:line="600" w:lineRule="exact"/>
        <w:ind w:firstLine="643" w:firstLineChars="200"/>
        <w:rPr>
          <w:rFonts w:ascii="仿宋" w:hAnsi="仿宋" w:eastAsia="仿宋"/>
          <w:b/>
          <w:color w:val="000000"/>
          <w:sz w:val="32"/>
          <w:szCs w:val="32"/>
        </w:rPr>
      </w:pPr>
      <w:bookmarkStart w:id="66" w:name="_Toc15396608"/>
      <w:bookmarkStart w:id="67" w:name="_Toc15377214"/>
      <w:r>
        <w:rPr>
          <w:rStyle w:val="14"/>
          <w:rFonts w:ascii="仿宋" w:hAnsi="仿宋" w:eastAsia="仿宋"/>
          <w:bCs/>
          <w:color w:val="000000"/>
          <w:sz w:val="32"/>
          <w:szCs w:val="32"/>
        </w:rPr>
        <w:t>1.</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学前教育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64.02</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普通教育</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小学教育</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397.19</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教育费附加安排的支出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其他教育费附加安排的支出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28.42</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事业单位离退休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66.10</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45.34</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 xml:space="preserve"> 机关事业单位职业年金缴费支出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5.24</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事业单位医疗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26.83</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5.56</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Fonts w:hint="eastAsia" w:ascii="仿宋" w:hAnsi="仿宋" w:eastAsia="仿宋"/>
          <w:b/>
          <w:bCs/>
          <w:color w:val="000000"/>
          <w:sz w:val="32"/>
          <w:szCs w:val="32"/>
          <w:lang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55.13</w:t>
      </w:r>
      <w:r>
        <w:rPr>
          <w:rStyle w:val="14"/>
          <w:rFonts w:hint="eastAsia" w:ascii="仿宋" w:hAnsi="仿宋" w:eastAsia="仿宋"/>
          <w:b w:val="0"/>
          <w:bCs/>
          <w:color w:val="000000"/>
          <w:sz w:val="32"/>
          <w:szCs w:val="32"/>
        </w:rPr>
        <w:t>万元，完成调整预算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与</w:t>
      </w:r>
      <w:r>
        <w:rPr>
          <w:rStyle w:val="14"/>
          <w:rFonts w:hint="eastAsia" w:ascii="仿宋" w:hAnsi="仿宋" w:eastAsia="仿宋"/>
          <w:b w:val="0"/>
          <w:bCs/>
          <w:color w:val="000000"/>
          <w:sz w:val="32"/>
          <w:szCs w:val="32"/>
        </w:rPr>
        <w:t>调整预算数持平。</w:t>
      </w:r>
    </w:p>
    <w:p>
      <w:pPr>
        <w:tabs>
          <w:tab w:val="right" w:pos="8306"/>
        </w:tabs>
        <w:spacing w:line="600" w:lineRule="exact"/>
        <w:ind w:firstLine="640"/>
        <w:outlineLvl w:val="1"/>
        <w:rPr>
          <w:rStyle w:val="18"/>
        </w:rPr>
      </w:pPr>
      <w:bookmarkStart w:id="68" w:name="_Toc3948"/>
      <w:bookmarkStart w:id="69" w:name="_Toc18726"/>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66"/>
      <w:bookmarkEnd w:id="67"/>
      <w:bookmarkEnd w:id="68"/>
      <w:bookmarkEnd w:id="69"/>
      <w:r>
        <w:rPr>
          <w:rStyle w:val="18"/>
          <w:rFonts w:ascii="黑体" w:hAnsi="黑体" w:eastAsia="黑体"/>
          <w:b w:val="0"/>
        </w:rPr>
        <w:tab/>
      </w:r>
    </w:p>
    <w:p>
      <w:pPr>
        <w:spacing w:line="600" w:lineRule="exact"/>
        <w:ind w:firstLine="645"/>
        <w:rPr>
          <w:rFonts w:ascii="仿宋" w:hAnsi="仿宋" w:eastAsia="仿宋"/>
          <w:color w:val="000000"/>
          <w:sz w:val="32"/>
          <w:szCs w:val="32"/>
        </w:rPr>
      </w:pPr>
      <w:bookmarkStart w:id="70" w:name="_Toc15396609"/>
      <w:bookmarkStart w:id="71" w:name="_Toc15377215"/>
      <w:r>
        <w:rPr>
          <w:rFonts w:ascii="仿宋" w:hAnsi="仿宋" w:eastAsia="仿宋"/>
          <w:color w:val="000000"/>
          <w:sz w:val="32"/>
          <w:szCs w:val="32"/>
        </w:rPr>
        <w:t>202</w:t>
      </w:r>
      <w:r>
        <w:rPr>
          <w:rFonts w:hint="eastAsia" w:ascii="仿宋" w:hAnsi="仿宋" w:eastAsia="仿宋"/>
          <w:color w:val="000000"/>
          <w:sz w:val="32"/>
          <w:szCs w:val="32"/>
        </w:rPr>
        <w:t>1年一般公共预算财政拨款基本支出</w:t>
      </w:r>
      <w:r>
        <w:rPr>
          <w:rFonts w:hint="eastAsia" w:ascii="仿宋" w:hAnsi="仿宋" w:eastAsia="仿宋"/>
          <w:color w:val="000000"/>
          <w:sz w:val="32"/>
          <w:szCs w:val="32"/>
          <w:lang w:val="en-US" w:eastAsia="zh-CN"/>
        </w:rPr>
        <w:t>565.79</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550.50</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171.17</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21.52</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146.08</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45.34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职业年金缴费5.24万元、</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26.83</w:t>
      </w:r>
      <w:r>
        <w:rPr>
          <w:rFonts w:hint="eastAsia" w:ascii="仿宋" w:hAnsi="仿宋" w:eastAsia="仿宋"/>
          <w:color w:val="000000"/>
          <w:sz w:val="32"/>
          <w:szCs w:val="32"/>
        </w:rPr>
        <w:t>万元、公务员医疗补助缴费</w:t>
      </w:r>
      <w:r>
        <w:rPr>
          <w:rFonts w:hint="eastAsia" w:ascii="仿宋" w:hAnsi="仿宋" w:eastAsia="仿宋"/>
          <w:color w:val="000000"/>
          <w:sz w:val="32"/>
          <w:szCs w:val="32"/>
          <w:lang w:val="en-US" w:eastAsia="zh-CN"/>
        </w:rPr>
        <w:t>5.56</w:t>
      </w:r>
      <w:r>
        <w:rPr>
          <w:rFonts w:hint="eastAsia" w:ascii="仿宋" w:hAnsi="仿宋" w:eastAsia="仿宋"/>
          <w:color w:val="000000"/>
          <w:sz w:val="32"/>
          <w:szCs w:val="32"/>
        </w:rPr>
        <w:t>万元、其他社会保障缴费</w:t>
      </w:r>
      <w:r>
        <w:rPr>
          <w:rFonts w:hint="eastAsia" w:ascii="仿宋" w:hAnsi="仿宋" w:eastAsia="仿宋"/>
          <w:color w:val="000000"/>
          <w:sz w:val="32"/>
          <w:szCs w:val="32"/>
          <w:lang w:val="en-US" w:eastAsia="zh-CN"/>
        </w:rPr>
        <w:t>5.07</w:t>
      </w:r>
      <w:r>
        <w:rPr>
          <w:rFonts w:hint="eastAsia" w:ascii="仿宋" w:hAnsi="仿宋" w:eastAsia="仿宋"/>
          <w:color w:val="000000"/>
          <w:sz w:val="32"/>
          <w:szCs w:val="32"/>
        </w:rPr>
        <w:t>万元、住房公积金</w:t>
      </w:r>
      <w:r>
        <w:rPr>
          <w:rFonts w:hint="eastAsia" w:ascii="仿宋" w:hAnsi="仿宋" w:eastAsia="仿宋"/>
          <w:color w:val="000000"/>
          <w:sz w:val="32"/>
          <w:szCs w:val="32"/>
          <w:lang w:val="en-US" w:eastAsia="zh-CN"/>
        </w:rPr>
        <w:t>55.13</w:t>
      </w:r>
      <w:r>
        <w:rPr>
          <w:rFonts w:hint="eastAsia" w:ascii="仿宋" w:hAnsi="仿宋" w:eastAsia="仿宋"/>
          <w:color w:val="000000"/>
          <w:sz w:val="32"/>
          <w:szCs w:val="32"/>
        </w:rPr>
        <w:t>万元、生活补助</w:t>
      </w:r>
      <w:r>
        <w:rPr>
          <w:rFonts w:hint="eastAsia" w:ascii="仿宋" w:hAnsi="仿宋" w:eastAsia="仿宋"/>
          <w:color w:val="000000"/>
          <w:sz w:val="32"/>
          <w:szCs w:val="32"/>
          <w:lang w:val="en-US" w:eastAsia="zh-CN"/>
        </w:rPr>
        <w:t>68.56</w:t>
      </w:r>
      <w:r>
        <w:rPr>
          <w:rFonts w:hint="eastAsia" w:ascii="仿宋" w:hAnsi="仿宋" w:eastAsia="仿宋"/>
          <w:color w:val="000000"/>
          <w:sz w:val="32"/>
          <w:szCs w:val="32"/>
        </w:rPr>
        <w:t>万元。</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15.29</w:t>
      </w:r>
      <w:r>
        <w:rPr>
          <w:rFonts w:hint="eastAsia" w:ascii="仿宋" w:hAnsi="仿宋" w:eastAsia="仿宋"/>
          <w:color w:val="000000"/>
          <w:sz w:val="32"/>
          <w:szCs w:val="32"/>
        </w:rPr>
        <w:t>万元，主要包括：印刷费</w:t>
      </w:r>
      <w:r>
        <w:rPr>
          <w:rFonts w:hint="eastAsia" w:ascii="仿宋" w:hAnsi="仿宋" w:eastAsia="仿宋"/>
          <w:color w:val="000000"/>
          <w:sz w:val="32"/>
          <w:szCs w:val="32"/>
          <w:lang w:val="en-US" w:eastAsia="zh-CN"/>
        </w:rPr>
        <w:t>0.20</w:t>
      </w:r>
      <w:r>
        <w:rPr>
          <w:rFonts w:hint="eastAsia" w:ascii="仿宋" w:hAnsi="仿宋" w:eastAsia="仿宋"/>
          <w:color w:val="000000"/>
          <w:sz w:val="32"/>
          <w:szCs w:val="32"/>
        </w:rPr>
        <w:t>万元、工会经费</w:t>
      </w:r>
      <w:r>
        <w:rPr>
          <w:rFonts w:hint="eastAsia" w:ascii="仿宋" w:hAnsi="仿宋" w:eastAsia="仿宋"/>
          <w:color w:val="000000"/>
          <w:sz w:val="32"/>
          <w:szCs w:val="32"/>
          <w:lang w:val="en-US" w:eastAsia="zh-CN"/>
        </w:rPr>
        <w:t>5.84</w:t>
      </w:r>
      <w:r>
        <w:rPr>
          <w:rFonts w:hint="eastAsia" w:ascii="仿宋" w:hAnsi="仿宋" w:eastAsia="仿宋"/>
          <w:color w:val="000000"/>
          <w:sz w:val="32"/>
          <w:szCs w:val="32"/>
        </w:rPr>
        <w:t>万元、福利费</w:t>
      </w:r>
      <w:r>
        <w:rPr>
          <w:rFonts w:hint="eastAsia" w:ascii="仿宋" w:hAnsi="仿宋" w:eastAsia="仿宋"/>
          <w:color w:val="000000"/>
          <w:sz w:val="32"/>
          <w:szCs w:val="32"/>
          <w:lang w:val="en-US" w:eastAsia="zh-CN"/>
        </w:rPr>
        <w:t>8.93</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val="en-US" w:eastAsia="zh-CN"/>
        </w:rPr>
        <w:t>0.32</w:t>
      </w:r>
      <w:r>
        <w:rPr>
          <w:rFonts w:hint="eastAsia" w:ascii="仿宋" w:hAnsi="仿宋" w:eastAsia="仿宋"/>
          <w:color w:val="000000"/>
          <w:sz w:val="32"/>
          <w:szCs w:val="32"/>
        </w:rPr>
        <w:t>万元。</w:t>
      </w:r>
    </w:p>
    <w:p>
      <w:pPr>
        <w:spacing w:line="600" w:lineRule="exact"/>
        <w:ind w:firstLine="640"/>
        <w:outlineLvl w:val="1"/>
        <w:rPr>
          <w:rStyle w:val="18"/>
          <w:rFonts w:ascii="黑体" w:hAnsi="黑体" w:eastAsia="黑体"/>
          <w:b w:val="0"/>
        </w:rPr>
      </w:pPr>
      <w:bookmarkStart w:id="72" w:name="_Toc10625"/>
      <w:bookmarkStart w:id="73" w:name="_Toc28144"/>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70"/>
      <w:bookmarkEnd w:id="71"/>
      <w:bookmarkEnd w:id="72"/>
      <w:bookmarkEnd w:id="73"/>
    </w:p>
    <w:p>
      <w:pPr>
        <w:spacing w:line="600" w:lineRule="exact"/>
        <w:ind w:firstLine="640"/>
        <w:outlineLvl w:val="2"/>
        <w:rPr>
          <w:rFonts w:ascii="仿宋" w:hAnsi="仿宋" w:eastAsia="仿宋"/>
          <w:b/>
          <w:color w:val="000000"/>
          <w:sz w:val="32"/>
          <w:szCs w:val="32"/>
        </w:rPr>
      </w:pPr>
      <w:bookmarkStart w:id="74" w:name="_Toc15377216"/>
      <w:r>
        <w:rPr>
          <w:rFonts w:hint="eastAsia" w:ascii="仿宋" w:hAnsi="仿宋" w:eastAsia="仿宋"/>
          <w:b/>
          <w:color w:val="000000"/>
          <w:sz w:val="32"/>
          <w:szCs w:val="32"/>
        </w:rPr>
        <w:t>（一）“三公”经费财政拨款支出决算总体情况说明</w:t>
      </w:r>
      <w:bookmarkEnd w:id="7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1年“三公”经费财政拨款支出决算为</w:t>
      </w:r>
      <w:r>
        <w:rPr>
          <w:rFonts w:hint="eastAsia" w:ascii="仿宋" w:hAnsi="仿宋" w:eastAsia="仿宋"/>
          <w:color w:val="000000"/>
          <w:sz w:val="32"/>
          <w:szCs w:val="32"/>
          <w:lang w:val="en-US" w:eastAsia="zh-CN"/>
        </w:rPr>
        <w:t>0.35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75" w:name="_Toc15377217"/>
      <w:r>
        <w:rPr>
          <w:rFonts w:hint="eastAsia" w:ascii="仿宋" w:hAnsi="仿宋" w:eastAsia="仿宋"/>
          <w:b/>
          <w:color w:val="000000"/>
          <w:sz w:val="32"/>
          <w:szCs w:val="32"/>
        </w:rPr>
        <w:t>（二）“三公”经费财政拨款支出决算具体情况说明</w:t>
      </w:r>
      <w:bookmarkEnd w:id="7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i/>
          <w:color w:val="000000"/>
          <w:sz w:val="32"/>
          <w:szCs w:val="32"/>
        </w:rPr>
      </w:pPr>
      <w:bookmarkStart w:id="76" w:name="_Toc15377218"/>
      <w:bookmarkStart w:id="77" w:name="_Toc15396610"/>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0.35</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val="en-US" w:eastAsia="zh-CN"/>
        </w:rPr>
        <w:t>比</w:t>
      </w: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val="en-US" w:eastAsia="zh-CN"/>
        </w:rPr>
        <w:t>减少0.30万元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46.2</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辆、小型载客汽车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辆、大中型载客汽车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辆、其他车型</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 w:hAnsi="仿宋" w:eastAsia="仿宋"/>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0.35</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到村小教学点运送物资</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20年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 w:hAnsi="仿宋" w:eastAsia="仿宋"/>
          <w:color w:val="000000"/>
          <w:sz w:val="32"/>
          <w:szCs w:val="32"/>
        </w:rPr>
        <w:t>。</w:t>
      </w:r>
    </w:p>
    <w:p>
      <w:pPr>
        <w:spacing w:line="600" w:lineRule="exact"/>
        <w:ind w:firstLine="640"/>
        <w:outlineLvl w:val="1"/>
        <w:rPr>
          <w:rFonts w:ascii="仿宋" w:hAnsi="仿宋" w:eastAsia="仿宋"/>
          <w:color w:val="000000"/>
          <w:sz w:val="32"/>
          <w:szCs w:val="32"/>
        </w:rPr>
      </w:pPr>
      <w:bookmarkStart w:id="78" w:name="_Toc12126"/>
      <w:bookmarkStart w:id="79" w:name="_Toc29017"/>
      <w:bookmarkStart w:id="80" w:name="_Toc30945"/>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End w:id="78"/>
      <w:bookmarkEnd w:id="79"/>
      <w:bookmarkEnd w:id="80"/>
    </w:p>
    <w:p>
      <w:pPr>
        <w:spacing w:line="600" w:lineRule="exact"/>
        <w:ind w:firstLine="640"/>
        <w:outlineLvl w:val="1"/>
        <w:rPr>
          <w:rStyle w:val="18"/>
          <w:rFonts w:ascii="黑体" w:hAnsi="黑体" w:eastAsia="黑体"/>
        </w:rPr>
      </w:pPr>
      <w:bookmarkStart w:id="81" w:name="_Toc26934"/>
      <w:bookmarkStart w:id="82" w:name="_Toc5908"/>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76"/>
      <w:bookmarkEnd w:id="77"/>
      <w:bookmarkEnd w:id="81"/>
      <w:bookmarkEnd w:id="8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4"/>
        </w:numPr>
        <w:spacing w:line="600" w:lineRule="exact"/>
        <w:ind w:firstLine="640"/>
        <w:outlineLvl w:val="1"/>
        <w:rPr>
          <w:rStyle w:val="18"/>
          <w:rFonts w:ascii="黑体" w:hAnsi="黑体" w:eastAsia="黑体"/>
          <w:b w:val="0"/>
        </w:rPr>
      </w:pPr>
      <w:bookmarkStart w:id="83" w:name="_Toc7773"/>
      <w:bookmarkStart w:id="84" w:name="_Toc15396611"/>
      <w:bookmarkStart w:id="85" w:name="_Toc16025"/>
      <w:bookmarkStart w:id="86" w:name="_Toc15377219"/>
      <w:r>
        <w:rPr>
          <w:rStyle w:val="18"/>
          <w:rFonts w:hint="eastAsia" w:ascii="黑体" w:hAnsi="黑体" w:eastAsia="黑体"/>
          <w:b w:val="0"/>
        </w:rPr>
        <w:t>国有资本经营预算支出决算情况说明</w:t>
      </w:r>
      <w:bookmarkEnd w:id="83"/>
      <w:bookmarkEnd w:id="84"/>
      <w:bookmarkEnd w:id="85"/>
      <w:bookmarkEnd w:id="8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eastAsia="仿宋_GB2312"/>
          <w:color w:val="000000"/>
          <w:sz w:val="32"/>
          <w:szCs w:val="32"/>
        </w:rPr>
        <w:t>1年国有资本经营预算拨款支出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18"/>
          <w:rFonts w:ascii="黑体" w:hAnsi="黑体" w:eastAsia="黑体"/>
        </w:rPr>
      </w:pPr>
      <w:bookmarkStart w:id="87" w:name="_Toc17439"/>
      <w:bookmarkStart w:id="88" w:name="_Toc15377221"/>
      <w:bookmarkStart w:id="89" w:name="_Toc18399"/>
      <w:bookmarkStart w:id="90"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87"/>
      <w:bookmarkEnd w:id="88"/>
      <w:bookmarkEnd w:id="89"/>
      <w:bookmarkEnd w:id="90"/>
    </w:p>
    <w:p>
      <w:pPr>
        <w:spacing w:line="600" w:lineRule="exact"/>
        <w:ind w:firstLine="643" w:firstLineChars="200"/>
        <w:outlineLvl w:val="2"/>
        <w:rPr>
          <w:rFonts w:ascii="仿宋" w:hAnsi="仿宋" w:eastAsia="仿宋"/>
          <w:color w:val="000000"/>
          <w:sz w:val="32"/>
          <w:szCs w:val="32"/>
        </w:rPr>
      </w:pPr>
      <w:bookmarkStart w:id="91" w:name="_Toc15377222"/>
      <w:r>
        <w:rPr>
          <w:rFonts w:hint="eastAsia" w:ascii="仿宋" w:hAnsi="仿宋" w:eastAsia="仿宋"/>
          <w:b/>
          <w:color w:val="000000"/>
          <w:sz w:val="32"/>
          <w:szCs w:val="32"/>
        </w:rPr>
        <w:t>（一）机关运行经费支出情况</w:t>
      </w:r>
      <w:bookmarkEnd w:id="91"/>
    </w:p>
    <w:p>
      <w:pPr>
        <w:spacing w:line="600" w:lineRule="exact"/>
        <w:ind w:firstLine="640"/>
        <w:rPr>
          <w:rFonts w:hint="eastAsia" w:ascii="仿宋" w:hAnsi="仿宋" w:eastAsia="仿宋"/>
          <w:i/>
          <w:color w:val="000000"/>
          <w:sz w:val="32"/>
          <w:szCs w:val="32"/>
        </w:rPr>
      </w:pPr>
      <w:bookmarkStart w:id="92" w:name="_Toc15377223"/>
      <w:r>
        <w:rPr>
          <w:rFonts w:ascii="仿宋_GB2312" w:eastAsia="仿宋_GB2312"/>
          <w:color w:val="000000"/>
          <w:sz w:val="32"/>
          <w:szCs w:val="32"/>
        </w:rPr>
        <w:t>202</w:t>
      </w:r>
      <w:r>
        <w:rPr>
          <w:rFonts w:hint="eastAsia" w:ascii="仿宋_GB2312" w:eastAsia="仿宋_GB2312"/>
          <w:color w:val="000000"/>
          <w:sz w:val="32"/>
          <w:szCs w:val="32"/>
        </w:rPr>
        <w:t>1年，</w:t>
      </w:r>
      <w:r>
        <w:rPr>
          <w:rFonts w:hint="eastAsia" w:ascii="仿宋" w:hAnsi="仿宋" w:eastAsia="仿宋" w:cs="仿宋"/>
          <w:color w:val="000000"/>
          <w:sz w:val="32"/>
          <w:szCs w:val="32"/>
          <w:lang w:eastAsia="zh-CN"/>
        </w:rPr>
        <w:t>攀枝花市仁和区</w:t>
      </w:r>
      <w:r>
        <w:rPr>
          <w:rFonts w:hint="eastAsia" w:ascii="仿宋" w:hAnsi="仿宋" w:eastAsia="仿宋" w:cs="仿宋"/>
          <w:color w:val="000000"/>
          <w:sz w:val="32"/>
          <w:szCs w:val="32"/>
          <w:lang w:val="en-US" w:eastAsia="zh-CN"/>
        </w:rPr>
        <w:t>大田镇中心学校</w:t>
      </w:r>
      <w:r>
        <w:rPr>
          <w:rFonts w:hint="eastAsia" w:ascii="仿宋" w:hAnsi="仿宋" w:eastAsia="仿宋" w:cs="仿宋"/>
          <w:color w:val="000000"/>
          <w:sz w:val="32"/>
          <w:szCs w:val="32"/>
          <w:lang w:eastAsia="zh-CN"/>
        </w:rPr>
        <w:t>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92"/>
    </w:p>
    <w:p>
      <w:pPr>
        <w:spacing w:line="600" w:lineRule="exact"/>
        <w:ind w:firstLine="640" w:firstLineChars="200"/>
        <w:rPr>
          <w:rFonts w:hint="eastAsia" w:ascii="仿宋" w:hAnsi="仿宋" w:eastAsia="仿宋_GB2312"/>
          <w:color w:val="000000"/>
          <w:sz w:val="32"/>
          <w:szCs w:val="32"/>
          <w:lang w:eastAsia="zh-CN"/>
        </w:rPr>
      </w:pPr>
      <w:bookmarkStart w:id="93" w:name="_Toc15377224"/>
      <w:r>
        <w:rPr>
          <w:rFonts w:ascii="仿宋_GB2312" w:eastAsia="仿宋_GB2312"/>
          <w:color w:val="000000"/>
          <w:sz w:val="32"/>
          <w:szCs w:val="32"/>
        </w:rPr>
        <w:t>202</w:t>
      </w:r>
      <w:r>
        <w:rPr>
          <w:rFonts w:hint="eastAsia" w:ascii="仿宋_GB2312" w:eastAsia="仿宋_GB2312"/>
          <w:color w:val="000000"/>
          <w:sz w:val="32"/>
          <w:szCs w:val="32"/>
        </w:rPr>
        <w:t>1年，</w:t>
      </w:r>
      <w:r>
        <w:rPr>
          <w:rFonts w:hint="eastAsia" w:ascii="仿宋" w:hAnsi="仿宋" w:eastAsia="仿宋" w:cs="仿宋"/>
          <w:color w:val="000000"/>
          <w:sz w:val="32"/>
          <w:szCs w:val="32"/>
          <w:lang w:eastAsia="zh-CN"/>
        </w:rPr>
        <w:t>攀枝花市仁和区</w:t>
      </w:r>
      <w:r>
        <w:rPr>
          <w:rFonts w:hint="eastAsia" w:ascii="仿宋" w:hAnsi="仿宋" w:eastAsia="仿宋" w:cs="仿宋"/>
          <w:color w:val="000000"/>
          <w:sz w:val="32"/>
          <w:szCs w:val="32"/>
          <w:lang w:val="en-US" w:eastAsia="zh-CN"/>
        </w:rPr>
        <w:t>大田镇中心学校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10.78</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10.78</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办公设备购置1.64万元，专用设备购置9.14万元</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93"/>
    </w:p>
    <w:p>
      <w:pPr>
        <w:autoSpaceDE w:val="0"/>
        <w:autoSpaceDN w:val="0"/>
        <w:adjustRightInd w:val="0"/>
        <w:spacing w:line="600" w:lineRule="exact"/>
        <w:ind w:firstLine="640" w:firstLineChars="200"/>
        <w:jc w:val="left"/>
        <w:rPr>
          <w:rFonts w:hint="default" w:ascii="仿宋_GB2312" w:eastAsia="仿宋_GB2312"/>
          <w:color w:val="00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eastAsia="仿宋_GB2312"/>
          <w:color w:val="000000"/>
          <w:sz w:val="32"/>
          <w:szCs w:val="32"/>
        </w:rPr>
        <w:t>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攀枝花市仁和区大田镇中心学校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辆，其中：副部（省）级及以上领导用车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辆、离退休干部用车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辆。其中：其他用车主要是用于</w:t>
      </w:r>
      <w:r>
        <w:rPr>
          <w:rFonts w:hint="eastAsia" w:ascii="仿宋_GB2312" w:eastAsia="仿宋_GB2312"/>
          <w:color w:val="000000"/>
          <w:sz w:val="32"/>
          <w:szCs w:val="32"/>
          <w:lang w:val="en-US" w:eastAsia="zh-CN"/>
        </w:rPr>
        <w:t>到村小教学点运送物资.</w:t>
      </w:r>
    </w:p>
    <w:p>
      <w:pPr>
        <w:autoSpaceDE w:val="0"/>
        <w:autoSpaceDN w:val="0"/>
        <w:adjustRightInd w:val="0"/>
        <w:spacing w:line="600" w:lineRule="exact"/>
        <w:ind w:firstLine="640" w:firstLineChars="200"/>
        <w:jc w:val="left"/>
        <w:outlineLvl w:val="2"/>
        <w:rPr>
          <w:rFonts w:hint="eastAsia" w:ascii="仿宋_GB2312" w:eastAsia="仿宋_GB2312"/>
          <w:color w:val="000000"/>
          <w:sz w:val="32"/>
          <w:szCs w:val="32"/>
        </w:rPr>
      </w:pP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 w:hAnsi="仿宋" w:eastAsia="仿宋" w:cs="仿宋"/>
          <w:color w:val="000000"/>
          <w:sz w:val="32"/>
          <w:szCs w:val="32"/>
        </w:rPr>
        <w:t>（套）</w:t>
      </w:r>
      <w:r>
        <w:rPr>
          <w:rFonts w:hint="eastAsia" w:ascii="仿宋_GB2312" w:eastAsia="仿宋_GB2312"/>
          <w:color w:val="000000"/>
          <w:sz w:val="32"/>
          <w:szCs w:val="32"/>
        </w:rPr>
        <w:t>，单价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hint="eastAsia" w:ascii="仿宋" w:hAnsi="仿宋" w:eastAsia="仿宋" w:cs="仿宋"/>
          <w:color w:val="000000"/>
          <w:sz w:val="32"/>
          <w:szCs w:val="32"/>
        </w:rPr>
        <w:t>（套）</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Style w:val="5"/>
        <w:spacing w:before="9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《学前生均公用经费》、《义务教育生均公用经费》、《教育教学管理经费》、《少年宫运转经费》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w:t>
      </w:r>
      <w:r>
        <w:rPr>
          <w:rFonts w:hint="eastAsia" w:ascii="仿宋_GB2312" w:hAnsi="仿宋_GB2312" w:eastAsia="仿宋_GB2312" w:cs="仿宋_GB2312"/>
          <w:i/>
          <w:sz w:val="32"/>
          <w:szCs w:val="32"/>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w:t>
      </w:r>
      <w:r>
        <w:rPr>
          <w:rFonts w:hint="eastAsia" w:ascii="仿宋_GB2312" w:hAnsi="仿宋_GB2312" w:eastAsia="仿宋_GB2312" w:cs="仿宋_GB2312"/>
          <w:i/>
          <w:kern w:val="0"/>
          <w:sz w:val="32"/>
          <w:szCs w:val="32"/>
        </w:rPr>
        <w:t>，</w:t>
      </w:r>
      <w:r>
        <w:rPr>
          <w:rFonts w:hint="eastAsia" w:ascii="仿宋_GB2312" w:hAnsi="仿宋_GB2312" w:eastAsia="仿宋_GB2312" w:cs="仿宋_GB2312"/>
          <w:sz w:val="32"/>
          <w:szCs w:val="32"/>
        </w:rPr>
        <w:t>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5"/>
        <w:spacing w:before="93"/>
        <w:ind w:firstLine="640" w:firstLineChars="200"/>
        <w:rPr>
          <w:rFonts w:hint="eastAsia" w:ascii="仿宋_GB2312" w:hAnsi="仿宋_GB2312" w:eastAsia="仿宋_GB2312" w:cs="仿宋_GB2312"/>
          <w:sz w:val="32"/>
          <w:szCs w:val="32"/>
        </w:rPr>
      </w:pPr>
    </w:p>
    <w:p>
      <w:pPr>
        <w:pStyle w:val="5"/>
        <w:spacing w:before="93"/>
        <w:ind w:firstLine="640" w:firstLineChars="200"/>
        <w:rPr>
          <w:rFonts w:hint="eastAsia" w:ascii="仿宋_GB2312" w:hAnsi="仿宋_GB2312" w:eastAsia="仿宋_GB2312" w:cs="仿宋_GB2312"/>
          <w:sz w:val="32"/>
          <w:szCs w:val="32"/>
        </w:rPr>
      </w:pPr>
    </w:p>
    <w:p>
      <w:pPr>
        <w:pStyle w:val="5"/>
        <w:spacing w:before="93"/>
        <w:ind w:firstLine="640" w:firstLineChars="200"/>
        <w:rPr>
          <w:rFonts w:hint="eastAsia" w:ascii="仿宋_GB2312" w:hAnsi="仿宋_GB2312" w:eastAsia="仿宋_GB2312" w:cs="仿宋_GB2312"/>
          <w:sz w:val="32"/>
          <w:szCs w:val="32"/>
        </w:rPr>
      </w:pPr>
    </w:p>
    <w:p>
      <w:pPr>
        <w:pStyle w:val="5"/>
        <w:spacing w:before="93"/>
        <w:ind w:firstLine="640" w:firstLineChars="200"/>
        <w:rPr>
          <w:rFonts w:hint="eastAsia" w:ascii="仿宋_GB2312" w:hAnsi="仿宋_GB2312" w:eastAsia="仿宋_GB2312" w:cs="仿宋_GB2312"/>
          <w:sz w:val="32"/>
          <w:szCs w:val="32"/>
        </w:rPr>
      </w:pPr>
    </w:p>
    <w:p>
      <w:pPr>
        <w:pStyle w:val="5"/>
        <w:spacing w:before="93"/>
        <w:ind w:firstLine="640" w:firstLineChars="200"/>
        <w:rPr>
          <w:rFonts w:hint="eastAsia" w:ascii="仿宋_GB2312" w:hAnsi="仿宋_GB2312" w:eastAsia="仿宋_GB2312" w:cs="仿宋_GB2312"/>
          <w:sz w:val="32"/>
          <w:szCs w:val="32"/>
        </w:rPr>
      </w:pPr>
    </w:p>
    <w:p>
      <w:pPr>
        <w:pStyle w:val="5"/>
        <w:spacing w:before="93"/>
        <w:ind w:firstLine="640" w:firstLineChars="200"/>
        <w:rPr>
          <w:rFonts w:hint="eastAsia" w:ascii="仿宋_GB2312" w:hAnsi="仿宋_GB2312" w:eastAsia="仿宋_GB2312" w:cs="仿宋_GB2312"/>
          <w:sz w:val="32"/>
          <w:szCs w:val="32"/>
        </w:rPr>
      </w:pPr>
    </w:p>
    <w:p>
      <w:pPr>
        <w:numPr>
          <w:ilvl w:val="0"/>
          <w:numId w:val="5"/>
        </w:numPr>
        <w:spacing w:line="600" w:lineRule="exact"/>
        <w:ind w:firstLine="660" w:firstLineChars="150"/>
        <w:jc w:val="center"/>
        <w:outlineLvl w:val="0"/>
        <w:rPr>
          <w:rStyle w:val="17"/>
          <w:rFonts w:ascii="黑体" w:hAnsi="黑体" w:eastAsia="黑体"/>
          <w:b w:val="0"/>
        </w:rPr>
      </w:pPr>
      <w:bookmarkStart w:id="94" w:name="_Toc15377225"/>
      <w:bookmarkStart w:id="95" w:name="_Toc15396613"/>
      <w:bookmarkStart w:id="96" w:name="_Toc21224"/>
      <w:bookmarkStart w:id="97" w:name="_Toc30713"/>
      <w:r>
        <w:rPr>
          <w:rFonts w:hint="eastAsia" w:ascii="黑体" w:hAnsi="黑体" w:eastAsia="黑体"/>
          <w:color w:val="000000"/>
          <w:sz w:val="44"/>
          <w:szCs w:val="44"/>
        </w:rPr>
        <w:t>名</w:t>
      </w:r>
      <w:r>
        <w:rPr>
          <w:rStyle w:val="17"/>
          <w:rFonts w:hint="eastAsia" w:ascii="黑体" w:hAnsi="黑体" w:eastAsia="黑体"/>
          <w:b w:val="0"/>
        </w:rPr>
        <w:t>词解释</w:t>
      </w:r>
      <w:bookmarkEnd w:id="94"/>
      <w:bookmarkEnd w:id="95"/>
      <w:bookmarkEnd w:id="96"/>
      <w:bookmarkEnd w:id="97"/>
    </w:p>
    <w:p>
      <w:pPr>
        <w:spacing w:line="600" w:lineRule="exact"/>
        <w:jc w:val="left"/>
        <w:rPr>
          <w:rFonts w:ascii="宋体"/>
          <w:b/>
          <w:color w:val="000000"/>
          <w:sz w:val="44"/>
          <w:szCs w:val="44"/>
        </w:rPr>
      </w:pPr>
    </w:p>
    <w:p>
      <w:pPr>
        <w:pStyle w:val="27"/>
        <w:spacing w:line="560" w:lineRule="exact"/>
        <w:ind w:firstLine="640" w:firstLineChars="200"/>
        <w:rPr>
          <w:rFonts w:ascii="仿宋_GB2312" w:eastAsia="仿宋_GB2312"/>
          <w:sz w:val="32"/>
          <w:szCs w:val="32"/>
        </w:rPr>
      </w:pPr>
      <w:bookmarkStart w:id="98" w:name="_Toc15396614"/>
      <w:bookmarkStart w:id="99"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7"/>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5"/>
        <w:rPr>
          <w:rFonts w:hint="eastAsia" w:ascii="仿宋" w:hAnsi="仿宋" w:eastAsia="仿宋" w:cs="仿宋"/>
          <w:color w:val="000000"/>
          <w:sz w:val="32"/>
          <w:szCs w:val="32"/>
        </w:rPr>
      </w:pPr>
      <w:r>
        <w:rPr>
          <w:rFonts w:ascii="仿宋_GB2312" w:eastAsia="仿宋_GB2312"/>
          <w:color w:val="000000"/>
          <w:sz w:val="32"/>
          <w:szCs w:val="32"/>
        </w:rPr>
        <w:t>9.</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（款）学前教育（项）：指财政部门安排的事业单位用于</w:t>
      </w:r>
      <w:r>
        <w:rPr>
          <w:rFonts w:hint="eastAsia" w:ascii="仿宋" w:hAnsi="仿宋" w:eastAsia="仿宋" w:cs="仿宋"/>
          <w:color w:val="000000"/>
          <w:sz w:val="32"/>
          <w:szCs w:val="32"/>
          <w:lang w:eastAsia="zh-CN"/>
        </w:rPr>
        <w:t>学前教育活动</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主要包括：办公费、印刷费、咨询费、手续费、水费、电费、邮电费、物业管理费、差旅费、维修（护）费、租赁费</w:t>
      </w:r>
      <w:r>
        <w:rPr>
          <w:rFonts w:hint="eastAsia" w:ascii="仿宋" w:hAnsi="仿宋" w:eastAsia="仿宋"/>
          <w:color w:val="000000"/>
          <w:sz w:val="32"/>
          <w:szCs w:val="32"/>
          <w:lang w:eastAsia="zh-CN"/>
        </w:rPr>
        <w:t>、</w:t>
      </w:r>
      <w:r>
        <w:rPr>
          <w:rFonts w:hint="eastAsia" w:ascii="仿宋" w:hAnsi="仿宋" w:eastAsia="仿宋"/>
          <w:color w:val="000000"/>
          <w:sz w:val="32"/>
          <w:szCs w:val="32"/>
        </w:rPr>
        <w:t>培训费、劳务费、委托业务费、其他交通费、其他商品和服务支出、办公设备购置、专用设备购置、信息网络及软件购置更新、其他资本性支出等。</w:t>
      </w:r>
    </w:p>
    <w:p>
      <w:pPr>
        <w:spacing w:line="600" w:lineRule="exact"/>
        <w:ind w:firstLine="645"/>
        <w:rPr>
          <w:rFonts w:ascii="仿宋" w:hAnsi="仿宋" w:eastAsia="仿宋"/>
          <w:b/>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（款）小学教育（项）：指财政部门安排的事业单位用于</w:t>
      </w:r>
      <w:r>
        <w:rPr>
          <w:rFonts w:hint="eastAsia" w:ascii="仿宋" w:hAnsi="仿宋" w:eastAsia="仿宋" w:cs="仿宋"/>
          <w:color w:val="000000"/>
          <w:sz w:val="32"/>
          <w:szCs w:val="32"/>
          <w:lang w:eastAsia="zh-CN"/>
        </w:rPr>
        <w:t>小学教育活动</w:t>
      </w:r>
      <w:r>
        <w:rPr>
          <w:rFonts w:hint="eastAsia" w:ascii="仿宋" w:hAnsi="仿宋" w:eastAsia="仿宋"/>
          <w:color w:val="000000"/>
          <w:sz w:val="32"/>
          <w:szCs w:val="32"/>
        </w:rPr>
        <w:t>人员经费</w:t>
      </w:r>
      <w:r>
        <w:rPr>
          <w:rFonts w:hint="eastAsia" w:ascii="仿宋" w:hAnsi="仿宋" w:eastAsia="仿宋"/>
          <w:color w:val="000000"/>
          <w:sz w:val="32"/>
          <w:szCs w:val="32"/>
          <w:lang w:eastAsia="zh-CN"/>
        </w:rPr>
        <w:t>和日常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，人员经费支出</w:t>
      </w:r>
      <w:r>
        <w:rPr>
          <w:rFonts w:hint="eastAsia" w:ascii="仿宋" w:hAnsi="仿宋" w:eastAsia="仿宋"/>
          <w:color w:val="000000"/>
          <w:sz w:val="32"/>
          <w:szCs w:val="32"/>
        </w:rPr>
        <w:t>主要包括：基本工资、津贴补贴、奖金、伙食补助费、绩效工资、其他社会保障缴费、其他工资福利支出、生活补助、奖励金、住房公积金、其他对个人和家庭的补助支出等</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公用经费</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主要包括：办公费、印刷费、咨询费、手续费、水费、电费、邮电费、物业管理费、差旅费、维修（护）费、租赁费、培训费、劳务费、委托业务费、工会经费、福利费、公务用车运行维护费、其他交通费、其他商品和服务支出、办公设备购置、专用设备购置、信息网络及软件购置更新、其他资本性支出等。</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4"/>
          <w:rFonts w:hint="eastAsia" w:ascii="仿宋" w:hAnsi="仿宋" w:eastAsia="仿宋" w:cs="仿宋"/>
          <w:b w:val="0"/>
          <w:bCs w:val="0"/>
          <w:color w:val="000000"/>
          <w:sz w:val="32"/>
          <w:szCs w:val="32"/>
          <w:lang w:val="en-US" w:eastAsia="zh-CN"/>
        </w:rPr>
        <w:t>教育费附加安排的支出</w:t>
      </w:r>
      <w:r>
        <w:rPr>
          <w:rFonts w:hint="eastAsia" w:ascii="仿宋" w:hAnsi="仿宋" w:eastAsia="仿宋" w:cs="仿宋"/>
          <w:color w:val="000000"/>
          <w:sz w:val="32"/>
          <w:szCs w:val="32"/>
        </w:rPr>
        <w:t>（款）其他教育费附加安排的支出（项）：指财政部门安排的事业单位用于</w:t>
      </w:r>
      <w:r>
        <w:rPr>
          <w:rFonts w:hint="eastAsia" w:ascii="仿宋" w:hAnsi="仿宋" w:eastAsia="仿宋" w:cs="仿宋"/>
          <w:color w:val="000000"/>
          <w:sz w:val="32"/>
          <w:szCs w:val="32"/>
          <w:lang w:eastAsia="zh-CN"/>
        </w:rPr>
        <w:t>教育活动</w:t>
      </w:r>
      <w:r>
        <w:rPr>
          <w:rFonts w:hint="eastAsia" w:ascii="仿宋" w:hAnsi="仿宋" w:eastAsia="仿宋"/>
          <w:color w:val="000000"/>
          <w:sz w:val="32"/>
          <w:szCs w:val="32"/>
        </w:rPr>
        <w:t>人员经费</w:t>
      </w:r>
      <w:r>
        <w:rPr>
          <w:rFonts w:hint="eastAsia" w:ascii="仿宋" w:hAnsi="仿宋" w:eastAsia="仿宋"/>
          <w:color w:val="000000"/>
          <w:sz w:val="32"/>
          <w:szCs w:val="32"/>
          <w:lang w:eastAsia="zh-CN"/>
        </w:rPr>
        <w:t>和日常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，主要包括：业务委托费、</w:t>
      </w:r>
      <w:r>
        <w:rPr>
          <w:rFonts w:hint="eastAsia" w:ascii="仿宋" w:hAnsi="仿宋" w:eastAsia="仿宋" w:cs="仿宋"/>
          <w:color w:val="000000"/>
          <w:sz w:val="32"/>
          <w:szCs w:val="32"/>
          <w:lang w:val="en-US" w:eastAsia="zh-CN"/>
        </w:rPr>
        <w:t>劳务费、</w:t>
      </w:r>
      <w:r>
        <w:rPr>
          <w:rFonts w:hint="eastAsia" w:ascii="仿宋" w:hAnsi="仿宋" w:eastAsia="仿宋"/>
          <w:color w:val="000000"/>
          <w:sz w:val="32"/>
          <w:szCs w:val="32"/>
        </w:rPr>
        <w:t>其他对个人和家庭的补助</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其他商品和服务支出、办公设备购置、其他资本性支出</w:t>
      </w:r>
      <w:r>
        <w:rPr>
          <w:rFonts w:hint="eastAsia" w:ascii="仿宋" w:hAnsi="仿宋" w:eastAsia="仿宋"/>
          <w:color w:val="000000"/>
          <w:sz w:val="32"/>
          <w:szCs w:val="32"/>
          <w:lang w:eastAsia="zh-CN"/>
        </w:rPr>
        <w:t>等</w:t>
      </w:r>
      <w:r>
        <w:rPr>
          <w:rFonts w:hint="eastAsia" w:ascii="仿宋" w:hAnsi="仿宋" w:eastAsia="仿宋" w:cs="仿宋"/>
          <w:color w:val="000000"/>
          <w:sz w:val="32"/>
          <w:szCs w:val="32"/>
        </w:rPr>
        <w:t>。</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事业单位离退休</w:t>
      </w:r>
      <w:r>
        <w:rPr>
          <w:rFonts w:hint="eastAsia" w:ascii="仿宋" w:hAnsi="仿宋" w:eastAsia="仿宋" w:cs="仿宋"/>
          <w:color w:val="000000"/>
          <w:sz w:val="32"/>
          <w:szCs w:val="32"/>
        </w:rPr>
        <w:t>（项）：指财政部门安排的事业单位用于单位</w:t>
      </w:r>
      <w:r>
        <w:rPr>
          <w:rFonts w:hint="eastAsia" w:ascii="仿宋" w:hAnsi="仿宋" w:eastAsia="仿宋" w:cs="仿宋"/>
          <w:color w:val="000000"/>
          <w:sz w:val="32"/>
          <w:szCs w:val="32"/>
          <w:lang w:eastAsia="zh-CN"/>
        </w:rPr>
        <w:t>离退休人员经费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，主要包括：</w:t>
      </w:r>
      <w:r>
        <w:rPr>
          <w:rFonts w:hint="eastAsia" w:ascii="仿宋" w:hAnsi="仿宋" w:eastAsia="仿宋"/>
          <w:color w:val="000000"/>
          <w:sz w:val="32"/>
          <w:szCs w:val="32"/>
        </w:rPr>
        <w:t>退休费、</w:t>
      </w:r>
      <w:r>
        <w:rPr>
          <w:rFonts w:hint="eastAsia" w:ascii="仿宋" w:hAnsi="仿宋" w:eastAsia="仿宋"/>
          <w:color w:val="000000"/>
          <w:sz w:val="32"/>
          <w:szCs w:val="32"/>
          <w:lang w:eastAsia="zh-CN"/>
        </w:rPr>
        <w:t>福利费、其他商品和服务支出、</w:t>
      </w:r>
      <w:r>
        <w:rPr>
          <w:rFonts w:hint="eastAsia" w:ascii="仿宋" w:hAnsi="仿宋" w:eastAsia="仿宋"/>
          <w:color w:val="000000"/>
          <w:sz w:val="32"/>
          <w:szCs w:val="32"/>
        </w:rPr>
        <w:t>抚恤金、奖励金、</w:t>
      </w:r>
      <w:r>
        <w:rPr>
          <w:rFonts w:hint="eastAsia" w:ascii="仿宋" w:hAnsi="仿宋" w:eastAsia="仿宋"/>
          <w:color w:val="000000"/>
          <w:sz w:val="32"/>
          <w:szCs w:val="32"/>
          <w:lang w:eastAsia="zh-CN"/>
        </w:rPr>
        <w:t>职业年金缴费</w:t>
      </w:r>
      <w:r>
        <w:rPr>
          <w:rFonts w:hint="eastAsia" w:ascii="仿宋" w:hAnsi="仿宋" w:eastAsia="仿宋"/>
          <w:color w:val="000000"/>
          <w:sz w:val="32"/>
          <w:szCs w:val="32"/>
        </w:rPr>
        <w:t>等。</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机关事业单位基本养老保险缴费支出</w:t>
      </w:r>
      <w:r>
        <w:rPr>
          <w:rFonts w:hint="eastAsia" w:ascii="仿宋" w:hAnsi="仿宋" w:eastAsia="仿宋" w:cs="仿宋"/>
          <w:color w:val="000000"/>
          <w:sz w:val="32"/>
          <w:szCs w:val="32"/>
        </w:rPr>
        <w:t>（项）：指财政部门安排的事业单位用于缴纳单位</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eastAsia="zh-CN"/>
        </w:rPr>
        <w:t>支出</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卫生健康</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（类）行政事业单位医疗（款）</w:t>
      </w:r>
      <w:r>
        <w:rPr>
          <w:rFonts w:hint="eastAsia" w:ascii="仿宋" w:hAnsi="仿宋" w:eastAsia="仿宋" w:cs="仿宋"/>
          <w:color w:val="000000"/>
          <w:sz w:val="32"/>
          <w:szCs w:val="32"/>
          <w:lang w:eastAsia="zh-CN"/>
        </w:rPr>
        <w:t>事业单位医疗</w:t>
      </w:r>
      <w:r>
        <w:rPr>
          <w:rFonts w:hint="eastAsia" w:ascii="仿宋" w:hAnsi="仿宋" w:eastAsia="仿宋" w:cs="仿宋"/>
          <w:color w:val="000000"/>
          <w:sz w:val="32"/>
          <w:szCs w:val="32"/>
        </w:rPr>
        <w:t>（项）：</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财政部门安排的事业单位用于缴纳单位基本医疗保险支出。</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卫生健康</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（类）行政事业单位医疗（款）</w:t>
      </w:r>
      <w:r>
        <w:rPr>
          <w:rFonts w:hint="eastAsia" w:ascii="仿宋" w:hAnsi="仿宋" w:eastAsia="仿宋" w:cs="仿宋"/>
          <w:color w:val="000000"/>
          <w:sz w:val="32"/>
          <w:szCs w:val="32"/>
          <w:lang w:eastAsia="zh-CN"/>
        </w:rPr>
        <w:t>公务员医疗补助</w:t>
      </w:r>
      <w:r>
        <w:rPr>
          <w:rFonts w:hint="eastAsia" w:ascii="仿宋" w:hAnsi="仿宋" w:eastAsia="仿宋" w:cs="仿宋"/>
          <w:color w:val="000000"/>
          <w:sz w:val="32"/>
          <w:szCs w:val="32"/>
        </w:rPr>
        <w:t>（项）：</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财政部门安排的</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用于集中缴纳公务员医疗补助支出。</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.住房保障</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住房改革支出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（项）：指财政部门安排的事业单位用于缴纳单位</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9"/>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bookmarkStart w:id="100" w:name="_Toc9494"/>
      <w:bookmarkStart w:id="101" w:name="_Toc13266"/>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98"/>
      <w:bookmarkEnd w:id="100"/>
      <w:bookmarkEnd w:id="101"/>
    </w:p>
    <w:tbl>
      <w:tblPr>
        <w:tblStyle w:val="12"/>
        <w:tblpPr w:leftFromText="180" w:rightFromText="180" w:vertAnchor="text" w:horzAnchor="page" w:tblpXSpec="center" w:tblpY="660"/>
        <w:tblOverlap w:val="never"/>
        <w:tblW w:w="9575" w:type="dxa"/>
        <w:jc w:val="center"/>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noWrap w:val="0"/>
            <w:vAlign w:val="center"/>
          </w:tcPr>
          <w:p>
            <w:pPr>
              <w:widowControl/>
              <w:jc w:val="center"/>
              <w:textAlignment w:val="center"/>
              <w:rPr>
                <w:rFonts w:hint="eastAsia" w:ascii="宋体" w:hAnsi="宋体" w:cs="宋体"/>
                <w:b/>
                <w:sz w:val="32"/>
                <w:szCs w:val="32"/>
              </w:rPr>
            </w:pPr>
            <w:bookmarkStart w:id="102" w:name="_Toc15396618"/>
            <w:r>
              <w:rPr>
                <w:rFonts w:ascii="宋体" w:hAnsi="宋体" w:cs="宋体"/>
                <w:b/>
                <w:sz w:val="32"/>
                <w:szCs w:val="32"/>
              </w:rPr>
              <w:t>2021</w:t>
            </w:r>
            <w:r>
              <w:rPr>
                <w:rFonts w:hint="eastAsia" w:ascii="宋体" w:hAnsi="宋体" w:cs="宋体"/>
                <w:b/>
                <w:sz w:val="32"/>
                <w:szCs w:val="32"/>
              </w:rPr>
              <w:t>年部门预算项目绩效目标自评</w:t>
            </w:r>
          </w:p>
          <w:p>
            <w:pPr>
              <w:widowControl/>
              <w:jc w:val="center"/>
              <w:textAlignment w:val="center"/>
              <w:rPr>
                <w:rFonts w:ascii="宋体" w:cs="宋体"/>
                <w:b/>
                <w:sz w:val="32"/>
                <w:szCs w:val="32"/>
              </w:rPr>
            </w:pPr>
            <w:r>
              <w:rPr>
                <w:rFonts w:hint="eastAsia" w:ascii="宋体" w:hAnsi="宋体" w:cs="宋体"/>
                <w:b/>
                <w:sz w:val="32"/>
                <w:szCs w:val="32"/>
                <w:lang w:eastAsia="zh-CN"/>
              </w:rPr>
              <w:t>《学前生均公用经费》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15"/>
                <w:szCs w:val="15"/>
              </w:rPr>
              <w:t>攀枝花市仁和区教育和体育局</w:t>
            </w:r>
            <w:r>
              <w:rPr>
                <w:rFonts w:hint="eastAsia" w:ascii="宋体" w:cs="宋体"/>
                <w:sz w:val="15"/>
                <w:szCs w:val="15"/>
                <w:lang w:val="en-US" w:eastAsia="zh-CN"/>
              </w:rPr>
              <w:t>-127001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15"/>
                <w:szCs w:val="15"/>
              </w:rPr>
              <w:t>攀枝花市仁和区</w:t>
            </w:r>
            <w:r>
              <w:rPr>
                <w:rFonts w:hint="eastAsia" w:ascii="宋体" w:cs="宋体"/>
                <w:sz w:val="15"/>
                <w:szCs w:val="15"/>
                <w:lang w:val="en-US" w:eastAsia="zh-CN"/>
              </w:rPr>
              <w:t>大田镇中心学校</w:t>
            </w:r>
          </w:p>
        </w:tc>
      </w:tr>
      <w:tr>
        <w:tblPrEx>
          <w:tblCellMar>
            <w:top w:w="0" w:type="dxa"/>
            <w:left w:w="108" w:type="dxa"/>
            <w:bottom w:w="0" w:type="dxa"/>
            <w:right w:w="108"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10.15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执行数：</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10.15</w:t>
            </w:r>
          </w:p>
        </w:tc>
      </w:tr>
      <w:tr>
        <w:tblPrEx>
          <w:tblCellMar>
            <w:top w:w="0" w:type="dxa"/>
            <w:left w:w="108" w:type="dxa"/>
            <w:bottom w:w="0" w:type="dxa"/>
            <w:right w:w="108"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10.15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10.15</w:t>
            </w:r>
          </w:p>
        </w:tc>
      </w:tr>
      <w:tr>
        <w:tblPrEx>
          <w:tblCellMar>
            <w:top w:w="0" w:type="dxa"/>
            <w:left w:w="108" w:type="dxa"/>
            <w:bottom w:w="0" w:type="dxa"/>
            <w:right w:w="108"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构建“绩效目标审核、事中绩效监控、事后绩效评估及绩效结果运用”的全过程绩效预算管理机制，全面提升财政资金支出绩效；确保学校附属幼儿园（</w:t>
            </w:r>
            <w:r>
              <w:rPr>
                <w:rFonts w:hint="eastAsia" w:ascii="宋体" w:cs="宋体"/>
                <w:sz w:val="18"/>
                <w:szCs w:val="18"/>
                <w:lang w:val="en-US" w:eastAsia="zh-CN"/>
              </w:rPr>
              <w:t>大田</w:t>
            </w:r>
            <w:r>
              <w:rPr>
                <w:rFonts w:hint="eastAsia" w:ascii="宋体" w:cs="宋体"/>
                <w:sz w:val="18"/>
                <w:szCs w:val="18"/>
              </w:rPr>
              <w:t>镇中心幼儿园）教育教学工作的正常运转</w:t>
            </w:r>
            <w:r>
              <w:rPr>
                <w:rFonts w:hint="eastAsia" w:ascii="宋体" w:cs="宋体"/>
                <w:sz w:val="18"/>
                <w:szCs w:val="18"/>
                <w:lang w:eastAsia="zh-CN"/>
              </w:rPr>
              <w:t>。</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构建了“绩效目标审核、事中绩效监控、事后绩效评估及绩效结果运用”的全过程绩效预算管理机制，全面提升了财政资金支出绩效；学校附属幼儿园（</w:t>
            </w:r>
            <w:r>
              <w:rPr>
                <w:rFonts w:hint="eastAsia" w:ascii="宋体" w:cs="宋体"/>
                <w:sz w:val="18"/>
                <w:szCs w:val="18"/>
                <w:lang w:val="en-US" w:eastAsia="zh-CN"/>
              </w:rPr>
              <w:t>大田</w:t>
            </w:r>
            <w:r>
              <w:rPr>
                <w:rFonts w:hint="eastAsia" w:ascii="宋体" w:cs="宋体"/>
                <w:sz w:val="18"/>
                <w:szCs w:val="18"/>
              </w:rPr>
              <w:t>镇中心幼儿园）教育教学工作正常运转</w:t>
            </w:r>
            <w:r>
              <w:rPr>
                <w:rFonts w:hint="eastAsia" w:ascii="宋体" w:cs="宋体"/>
                <w:sz w:val="18"/>
                <w:szCs w:val="18"/>
                <w:lang w:eastAsia="zh-CN"/>
              </w:rPr>
              <w:t>。</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公用经费配置标准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幼儿园500元/人.年，入园幼儿16人</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幼儿园500元/人.年，入园幼儿</w:t>
            </w:r>
            <w:r>
              <w:rPr>
                <w:rFonts w:hint="eastAsia" w:ascii="仿宋_GB2312" w:hAnsi="仿宋_GB2312" w:eastAsia="仿宋_GB2312" w:cs="仿宋_GB2312"/>
                <w:sz w:val="18"/>
                <w:szCs w:val="18"/>
                <w:lang w:val="en-US" w:eastAsia="zh-CN"/>
              </w:rPr>
              <w:t>203</w:t>
            </w:r>
            <w:r>
              <w:rPr>
                <w:rFonts w:hint="eastAsia" w:ascii="仿宋_GB2312" w:hAnsi="仿宋_GB2312" w:eastAsia="仿宋_GB2312" w:cs="仿宋_GB2312"/>
                <w:sz w:val="18"/>
                <w:szCs w:val="18"/>
              </w:rPr>
              <w:t>人</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公用经费保障率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公用经费保障时限</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仿宋_GB2312" w:hAnsi="仿宋_GB2312" w:eastAsia="仿宋_GB2312" w:cs="仿宋_GB2312"/>
                <w:sz w:val="18"/>
                <w:szCs w:val="1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全部达到预期指标</w:t>
            </w:r>
          </w:p>
        </w:tc>
      </w:tr>
      <w:tr>
        <w:tblPrEx>
          <w:tblCellMar>
            <w:top w:w="0" w:type="dxa"/>
            <w:left w:w="108" w:type="dxa"/>
            <w:bottom w:w="0" w:type="dxa"/>
            <w:right w:w="108" w:type="dxa"/>
          </w:tblCellMar>
        </w:tblPrEx>
        <w:trPr>
          <w:trHeight w:val="50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公用经费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10.15万元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10.15万元</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确保辖区范围内适龄幼儿全部入园</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确保辖区范围内适龄幼儿全部入园</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幼儿园教育教学工作正常有序开展</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幼儿园教育教学工作正常有序开展</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740" w:hRule="atLeast"/>
          <w:jc w:val="center"/>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学生、家长、社会满意度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r>
    </w:tbl>
    <w:p>
      <w:pPr>
        <w:widowControl/>
        <w:jc w:val="left"/>
        <w:outlineLvl w:val="1"/>
        <w:rPr>
          <w:rStyle w:val="17"/>
          <w:rFonts w:hint="default" w:ascii="黑体" w:hAnsi="黑体" w:eastAsia="黑体"/>
          <w:b w:val="0"/>
          <w:sz w:val="32"/>
          <w:szCs w:val="32"/>
          <w:lang w:val="en-US" w:eastAsia="zh-CN"/>
        </w:rPr>
      </w:pPr>
      <w:bookmarkStart w:id="103" w:name="_Toc16882"/>
      <w:bookmarkStart w:id="104" w:name="_Toc245"/>
      <w:r>
        <w:rPr>
          <w:rStyle w:val="17"/>
          <w:rFonts w:hint="eastAsia" w:ascii="黑体" w:hAnsi="黑体" w:eastAsia="黑体"/>
          <w:b w:val="0"/>
          <w:sz w:val="32"/>
          <w:szCs w:val="32"/>
          <w:lang w:val="en-US" w:eastAsia="zh-CN"/>
        </w:rPr>
        <w:t>附件1</w:t>
      </w:r>
      <w:bookmarkEnd w:id="103"/>
      <w:bookmarkEnd w:id="104"/>
    </w:p>
    <w:p>
      <w:pPr>
        <w:spacing w:line="600" w:lineRule="exact"/>
        <w:jc w:val="left"/>
        <w:outlineLvl w:val="9"/>
        <w:rPr>
          <w:rFonts w:hint="eastAsia" w:ascii="黑体" w:hAnsi="黑体" w:eastAsia="黑体" w:cs="黑体"/>
          <w:sz w:val="32"/>
          <w:szCs w:val="32"/>
        </w:rPr>
      </w:pPr>
    </w:p>
    <w:p>
      <w:pPr>
        <w:spacing w:line="600" w:lineRule="exact"/>
        <w:jc w:val="left"/>
        <w:outlineLvl w:val="9"/>
        <w:rPr>
          <w:rFonts w:hint="eastAsia" w:ascii="黑体" w:hAnsi="黑体" w:eastAsia="黑体" w:cs="黑体"/>
          <w:sz w:val="32"/>
          <w:szCs w:val="32"/>
        </w:rPr>
      </w:pPr>
    </w:p>
    <w:p>
      <w:pPr>
        <w:spacing w:line="600" w:lineRule="exact"/>
        <w:jc w:val="left"/>
        <w:outlineLvl w:val="0"/>
        <w:rPr>
          <w:rFonts w:hint="eastAsia" w:ascii="黑体" w:hAnsi="黑体" w:eastAsia="黑体" w:cs="黑体"/>
          <w:sz w:val="32"/>
          <w:szCs w:val="32"/>
          <w:lang w:val="en-US" w:eastAsia="zh-CN"/>
        </w:rPr>
      </w:pPr>
      <w:bookmarkStart w:id="105" w:name="_Toc17462"/>
      <w:bookmarkStart w:id="106" w:name="_Toc10261"/>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End w:id="105"/>
      <w:bookmarkEnd w:id="106"/>
    </w:p>
    <w:tbl>
      <w:tblPr>
        <w:tblStyle w:val="12"/>
        <w:tblpPr w:leftFromText="180" w:rightFromText="180" w:vertAnchor="text" w:horzAnchor="page" w:tblpXSpec="center" w:tblpY="660"/>
        <w:tblOverlap w:val="never"/>
        <w:tblW w:w="9575" w:type="dxa"/>
        <w:jc w:val="center"/>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noWrap w:val="0"/>
            <w:vAlign w:val="center"/>
          </w:tcPr>
          <w:p>
            <w:pPr>
              <w:widowControl/>
              <w:jc w:val="center"/>
              <w:textAlignment w:val="center"/>
              <w:rPr>
                <w:rFonts w:hint="eastAsia" w:ascii="宋体" w:hAnsi="宋体" w:cs="宋体"/>
                <w:b/>
                <w:sz w:val="32"/>
                <w:szCs w:val="32"/>
              </w:rPr>
            </w:pPr>
            <w:r>
              <w:rPr>
                <w:rFonts w:ascii="宋体" w:hAnsi="宋体" w:cs="宋体"/>
                <w:b/>
                <w:sz w:val="32"/>
                <w:szCs w:val="32"/>
              </w:rPr>
              <w:t>2021</w:t>
            </w:r>
            <w:r>
              <w:rPr>
                <w:rFonts w:hint="eastAsia" w:ascii="宋体" w:hAnsi="宋体" w:cs="宋体"/>
                <w:b/>
                <w:sz w:val="32"/>
                <w:szCs w:val="32"/>
              </w:rPr>
              <w:t>年部门预算项目绩效目标自评</w:t>
            </w:r>
          </w:p>
          <w:p>
            <w:pPr>
              <w:widowControl/>
              <w:jc w:val="center"/>
              <w:textAlignment w:val="center"/>
              <w:rPr>
                <w:rFonts w:ascii="宋体" w:cs="宋体"/>
                <w:b/>
                <w:sz w:val="32"/>
                <w:szCs w:val="32"/>
              </w:rPr>
            </w:pPr>
            <w:r>
              <w:rPr>
                <w:rFonts w:hint="eastAsia" w:ascii="宋体" w:hAnsi="宋体" w:cs="宋体"/>
                <w:b/>
                <w:sz w:val="32"/>
                <w:szCs w:val="32"/>
                <w:lang w:eastAsia="zh-CN"/>
              </w:rPr>
              <w:t>《义务教育生均公用经费》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15"/>
                <w:szCs w:val="15"/>
              </w:rPr>
              <w:t>攀枝花市仁和区教育和体育局</w:t>
            </w:r>
            <w:r>
              <w:rPr>
                <w:rFonts w:hint="eastAsia" w:ascii="宋体" w:cs="宋体"/>
                <w:sz w:val="15"/>
                <w:szCs w:val="15"/>
                <w:lang w:val="en-US" w:eastAsia="zh-CN"/>
              </w:rPr>
              <w:t>-127001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15"/>
                <w:szCs w:val="15"/>
              </w:rPr>
              <w:t>攀枝花市仁和区</w:t>
            </w:r>
            <w:r>
              <w:rPr>
                <w:rFonts w:hint="eastAsia" w:ascii="宋体" w:cs="宋体"/>
                <w:sz w:val="15"/>
                <w:szCs w:val="15"/>
                <w:lang w:val="en-US" w:eastAsia="zh-CN"/>
              </w:rPr>
              <w:t>大田镇中心学校</w:t>
            </w:r>
          </w:p>
        </w:tc>
      </w:tr>
      <w:tr>
        <w:tblPrEx>
          <w:tblCellMar>
            <w:top w:w="0" w:type="dxa"/>
            <w:left w:w="108" w:type="dxa"/>
            <w:bottom w:w="0" w:type="dxa"/>
            <w:right w:w="108"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执行数：</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0.5</w:t>
            </w:r>
          </w:p>
        </w:tc>
      </w:tr>
      <w:tr>
        <w:tblPrEx>
          <w:tblCellMar>
            <w:top w:w="0" w:type="dxa"/>
            <w:left w:w="108" w:type="dxa"/>
            <w:bottom w:w="0" w:type="dxa"/>
            <w:right w:w="108"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0.5</w:t>
            </w:r>
          </w:p>
        </w:tc>
      </w:tr>
      <w:tr>
        <w:tblPrEx>
          <w:tblCellMar>
            <w:top w:w="0" w:type="dxa"/>
            <w:left w:w="108" w:type="dxa"/>
            <w:bottom w:w="0" w:type="dxa"/>
            <w:right w:w="108"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构建“绩效目标审核、事中绩效监控、事后绩效评估及绩效结果运用”的全过程绩效预算管理机制，全面提升财政资金支出绩效；确保学校教育教学工作的正常运转，教学设备及教学环境的完善</w:t>
            </w:r>
            <w:r>
              <w:rPr>
                <w:rFonts w:hint="eastAsia" w:ascii="宋体" w:cs="宋体"/>
                <w:sz w:val="18"/>
                <w:szCs w:val="18"/>
                <w:lang w:eastAsia="zh-CN"/>
              </w:rPr>
              <w:t>。</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构建了“绩效目标审核、事中绩效监控、事后绩效评估及绩效结果运用”的全过程绩效预算管理机制，全面提升了财政资金支出绩效；学校教育教学工作正常运转，教学设备及教学环境得到了的完善</w:t>
            </w:r>
            <w:r>
              <w:rPr>
                <w:rFonts w:hint="eastAsia" w:ascii="宋体" w:cs="宋体"/>
                <w:sz w:val="18"/>
                <w:szCs w:val="18"/>
                <w:lang w:eastAsia="zh-CN"/>
              </w:rPr>
              <w:t>。</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公用经费配置标准</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小学16元/人.年，在校学生人数310人</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小学16元/人.年，在校学生人数31</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人</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公用经费保障率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公用经费保障时限</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仿宋_GB2312" w:hAnsi="仿宋_GB2312" w:eastAsia="仿宋_GB2312" w:cs="仿宋_GB2312"/>
                <w:sz w:val="18"/>
                <w:szCs w:val="1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全部达到预期指标</w:t>
            </w:r>
          </w:p>
        </w:tc>
      </w:tr>
      <w:tr>
        <w:tblPrEx>
          <w:tblCellMar>
            <w:top w:w="0" w:type="dxa"/>
            <w:left w:w="108" w:type="dxa"/>
            <w:bottom w:w="0" w:type="dxa"/>
            <w:right w:w="108" w:type="dxa"/>
          </w:tblCellMar>
        </w:tblPrEx>
        <w:trPr>
          <w:trHeight w:val="50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公用经费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0.5万元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0.5万元</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确保辖区范围内适龄</w:t>
            </w:r>
            <w:r>
              <w:rPr>
                <w:rFonts w:hint="eastAsia" w:ascii="仿宋_GB2312" w:hAnsi="仿宋_GB2312" w:eastAsia="仿宋_GB2312" w:cs="仿宋_GB2312"/>
                <w:sz w:val="18"/>
                <w:szCs w:val="18"/>
                <w:lang w:eastAsia="zh-CN"/>
              </w:rPr>
              <w:t>儿童</w:t>
            </w:r>
            <w:r>
              <w:rPr>
                <w:rFonts w:hint="eastAsia" w:ascii="仿宋_GB2312" w:hAnsi="仿宋_GB2312" w:eastAsia="仿宋_GB2312" w:cs="仿宋_GB2312"/>
                <w:sz w:val="18"/>
                <w:szCs w:val="18"/>
              </w:rPr>
              <w:t>全部入</w:t>
            </w:r>
            <w:r>
              <w:rPr>
                <w:rFonts w:hint="eastAsia" w:ascii="仿宋_GB2312" w:hAnsi="仿宋_GB2312" w:eastAsia="仿宋_GB2312" w:cs="仿宋_GB2312"/>
                <w:sz w:val="18"/>
                <w:szCs w:val="18"/>
                <w:lang w:eastAsia="zh-CN"/>
              </w:rPr>
              <w:t>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确保辖区范围内适龄</w:t>
            </w:r>
            <w:r>
              <w:rPr>
                <w:rFonts w:hint="eastAsia" w:ascii="仿宋_GB2312" w:hAnsi="仿宋_GB2312" w:eastAsia="仿宋_GB2312" w:cs="仿宋_GB2312"/>
                <w:sz w:val="18"/>
                <w:szCs w:val="18"/>
                <w:lang w:eastAsia="zh-CN"/>
              </w:rPr>
              <w:t>儿童</w:t>
            </w:r>
            <w:r>
              <w:rPr>
                <w:rFonts w:hint="eastAsia" w:ascii="仿宋_GB2312" w:hAnsi="仿宋_GB2312" w:eastAsia="仿宋_GB2312" w:cs="仿宋_GB2312"/>
                <w:sz w:val="18"/>
                <w:szCs w:val="18"/>
              </w:rPr>
              <w:t>全部入</w:t>
            </w:r>
            <w:r>
              <w:rPr>
                <w:rFonts w:hint="eastAsia" w:ascii="仿宋_GB2312" w:hAnsi="仿宋_GB2312" w:eastAsia="仿宋_GB2312" w:cs="仿宋_GB2312"/>
                <w:sz w:val="18"/>
                <w:szCs w:val="18"/>
                <w:lang w:eastAsia="zh-CN"/>
              </w:rPr>
              <w:t>学</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学校</w:t>
            </w:r>
            <w:r>
              <w:rPr>
                <w:rFonts w:hint="eastAsia" w:ascii="仿宋_GB2312" w:hAnsi="仿宋_GB2312" w:eastAsia="仿宋_GB2312" w:cs="仿宋_GB2312"/>
                <w:sz w:val="18"/>
                <w:szCs w:val="18"/>
              </w:rPr>
              <w:t>教育教</w:t>
            </w:r>
            <w:r>
              <w:rPr>
                <w:rFonts w:hint="eastAsia" w:ascii="仿宋_GB2312" w:hAnsi="仿宋_GB2312" w:eastAsia="仿宋_GB2312" w:cs="仿宋_GB2312"/>
                <w:sz w:val="18"/>
                <w:szCs w:val="18"/>
                <w:lang w:eastAsia="zh-CN"/>
              </w:rPr>
              <w:t>学</w:t>
            </w:r>
            <w:r>
              <w:rPr>
                <w:rFonts w:hint="eastAsia" w:ascii="仿宋_GB2312" w:hAnsi="仿宋_GB2312" w:eastAsia="仿宋_GB2312" w:cs="仿宋_GB2312"/>
                <w:sz w:val="18"/>
                <w:szCs w:val="18"/>
              </w:rPr>
              <w:t>工作正常有序开展</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学校</w:t>
            </w:r>
            <w:r>
              <w:rPr>
                <w:rFonts w:hint="eastAsia" w:ascii="仿宋_GB2312" w:hAnsi="仿宋_GB2312" w:eastAsia="仿宋_GB2312" w:cs="仿宋_GB2312"/>
                <w:sz w:val="18"/>
                <w:szCs w:val="18"/>
              </w:rPr>
              <w:t>教育教学工作正常有序开展</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740" w:hRule="atLeast"/>
          <w:jc w:val="center"/>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学生、家长、社会满意度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r>
    </w:tbl>
    <w:p>
      <w:pPr>
        <w:widowControl/>
        <w:jc w:val="left"/>
        <w:rPr>
          <w:rStyle w:val="17"/>
          <w:rFonts w:ascii="黑体" w:hAnsi="黑体" w:eastAsia="黑体"/>
          <w:b w:val="0"/>
        </w:rPr>
      </w:pPr>
    </w:p>
    <w:p>
      <w:pPr>
        <w:widowControl/>
        <w:jc w:val="left"/>
        <w:rPr>
          <w:rStyle w:val="17"/>
          <w:rFonts w:ascii="黑体" w:hAnsi="黑体" w:eastAsia="黑体"/>
          <w:b w:val="0"/>
        </w:rPr>
      </w:pPr>
    </w:p>
    <w:p>
      <w:pPr>
        <w:widowControl/>
        <w:jc w:val="left"/>
        <w:rPr>
          <w:rStyle w:val="17"/>
          <w:rFonts w:ascii="黑体" w:hAnsi="黑体" w:eastAsia="黑体"/>
          <w:b w:val="0"/>
        </w:rPr>
      </w:pPr>
    </w:p>
    <w:tbl>
      <w:tblPr>
        <w:tblStyle w:val="12"/>
        <w:tblpPr w:leftFromText="180" w:rightFromText="180" w:vertAnchor="text" w:horzAnchor="page" w:tblpX="1255" w:tblpY="739"/>
        <w:tblOverlap w:val="never"/>
        <w:tblW w:w="9575" w:type="dxa"/>
        <w:jc w:val="center"/>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noWrap w:val="0"/>
            <w:vAlign w:val="center"/>
          </w:tcPr>
          <w:p>
            <w:pPr>
              <w:widowControl/>
              <w:jc w:val="center"/>
              <w:textAlignment w:val="center"/>
              <w:rPr>
                <w:rFonts w:hint="eastAsia" w:ascii="宋体" w:hAnsi="宋体" w:cs="宋体"/>
                <w:b/>
                <w:sz w:val="32"/>
                <w:szCs w:val="32"/>
              </w:rPr>
            </w:pPr>
            <w:r>
              <w:rPr>
                <w:rFonts w:ascii="宋体" w:hAnsi="宋体" w:cs="宋体"/>
                <w:b/>
                <w:sz w:val="32"/>
                <w:szCs w:val="32"/>
              </w:rPr>
              <w:t>2021</w:t>
            </w:r>
            <w:r>
              <w:rPr>
                <w:rFonts w:hint="eastAsia" w:ascii="宋体" w:hAnsi="宋体" w:cs="宋体"/>
                <w:b/>
                <w:sz w:val="32"/>
                <w:szCs w:val="32"/>
              </w:rPr>
              <w:t>年部门预算项目绩效目标自评</w:t>
            </w:r>
          </w:p>
          <w:p>
            <w:pPr>
              <w:widowControl/>
              <w:jc w:val="center"/>
              <w:textAlignment w:val="center"/>
              <w:rPr>
                <w:rFonts w:ascii="宋体" w:cs="宋体"/>
                <w:b/>
                <w:sz w:val="32"/>
                <w:szCs w:val="32"/>
              </w:rPr>
            </w:pPr>
            <w:r>
              <w:rPr>
                <w:rFonts w:hint="eastAsia" w:ascii="宋体" w:hAnsi="宋体" w:cs="宋体"/>
                <w:b/>
                <w:sz w:val="32"/>
                <w:szCs w:val="32"/>
                <w:lang w:eastAsia="zh-CN"/>
              </w:rPr>
              <w:t>《教育教学管理经费》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15"/>
                <w:szCs w:val="15"/>
              </w:rPr>
              <w:t>攀枝花市仁和区教育和体育局</w:t>
            </w:r>
            <w:r>
              <w:rPr>
                <w:rFonts w:hint="eastAsia" w:ascii="宋体" w:cs="宋体"/>
                <w:sz w:val="15"/>
                <w:szCs w:val="15"/>
                <w:lang w:val="en-US" w:eastAsia="zh-CN"/>
              </w:rPr>
              <w:t>-127001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15"/>
                <w:szCs w:val="15"/>
              </w:rPr>
              <w:t>攀枝花市仁和区</w:t>
            </w:r>
            <w:r>
              <w:rPr>
                <w:rFonts w:hint="eastAsia" w:ascii="宋体" w:cs="宋体"/>
                <w:sz w:val="15"/>
                <w:szCs w:val="15"/>
                <w:lang w:val="en-US" w:eastAsia="zh-CN"/>
              </w:rPr>
              <w:t>大田镇中心学校</w:t>
            </w:r>
          </w:p>
        </w:tc>
      </w:tr>
      <w:tr>
        <w:tblPrEx>
          <w:tblCellMar>
            <w:top w:w="0" w:type="dxa"/>
            <w:left w:w="108" w:type="dxa"/>
            <w:bottom w:w="0" w:type="dxa"/>
            <w:right w:w="108"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27.55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执行数：</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22.16</w:t>
            </w:r>
          </w:p>
        </w:tc>
      </w:tr>
      <w:tr>
        <w:tblPrEx>
          <w:tblCellMar>
            <w:top w:w="0" w:type="dxa"/>
            <w:left w:w="108" w:type="dxa"/>
            <w:bottom w:w="0" w:type="dxa"/>
            <w:right w:w="108"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27.55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22.16</w:t>
            </w:r>
          </w:p>
        </w:tc>
      </w:tr>
      <w:tr>
        <w:tblPrEx>
          <w:tblCellMar>
            <w:top w:w="0" w:type="dxa"/>
            <w:left w:w="108" w:type="dxa"/>
            <w:bottom w:w="0" w:type="dxa"/>
            <w:right w:w="108"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构建“绩效目标审核、事中绩效监控、事后绩效评估及绩效结果运用”的全过程绩效预算管理机制，全面提升财政资金支出绩效；确保学校教育教学工作的正常运转，教学设备及教学环境的完善</w:t>
            </w:r>
            <w:r>
              <w:rPr>
                <w:rFonts w:hint="eastAsia" w:ascii="宋体" w:cs="宋体"/>
                <w:sz w:val="18"/>
                <w:szCs w:val="18"/>
                <w:lang w:eastAsia="zh-CN"/>
              </w:rPr>
              <w:t>。</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构建了“绩效目标审核、事中绩效监控、事后绩效评估及绩效结果运用”的全过程绩效预算管理机制，全面提升了财政资金支出绩效；学校教育教学工作正常运转，教学设备及教学环境得到了的完善</w:t>
            </w:r>
            <w:r>
              <w:rPr>
                <w:rFonts w:hint="eastAsia" w:ascii="宋体" w:cs="宋体"/>
                <w:sz w:val="18"/>
                <w:szCs w:val="18"/>
                <w:lang w:eastAsia="zh-CN"/>
              </w:rPr>
              <w:t>。</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2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项目数量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项目1个</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项目1个</w:t>
            </w:r>
          </w:p>
        </w:tc>
      </w:tr>
      <w:tr>
        <w:tblPrEx>
          <w:tblCellMar>
            <w:top w:w="0" w:type="dxa"/>
            <w:left w:w="108" w:type="dxa"/>
            <w:bottom w:w="0" w:type="dxa"/>
            <w:right w:w="108" w:type="dxa"/>
          </w:tblCellMar>
        </w:tblPrEx>
        <w:trPr>
          <w:trHeight w:val="54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确保学生在校的正常教育教学，弥补办公经费不足</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5"/>
                <w:szCs w:val="15"/>
              </w:rPr>
              <w:t>其他对个人和家庭的补助</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万元，劳务费</w:t>
            </w:r>
            <w:r>
              <w:rPr>
                <w:rFonts w:hint="eastAsia" w:ascii="仿宋_GB2312" w:hAnsi="仿宋_GB2312" w:eastAsia="仿宋_GB2312" w:cs="仿宋_GB2312"/>
                <w:sz w:val="15"/>
                <w:szCs w:val="15"/>
                <w:lang w:val="en-US" w:eastAsia="zh-CN"/>
              </w:rPr>
              <w:t>15.16</w:t>
            </w:r>
            <w:r>
              <w:rPr>
                <w:rFonts w:hint="eastAsia" w:ascii="仿宋_GB2312" w:hAnsi="仿宋_GB2312" w:eastAsia="仿宋_GB2312" w:cs="仿宋_GB2312"/>
                <w:sz w:val="15"/>
                <w:szCs w:val="15"/>
              </w:rPr>
              <w:t>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教育教学管理经费（租赁费），因租赁方未及时上缴租赁费，导致此项目实际完成指标为22.16</w:t>
            </w:r>
            <w:r>
              <w:rPr>
                <w:rFonts w:hint="eastAsia" w:ascii="仿宋_GB2312" w:hAnsi="仿宋_GB2312" w:eastAsia="仿宋_GB2312" w:cs="仿宋_GB2312"/>
                <w:sz w:val="18"/>
                <w:szCs w:val="18"/>
              </w:rPr>
              <w:t>万元</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项目完成率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80.44%</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项目实施时限</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仿宋_GB2312" w:hAnsi="仿宋_GB2312" w:eastAsia="仿宋_GB2312" w:cs="仿宋_GB2312"/>
                <w:sz w:val="18"/>
                <w:szCs w:val="1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全部达到预期指标</w:t>
            </w:r>
          </w:p>
        </w:tc>
      </w:tr>
      <w:tr>
        <w:tblPrEx>
          <w:tblCellMar>
            <w:top w:w="0" w:type="dxa"/>
            <w:left w:w="108" w:type="dxa"/>
            <w:bottom w:w="0" w:type="dxa"/>
            <w:right w:w="108" w:type="dxa"/>
          </w:tblCellMar>
        </w:tblPrEx>
        <w:trPr>
          <w:trHeight w:val="50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项目经费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27.55万元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22.16万元</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确</w:t>
            </w:r>
            <w:r>
              <w:rPr>
                <w:rFonts w:hint="eastAsia" w:ascii="仿宋_GB2312" w:hAnsi="仿宋_GB2312" w:eastAsia="仿宋_GB2312" w:cs="仿宋_GB2312"/>
                <w:sz w:val="18"/>
                <w:szCs w:val="18"/>
              </w:rPr>
              <w:t>保辖区范围内适龄儿童全部入学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确</w:t>
            </w:r>
            <w:r>
              <w:rPr>
                <w:rFonts w:hint="eastAsia" w:ascii="仿宋_GB2312" w:hAnsi="仿宋_GB2312" w:eastAsia="仿宋_GB2312" w:cs="仿宋_GB2312"/>
                <w:sz w:val="18"/>
                <w:szCs w:val="18"/>
              </w:rPr>
              <w:t>保辖区范围内适龄儿童全部入学</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学校</w:t>
            </w:r>
            <w:r>
              <w:rPr>
                <w:rFonts w:hint="eastAsia" w:ascii="仿宋_GB2312" w:hAnsi="仿宋_GB2312" w:eastAsia="仿宋_GB2312" w:cs="仿宋_GB2312"/>
                <w:sz w:val="18"/>
                <w:szCs w:val="18"/>
              </w:rPr>
              <w:t>教育教学工作正常有序开展</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学校</w:t>
            </w:r>
            <w:r>
              <w:rPr>
                <w:rFonts w:hint="eastAsia" w:ascii="仿宋_GB2312" w:hAnsi="仿宋_GB2312" w:eastAsia="仿宋_GB2312" w:cs="仿宋_GB2312"/>
                <w:sz w:val="18"/>
                <w:szCs w:val="18"/>
              </w:rPr>
              <w:t>教育教学工作正常有序开展</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740" w:hRule="atLeast"/>
          <w:jc w:val="center"/>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学生、家长、社会满意度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r>
    </w:tbl>
    <w:p>
      <w:pPr>
        <w:spacing w:line="600" w:lineRule="exact"/>
        <w:jc w:val="left"/>
        <w:outlineLvl w:val="0"/>
        <w:rPr>
          <w:rFonts w:hint="eastAsia" w:ascii="黑体" w:hAnsi="黑体" w:eastAsia="黑体" w:cs="黑体"/>
          <w:sz w:val="32"/>
          <w:szCs w:val="32"/>
          <w:lang w:val="en-US" w:eastAsia="zh-CN"/>
        </w:rPr>
      </w:pPr>
      <w:bookmarkStart w:id="107" w:name="_Toc8850"/>
      <w:bookmarkStart w:id="108" w:name="_Toc11398"/>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End w:id="107"/>
      <w:bookmarkEnd w:id="108"/>
    </w:p>
    <w:p>
      <w:pPr>
        <w:spacing w:line="600" w:lineRule="exact"/>
        <w:jc w:val="left"/>
        <w:outlineLvl w:val="9"/>
        <w:rPr>
          <w:rFonts w:hint="eastAsia" w:ascii="黑体" w:hAnsi="黑体" w:eastAsia="黑体" w:cs="黑体"/>
          <w:sz w:val="32"/>
          <w:szCs w:val="32"/>
          <w:lang w:val="en-US" w:eastAsia="zh-CN"/>
        </w:rPr>
      </w:pPr>
    </w:p>
    <w:tbl>
      <w:tblPr>
        <w:tblStyle w:val="12"/>
        <w:tblpPr w:leftFromText="180" w:rightFromText="180" w:vertAnchor="text" w:horzAnchor="page" w:tblpXSpec="center" w:tblpY="687"/>
        <w:tblOverlap w:val="never"/>
        <w:tblW w:w="9575" w:type="dxa"/>
        <w:jc w:val="center"/>
        <w:tblLayout w:type="fixed"/>
        <w:tblCellMar>
          <w:top w:w="0" w:type="dxa"/>
          <w:left w:w="108" w:type="dxa"/>
          <w:bottom w:w="0" w:type="dxa"/>
          <w:right w:w="108" w:type="dxa"/>
        </w:tblCellMar>
      </w:tblPr>
      <w:tblGrid>
        <w:gridCol w:w="1976"/>
        <w:gridCol w:w="1142"/>
        <w:gridCol w:w="1635"/>
        <w:gridCol w:w="1189"/>
        <w:gridCol w:w="1224"/>
        <w:gridCol w:w="2409"/>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noWrap w:val="0"/>
            <w:vAlign w:val="center"/>
          </w:tcPr>
          <w:p>
            <w:pPr>
              <w:widowControl/>
              <w:jc w:val="both"/>
              <w:textAlignment w:val="center"/>
              <w:rPr>
                <w:rFonts w:ascii="宋体" w:hAnsi="宋体" w:cs="宋体"/>
                <w:b/>
                <w:sz w:val="32"/>
                <w:szCs w:val="32"/>
              </w:rPr>
            </w:pPr>
          </w:p>
          <w:p>
            <w:pPr>
              <w:widowControl/>
              <w:jc w:val="center"/>
              <w:textAlignment w:val="center"/>
              <w:rPr>
                <w:rFonts w:hint="eastAsia" w:ascii="宋体" w:hAnsi="宋体" w:cs="宋体"/>
                <w:b/>
                <w:sz w:val="32"/>
                <w:szCs w:val="32"/>
              </w:rPr>
            </w:pPr>
            <w:r>
              <w:rPr>
                <w:rFonts w:ascii="宋体" w:hAnsi="宋体" w:cs="宋体"/>
                <w:b/>
                <w:sz w:val="32"/>
                <w:szCs w:val="32"/>
              </w:rPr>
              <w:t>2021</w:t>
            </w:r>
            <w:r>
              <w:rPr>
                <w:rFonts w:hint="eastAsia" w:ascii="宋体" w:hAnsi="宋体" w:cs="宋体"/>
                <w:b/>
                <w:sz w:val="32"/>
                <w:szCs w:val="32"/>
              </w:rPr>
              <w:t>年部门预算项目绩效目标自评</w:t>
            </w:r>
          </w:p>
          <w:p>
            <w:pPr>
              <w:widowControl/>
              <w:jc w:val="center"/>
              <w:textAlignment w:val="center"/>
              <w:rPr>
                <w:rFonts w:ascii="宋体" w:cs="宋体"/>
                <w:b/>
                <w:sz w:val="32"/>
                <w:szCs w:val="32"/>
              </w:rPr>
            </w:pPr>
            <w:r>
              <w:rPr>
                <w:rFonts w:hint="eastAsia" w:ascii="宋体" w:hAnsi="宋体" w:cs="宋体"/>
                <w:b/>
                <w:sz w:val="32"/>
                <w:szCs w:val="32"/>
                <w:lang w:eastAsia="zh-CN"/>
              </w:rPr>
              <w:t>《少年宫运转经费》</w:t>
            </w:r>
            <w:r>
              <w:rPr>
                <w:rFonts w:hint="eastAsia" w:ascii="宋体" w:hAnsi="宋体" w:cs="宋体"/>
                <w:b/>
                <w:sz w:val="32"/>
                <w:szCs w:val="32"/>
              </w:rPr>
              <w:t>项目绩效目标自评</w:t>
            </w:r>
          </w:p>
        </w:tc>
      </w:tr>
      <w:tr>
        <w:tblPrEx>
          <w:tblCellMar>
            <w:top w:w="0" w:type="dxa"/>
            <w:left w:w="108" w:type="dxa"/>
            <w:bottom w:w="0" w:type="dxa"/>
            <w:right w:w="108"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15"/>
                <w:szCs w:val="15"/>
              </w:rPr>
              <w:t>攀枝花市仁和区教育和体育局</w:t>
            </w:r>
            <w:r>
              <w:rPr>
                <w:rFonts w:hint="eastAsia" w:ascii="宋体" w:cs="宋体"/>
                <w:sz w:val="15"/>
                <w:szCs w:val="15"/>
                <w:lang w:val="en-US" w:eastAsia="zh-CN"/>
              </w:rPr>
              <w:t>-127001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15"/>
                <w:szCs w:val="15"/>
              </w:rPr>
              <w:t>攀枝花市仁和区</w:t>
            </w:r>
            <w:r>
              <w:rPr>
                <w:rFonts w:hint="eastAsia" w:ascii="宋体" w:cs="宋体"/>
                <w:sz w:val="15"/>
                <w:szCs w:val="15"/>
                <w:lang w:val="en-US" w:eastAsia="zh-CN"/>
              </w:rPr>
              <w:t>大田镇中心学校</w:t>
            </w:r>
          </w:p>
        </w:tc>
      </w:tr>
      <w:tr>
        <w:tblPrEx>
          <w:tblCellMar>
            <w:top w:w="0" w:type="dxa"/>
            <w:left w:w="108" w:type="dxa"/>
            <w:bottom w:w="0" w:type="dxa"/>
            <w:right w:w="108"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项目预算</w:t>
            </w:r>
          </w:p>
          <w:p>
            <w:pPr>
              <w:widowControl/>
              <w:spacing w:line="32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执行情况</w:t>
            </w:r>
          </w:p>
          <w:p>
            <w:pPr>
              <w:widowControl/>
              <w:spacing w:line="320" w:lineRule="exact"/>
              <w:jc w:val="center"/>
              <w:textAlignment w:val="center"/>
              <w:rPr>
                <w:rFonts w:ascii="宋体" w:cs="宋体"/>
                <w:sz w:val="24"/>
              </w:rPr>
            </w:pP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预算数：</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ascii="宋体" w:hAnsi="宋体" w:cs="宋体"/>
                <w:kern w:val="0"/>
                <w:sz w:val="24"/>
                <w:lang w:bidi="ar"/>
              </w:rPr>
              <w:t xml:space="preserve"> </w:t>
            </w:r>
            <w:r>
              <w:rPr>
                <w:rFonts w:hint="eastAsia" w:ascii="宋体" w:hAnsi="宋体" w:cs="宋体"/>
                <w:kern w:val="0"/>
                <w:sz w:val="24"/>
                <w:lang w:bidi="ar"/>
              </w:rPr>
              <w:t>执行数：</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eastAsia="宋体" w:cs="宋体"/>
                <w:sz w:val="24"/>
                <w:lang w:val="en-US" w:eastAsia="zh-CN"/>
              </w:rPr>
            </w:pPr>
            <w:r>
              <w:rPr>
                <w:rFonts w:hint="eastAsia" w:ascii="宋体" w:cs="宋体"/>
                <w:sz w:val="24"/>
                <w:lang w:val="en-US" w:eastAsia="zh-CN"/>
              </w:rPr>
              <w:t>0</w:t>
            </w:r>
          </w:p>
        </w:tc>
      </w:tr>
      <w:tr>
        <w:tblPrEx>
          <w:tblCellMar>
            <w:top w:w="0" w:type="dxa"/>
            <w:left w:w="108" w:type="dxa"/>
            <w:bottom w:w="0" w:type="dxa"/>
            <w:right w:w="108"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确保乡村少年宫活动的顺利开展，让学生参与面达到100%，体育艺术两大板块共开设十六个项目，丰富的活动项目拓宽学生的知识面，力求让每个学生都掌握一门特长</w:t>
            </w:r>
            <w:r>
              <w:rPr>
                <w:rFonts w:hint="eastAsia" w:ascii="宋体" w:cs="宋体"/>
                <w:sz w:val="18"/>
                <w:szCs w:val="18"/>
                <w:lang w:eastAsia="zh-CN"/>
              </w:rPr>
              <w:t>。</w:t>
            </w:r>
          </w:p>
        </w:tc>
        <w:tc>
          <w:tcPr>
            <w:tcW w:w="363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ind w:firstLine="360" w:firstLineChars="200"/>
              <w:jc w:val="left"/>
              <w:textAlignment w:val="top"/>
              <w:rPr>
                <w:rFonts w:hint="eastAsia" w:ascii="宋体" w:eastAsia="宋体" w:cs="宋体"/>
                <w:sz w:val="24"/>
                <w:lang w:eastAsia="zh-CN"/>
              </w:rPr>
            </w:pPr>
            <w:r>
              <w:rPr>
                <w:rFonts w:hint="eastAsia" w:ascii="宋体" w:cs="宋体"/>
                <w:sz w:val="18"/>
                <w:szCs w:val="18"/>
              </w:rPr>
              <w:t>乡村少年宫活动已顺利开展，学生参与面达到100%，体育艺术两大板块共开设了十六个项目，丰富的活动项目拓宽学生的知识面，让每个学生都掌握了一门特长</w:t>
            </w:r>
            <w:r>
              <w:rPr>
                <w:rFonts w:hint="eastAsia" w:ascii="宋体" w:cs="宋体"/>
                <w:sz w:val="18"/>
                <w:szCs w:val="18"/>
                <w:lang w:eastAsia="zh-CN"/>
              </w:rPr>
              <w:t>。</w:t>
            </w:r>
          </w:p>
        </w:tc>
      </w:tr>
      <w:tr>
        <w:tblPrEx>
          <w:tblCellMar>
            <w:top w:w="0" w:type="dxa"/>
            <w:left w:w="108" w:type="dxa"/>
            <w:bottom w:w="0" w:type="dxa"/>
            <w:right w:w="108"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blPrEx>
          <w:tblCellMar>
            <w:top w:w="0" w:type="dxa"/>
            <w:left w:w="108" w:type="dxa"/>
            <w:bottom w:w="0" w:type="dxa"/>
            <w:right w:w="108" w:type="dxa"/>
          </w:tblCellMar>
        </w:tblPrEx>
        <w:trPr>
          <w:trHeight w:val="42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项目数量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项目1个</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项目1个</w:t>
            </w:r>
          </w:p>
        </w:tc>
      </w:tr>
      <w:tr>
        <w:tblPrEx>
          <w:tblCellMar>
            <w:top w:w="0" w:type="dxa"/>
            <w:left w:w="108" w:type="dxa"/>
            <w:bottom w:w="0" w:type="dxa"/>
            <w:right w:w="108" w:type="dxa"/>
          </w:tblCellMar>
        </w:tblPrEx>
        <w:trPr>
          <w:trHeight w:val="54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63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bidi="ar"/>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开设16个活动项目，力求学生全部参加。弥补少年宫办公经费不足</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其他商品和服务</w:t>
            </w:r>
            <w:r>
              <w:rPr>
                <w:rFonts w:hint="eastAsia" w:ascii="仿宋_GB2312" w:hAnsi="仿宋_GB2312" w:eastAsia="仿宋_GB2312" w:cs="仿宋_GB2312"/>
                <w:sz w:val="18"/>
                <w:szCs w:val="18"/>
                <w:lang w:val="en-US" w:eastAsia="zh-CN"/>
              </w:rPr>
              <w:t>支出</w:t>
            </w:r>
            <w:r>
              <w:rPr>
                <w:rFonts w:hint="eastAsia" w:ascii="仿宋_GB2312" w:hAnsi="仿宋_GB2312" w:eastAsia="仿宋_GB2312" w:cs="仿宋_GB2312"/>
                <w:sz w:val="18"/>
                <w:szCs w:val="18"/>
              </w:rPr>
              <w:t>2万元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租赁费因租赁方未上缴，导致此项目经费实际完成指标为0</w:t>
            </w:r>
            <w:r>
              <w:rPr>
                <w:rFonts w:hint="eastAsia" w:ascii="仿宋_GB2312" w:hAnsi="仿宋_GB2312" w:eastAsia="仿宋_GB2312" w:cs="仿宋_GB2312"/>
                <w:sz w:val="18"/>
                <w:szCs w:val="18"/>
              </w:rPr>
              <w:t>万元</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项目完成率</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100%</w:t>
            </w:r>
          </w:p>
        </w:tc>
      </w:tr>
      <w:tr>
        <w:tblPrEx>
          <w:tblCellMar>
            <w:top w:w="0" w:type="dxa"/>
            <w:left w:w="108" w:type="dxa"/>
            <w:bottom w:w="0" w:type="dxa"/>
            <w:right w:w="108" w:type="dxa"/>
          </w:tblCellMar>
        </w:tblPrEx>
        <w:trPr>
          <w:trHeight w:val="41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项目实施时限</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仿宋_GB2312" w:hAnsi="仿宋_GB2312" w:eastAsia="仿宋_GB2312" w:cs="仿宋_GB2312"/>
                <w:sz w:val="18"/>
                <w:szCs w:val="18"/>
                <w:lang w:val="en-US" w:eastAsia="zh-CN"/>
              </w:rPr>
              <w:t>2021年1-12月</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全部达到预期指标</w:t>
            </w:r>
          </w:p>
        </w:tc>
      </w:tr>
      <w:tr>
        <w:tblPrEx>
          <w:tblCellMar>
            <w:top w:w="0" w:type="dxa"/>
            <w:left w:w="108" w:type="dxa"/>
            <w:bottom w:w="0" w:type="dxa"/>
            <w:right w:w="108" w:type="dxa"/>
          </w:tblCellMar>
        </w:tblPrEx>
        <w:trPr>
          <w:trHeight w:val="505"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 项目经费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2万元</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0万元</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效益</w:t>
            </w:r>
          </w:p>
          <w:p>
            <w:pPr>
              <w:widowControl/>
              <w:spacing w:line="320" w:lineRule="exact"/>
              <w:jc w:val="center"/>
              <w:textAlignment w:val="bottom"/>
              <w:rPr>
                <w:rFonts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通过各类活动项目的开展，全面提升学生素质</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通过各类活动项目的开展，全面提升学生素质</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480" w:hRule="atLeast"/>
          <w:jc w:val="center"/>
        </w:trPr>
        <w:tc>
          <w:tcPr>
            <w:tcW w:w="1976" w:type="dxa"/>
            <w:vMerge w:val="continue"/>
            <w:tcBorders>
              <w:left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noWrap w:val="0"/>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可持续影响</w:t>
            </w:r>
            <w:r>
              <w:rPr>
                <w:rFonts w:ascii="仿宋_GB2312" w:hAnsi="仿宋_GB2312" w:eastAsia="仿宋_GB2312" w:cs="仿宋_GB2312"/>
                <w:kern w:val="0"/>
                <w:sz w:val="28"/>
                <w:szCs w:val="28"/>
                <w:lang w:bidi="ar"/>
              </w:rPr>
              <w:t xml:space="preserve"> </w:t>
            </w: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提高学生素质，让每个学生掌握一门特长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提高学生素质，让每个学生掌握一门特长</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全部达到预期指标</w:t>
            </w:r>
          </w:p>
        </w:tc>
      </w:tr>
      <w:tr>
        <w:tblPrEx>
          <w:tblCellMar>
            <w:top w:w="0" w:type="dxa"/>
            <w:left w:w="108" w:type="dxa"/>
            <w:bottom w:w="0" w:type="dxa"/>
            <w:right w:w="108" w:type="dxa"/>
          </w:tblCellMar>
        </w:tblPrEx>
        <w:trPr>
          <w:trHeight w:val="740" w:hRule="atLeast"/>
          <w:jc w:val="center"/>
        </w:trPr>
        <w:tc>
          <w:tcPr>
            <w:tcW w:w="1976"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学生、家长、社会满意度</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96%</w:t>
            </w:r>
          </w:p>
        </w:tc>
      </w:tr>
    </w:tbl>
    <w:p>
      <w:pPr>
        <w:widowControl/>
        <w:jc w:val="left"/>
        <w:rPr>
          <w:rStyle w:val="17"/>
          <w:rFonts w:hint="default" w:ascii="黑体" w:hAnsi="黑体" w:eastAsia="黑体"/>
          <w:b w:val="0"/>
          <w:sz w:val="32"/>
          <w:szCs w:val="32"/>
          <w:lang w:val="en-US" w:eastAsia="zh-CN"/>
        </w:rPr>
      </w:pPr>
      <w:bookmarkStart w:id="109" w:name="_Toc373"/>
      <w:bookmarkStart w:id="110" w:name="_Toc18679"/>
      <w:r>
        <w:rPr>
          <w:rStyle w:val="17"/>
          <w:rFonts w:hint="eastAsia" w:ascii="黑体" w:hAnsi="黑体" w:eastAsia="黑体"/>
          <w:b w:val="0"/>
          <w:sz w:val="32"/>
          <w:szCs w:val="32"/>
          <w:lang w:val="en-US" w:eastAsia="zh-CN"/>
        </w:rPr>
        <w:t>附件4</w:t>
      </w:r>
    </w:p>
    <w:bookmarkEnd w:id="109"/>
    <w:bookmarkEnd w:id="110"/>
    <w:p>
      <w:pPr>
        <w:widowControl/>
        <w:jc w:val="left"/>
        <w:rPr>
          <w:rStyle w:val="17"/>
          <w:rFonts w:ascii="黑体" w:hAnsi="黑体" w:eastAsia="黑体"/>
          <w:b w:val="0"/>
        </w:rPr>
      </w:pPr>
    </w:p>
    <w:p>
      <w:pPr>
        <w:spacing w:line="600" w:lineRule="exact"/>
        <w:jc w:val="center"/>
        <w:outlineLvl w:val="0"/>
        <w:rPr>
          <w:rStyle w:val="17"/>
          <w:rFonts w:ascii="黑体" w:hAnsi="黑体" w:eastAsia="黑体"/>
          <w:b w:val="0"/>
        </w:rPr>
      </w:pPr>
      <w:bookmarkStart w:id="111" w:name="_Toc11481"/>
      <w:bookmarkStart w:id="112" w:name="_Toc32395"/>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99"/>
      <w:bookmarkEnd w:id="102"/>
      <w:bookmarkEnd w:id="111"/>
      <w:bookmarkEnd w:id="112"/>
    </w:p>
    <w:p>
      <w:pPr>
        <w:pStyle w:val="3"/>
        <w:rPr>
          <w:rFonts w:ascii="仿宋" w:hAnsi="仿宋" w:eastAsia="仿宋"/>
          <w:color w:val="000000"/>
        </w:rPr>
      </w:pPr>
      <w:bookmarkStart w:id="113" w:name="_Toc23542"/>
      <w:bookmarkStart w:id="114" w:name="_Toc31046"/>
      <w:bookmarkStart w:id="115"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113"/>
      <w:bookmarkEnd w:id="114"/>
      <w:bookmarkEnd w:id="115"/>
    </w:p>
    <w:p>
      <w:pPr>
        <w:pStyle w:val="3"/>
        <w:rPr>
          <w:rFonts w:ascii="仿宋" w:hAnsi="仿宋" w:eastAsia="仿宋"/>
          <w:color w:val="000000"/>
        </w:rPr>
      </w:pPr>
      <w:bookmarkStart w:id="116" w:name="_Toc8179"/>
      <w:bookmarkStart w:id="117" w:name="_Toc158"/>
      <w:bookmarkStart w:id="118"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116"/>
      <w:bookmarkEnd w:id="117"/>
      <w:bookmarkEnd w:id="118"/>
    </w:p>
    <w:p>
      <w:pPr>
        <w:pStyle w:val="3"/>
        <w:rPr>
          <w:rFonts w:ascii="仿宋" w:hAnsi="仿宋" w:eastAsia="仿宋"/>
          <w:color w:val="000000"/>
        </w:rPr>
      </w:pPr>
      <w:bookmarkStart w:id="119" w:name="_Toc31538"/>
      <w:bookmarkStart w:id="120" w:name="_Toc15396621"/>
      <w:bookmarkStart w:id="121" w:name="_Toc23406"/>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119"/>
      <w:bookmarkEnd w:id="120"/>
      <w:bookmarkEnd w:id="121"/>
    </w:p>
    <w:p>
      <w:pPr>
        <w:pStyle w:val="3"/>
        <w:rPr>
          <w:rFonts w:ascii="仿宋" w:hAnsi="仿宋" w:eastAsia="仿宋"/>
          <w:b w:val="0"/>
          <w:color w:val="000000"/>
        </w:rPr>
      </w:pPr>
      <w:bookmarkStart w:id="122" w:name="_Toc15396622"/>
      <w:bookmarkStart w:id="123" w:name="_Toc5"/>
      <w:bookmarkStart w:id="124" w:name="_Toc5227"/>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122"/>
      <w:bookmarkEnd w:id="123"/>
      <w:bookmarkEnd w:id="124"/>
    </w:p>
    <w:p>
      <w:pPr>
        <w:pStyle w:val="3"/>
        <w:rPr>
          <w:rStyle w:val="18"/>
          <w:rFonts w:ascii="仿宋" w:hAnsi="仿宋" w:eastAsia="仿宋"/>
          <w:b w:val="0"/>
          <w:bCs w:val="0"/>
        </w:rPr>
      </w:pPr>
      <w:bookmarkStart w:id="125" w:name="_Toc31067"/>
      <w:bookmarkStart w:id="126" w:name="_Toc15396623"/>
      <w:bookmarkStart w:id="127" w:name="_Toc18762"/>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125"/>
      <w:bookmarkEnd w:id="126"/>
      <w:bookmarkEnd w:id="127"/>
      <w:bookmarkStart w:id="128" w:name="_Toc15396624"/>
    </w:p>
    <w:p>
      <w:pPr>
        <w:pStyle w:val="3"/>
        <w:rPr>
          <w:rFonts w:ascii="仿宋" w:hAnsi="仿宋" w:eastAsia="仿宋"/>
          <w:color w:val="000000"/>
        </w:rPr>
      </w:pPr>
      <w:bookmarkStart w:id="129" w:name="_Toc21485"/>
      <w:bookmarkStart w:id="130" w:name="_Toc5698"/>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128"/>
      <w:bookmarkEnd w:id="129"/>
      <w:bookmarkEnd w:id="130"/>
    </w:p>
    <w:p>
      <w:pPr>
        <w:pStyle w:val="3"/>
        <w:rPr>
          <w:rFonts w:ascii="仿宋" w:hAnsi="仿宋" w:eastAsia="仿宋"/>
          <w:color w:val="000000"/>
        </w:rPr>
      </w:pPr>
      <w:bookmarkStart w:id="131" w:name="_Toc30624"/>
      <w:bookmarkStart w:id="132" w:name="_Toc10775"/>
      <w:bookmarkStart w:id="133"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131"/>
      <w:bookmarkEnd w:id="132"/>
      <w:bookmarkEnd w:id="133"/>
    </w:p>
    <w:p>
      <w:pPr>
        <w:pStyle w:val="3"/>
        <w:rPr>
          <w:rFonts w:ascii="仿宋" w:hAnsi="仿宋" w:eastAsia="仿宋"/>
          <w:color w:val="000000"/>
        </w:rPr>
      </w:pPr>
      <w:bookmarkStart w:id="134" w:name="_Toc15396626"/>
      <w:bookmarkStart w:id="135" w:name="_Toc1517"/>
      <w:bookmarkStart w:id="136" w:name="_Toc7392"/>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134"/>
      <w:bookmarkEnd w:id="135"/>
      <w:bookmarkEnd w:id="136"/>
    </w:p>
    <w:p>
      <w:pPr>
        <w:pStyle w:val="3"/>
        <w:rPr>
          <w:rFonts w:ascii="仿宋" w:hAnsi="仿宋" w:eastAsia="仿宋"/>
          <w:color w:val="000000"/>
        </w:rPr>
      </w:pPr>
      <w:bookmarkStart w:id="137" w:name="_Toc10887"/>
      <w:bookmarkStart w:id="138" w:name="_Toc26523"/>
      <w:bookmarkStart w:id="139"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137"/>
      <w:bookmarkEnd w:id="138"/>
      <w:bookmarkEnd w:id="139"/>
    </w:p>
    <w:p>
      <w:pPr>
        <w:pStyle w:val="3"/>
        <w:rPr>
          <w:rFonts w:ascii="仿宋" w:hAnsi="仿宋" w:eastAsia="仿宋"/>
          <w:color w:val="000000"/>
        </w:rPr>
      </w:pPr>
      <w:bookmarkStart w:id="140" w:name="_Toc29040"/>
      <w:bookmarkStart w:id="141" w:name="_Toc15889"/>
      <w:bookmarkStart w:id="142"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140"/>
      <w:bookmarkEnd w:id="141"/>
      <w:bookmarkEnd w:id="142"/>
    </w:p>
    <w:p>
      <w:pPr>
        <w:pStyle w:val="3"/>
        <w:rPr>
          <w:rFonts w:ascii="仿宋" w:hAnsi="仿宋" w:eastAsia="仿宋"/>
          <w:color w:val="000000"/>
        </w:rPr>
      </w:pPr>
      <w:bookmarkStart w:id="143" w:name="_Toc28644"/>
      <w:bookmarkStart w:id="144" w:name="_Toc23560"/>
      <w:bookmarkStart w:id="145"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143"/>
      <w:bookmarkEnd w:id="144"/>
      <w:bookmarkEnd w:id="145"/>
    </w:p>
    <w:p>
      <w:pPr>
        <w:pStyle w:val="3"/>
        <w:rPr>
          <w:rFonts w:ascii="仿宋" w:hAnsi="仿宋" w:eastAsia="仿宋"/>
          <w:color w:val="000000"/>
        </w:rPr>
      </w:pPr>
      <w:bookmarkStart w:id="146" w:name="_Toc15396630"/>
      <w:bookmarkStart w:id="147" w:name="_Toc1513"/>
      <w:bookmarkStart w:id="148" w:name="_Toc28488"/>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146"/>
      <w:bookmarkEnd w:id="147"/>
      <w:bookmarkEnd w:id="148"/>
    </w:p>
    <w:p>
      <w:pPr>
        <w:pStyle w:val="3"/>
        <w:rPr>
          <w:rStyle w:val="18"/>
          <w:rFonts w:hint="eastAsia" w:ascii="仿宋" w:hAnsi="仿宋" w:eastAsia="仿宋"/>
          <w:b w:val="0"/>
          <w:bCs w:val="0"/>
        </w:rPr>
      </w:pPr>
      <w:bookmarkStart w:id="149" w:name="_Toc1403"/>
      <w:bookmarkStart w:id="150" w:name="_Toc15396631"/>
      <w:bookmarkStart w:id="151" w:name="_Toc25586"/>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有资本经营预算财政拨款收入支出决算表</w:t>
      </w:r>
      <w:bookmarkEnd w:id="149"/>
      <w:bookmarkEnd w:id="150"/>
      <w:bookmarkEnd w:id="151"/>
    </w:p>
    <w:p>
      <w:pPr>
        <w:pStyle w:val="3"/>
        <w:rPr>
          <w:rStyle w:val="18"/>
          <w:rFonts w:ascii="仿宋" w:hAnsi="仿宋" w:eastAsia="仿宋"/>
          <w:b w:val="0"/>
          <w:bCs w:val="0"/>
        </w:rPr>
      </w:pPr>
      <w:bookmarkStart w:id="152" w:name="_Toc22816"/>
      <w:bookmarkStart w:id="153" w:name="_Toc8340"/>
      <w:r>
        <w:rPr>
          <w:rStyle w:val="18"/>
          <w:rFonts w:hint="eastAsia" w:ascii="仿宋" w:hAnsi="仿宋" w:eastAsia="仿宋"/>
          <w:b w:val="0"/>
          <w:bCs w:val="0"/>
        </w:rPr>
        <w:t>十四、</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bookmarkEnd w:id="152"/>
      <w:bookmarkEnd w:id="153"/>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88A2C"/>
    <w:multiLevelType w:val="singleLevel"/>
    <w:tmpl w:val="A9488A2C"/>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41E5E16F"/>
    <w:multiLevelType w:val="multilevel"/>
    <w:tmpl w:val="41E5E16F"/>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F1361C"/>
    <w:rsid w:val="00001E03"/>
    <w:rsid w:val="000222C6"/>
    <w:rsid w:val="0002549F"/>
    <w:rsid w:val="00033AD0"/>
    <w:rsid w:val="000468DB"/>
    <w:rsid w:val="00060D9A"/>
    <w:rsid w:val="0006487A"/>
    <w:rsid w:val="00065F8F"/>
    <w:rsid w:val="0006693A"/>
    <w:rsid w:val="00070A43"/>
    <w:rsid w:val="000768F2"/>
    <w:rsid w:val="0008363A"/>
    <w:rsid w:val="0009184B"/>
    <w:rsid w:val="00094236"/>
    <w:rsid w:val="00094D46"/>
    <w:rsid w:val="0009593C"/>
    <w:rsid w:val="00096F8D"/>
    <w:rsid w:val="00097322"/>
    <w:rsid w:val="000A6A92"/>
    <w:rsid w:val="000B047F"/>
    <w:rsid w:val="000B5923"/>
    <w:rsid w:val="000B5A48"/>
    <w:rsid w:val="000B6FF3"/>
    <w:rsid w:val="000C3467"/>
    <w:rsid w:val="000C3CA6"/>
    <w:rsid w:val="000D1267"/>
    <w:rsid w:val="000D1D50"/>
    <w:rsid w:val="000D5782"/>
    <w:rsid w:val="000E6249"/>
    <w:rsid w:val="000E6613"/>
    <w:rsid w:val="000E7119"/>
    <w:rsid w:val="00114E9B"/>
    <w:rsid w:val="00115301"/>
    <w:rsid w:val="00115B9A"/>
    <w:rsid w:val="001319E1"/>
    <w:rsid w:val="00140904"/>
    <w:rsid w:val="00141986"/>
    <w:rsid w:val="00142216"/>
    <w:rsid w:val="00144D6A"/>
    <w:rsid w:val="0014729F"/>
    <w:rsid w:val="00157BAB"/>
    <w:rsid w:val="001654D1"/>
    <w:rsid w:val="001659A9"/>
    <w:rsid w:val="00174518"/>
    <w:rsid w:val="0018106D"/>
    <w:rsid w:val="001877A7"/>
    <w:rsid w:val="00191536"/>
    <w:rsid w:val="00196687"/>
    <w:rsid w:val="001A4933"/>
    <w:rsid w:val="001B311C"/>
    <w:rsid w:val="001C0962"/>
    <w:rsid w:val="001D04E6"/>
    <w:rsid w:val="001D15F9"/>
    <w:rsid w:val="001D672C"/>
    <w:rsid w:val="001D7531"/>
    <w:rsid w:val="001E52BD"/>
    <w:rsid w:val="001E737D"/>
    <w:rsid w:val="001F0592"/>
    <w:rsid w:val="001F7506"/>
    <w:rsid w:val="002006CD"/>
    <w:rsid w:val="00202B36"/>
    <w:rsid w:val="00204B7A"/>
    <w:rsid w:val="00204CDE"/>
    <w:rsid w:val="0021101A"/>
    <w:rsid w:val="00220536"/>
    <w:rsid w:val="00235629"/>
    <w:rsid w:val="00235B21"/>
    <w:rsid w:val="00256262"/>
    <w:rsid w:val="00260C38"/>
    <w:rsid w:val="002616C0"/>
    <w:rsid w:val="00265372"/>
    <w:rsid w:val="002662AA"/>
    <w:rsid w:val="00271327"/>
    <w:rsid w:val="00280496"/>
    <w:rsid w:val="002925C0"/>
    <w:rsid w:val="00294DC9"/>
    <w:rsid w:val="00295495"/>
    <w:rsid w:val="002A31DE"/>
    <w:rsid w:val="002B2613"/>
    <w:rsid w:val="002B7B31"/>
    <w:rsid w:val="002D6D05"/>
    <w:rsid w:val="002F1495"/>
    <w:rsid w:val="002F1818"/>
    <w:rsid w:val="002F24BF"/>
    <w:rsid w:val="002F567B"/>
    <w:rsid w:val="00312EF0"/>
    <w:rsid w:val="003174F1"/>
    <w:rsid w:val="003216A9"/>
    <w:rsid w:val="00322F8B"/>
    <w:rsid w:val="00331844"/>
    <w:rsid w:val="00335A74"/>
    <w:rsid w:val="00363432"/>
    <w:rsid w:val="0036561B"/>
    <w:rsid w:val="0037013F"/>
    <w:rsid w:val="0037503F"/>
    <w:rsid w:val="00380C92"/>
    <w:rsid w:val="003A484F"/>
    <w:rsid w:val="003A4883"/>
    <w:rsid w:val="003B0BE0"/>
    <w:rsid w:val="003B0C1B"/>
    <w:rsid w:val="003B688C"/>
    <w:rsid w:val="003C0291"/>
    <w:rsid w:val="003C39AE"/>
    <w:rsid w:val="003C7B60"/>
    <w:rsid w:val="003D0C0F"/>
    <w:rsid w:val="003D1FB2"/>
    <w:rsid w:val="003D248B"/>
    <w:rsid w:val="003D66DA"/>
    <w:rsid w:val="003E1310"/>
    <w:rsid w:val="003E186D"/>
    <w:rsid w:val="003E6EFE"/>
    <w:rsid w:val="003E6F55"/>
    <w:rsid w:val="00406254"/>
    <w:rsid w:val="004223DE"/>
    <w:rsid w:val="0042762D"/>
    <w:rsid w:val="00434489"/>
    <w:rsid w:val="00437085"/>
    <w:rsid w:val="00443880"/>
    <w:rsid w:val="00446073"/>
    <w:rsid w:val="004464F4"/>
    <w:rsid w:val="004466D1"/>
    <w:rsid w:val="004566D5"/>
    <w:rsid w:val="00471401"/>
    <w:rsid w:val="00473F31"/>
    <w:rsid w:val="00477D24"/>
    <w:rsid w:val="0048263A"/>
    <w:rsid w:val="00487E5D"/>
    <w:rsid w:val="00487F1C"/>
    <w:rsid w:val="004A4ACE"/>
    <w:rsid w:val="004A711F"/>
    <w:rsid w:val="004B199D"/>
    <w:rsid w:val="004B4690"/>
    <w:rsid w:val="004E0A2D"/>
    <w:rsid w:val="004E206B"/>
    <w:rsid w:val="004E6A82"/>
    <w:rsid w:val="004E6DF7"/>
    <w:rsid w:val="004F0FBD"/>
    <w:rsid w:val="0050328D"/>
    <w:rsid w:val="00505A47"/>
    <w:rsid w:val="00512FDA"/>
    <w:rsid w:val="00515FA0"/>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D7E28"/>
    <w:rsid w:val="005F1A4C"/>
    <w:rsid w:val="00605688"/>
    <w:rsid w:val="006070AF"/>
    <w:rsid w:val="00607E6C"/>
    <w:rsid w:val="006101B1"/>
    <w:rsid w:val="00611B2A"/>
    <w:rsid w:val="00614620"/>
    <w:rsid w:val="00614E44"/>
    <w:rsid w:val="00620D83"/>
    <w:rsid w:val="0062270A"/>
    <w:rsid w:val="00622830"/>
    <w:rsid w:val="00623DA0"/>
    <w:rsid w:val="0062562F"/>
    <w:rsid w:val="00630AEF"/>
    <w:rsid w:val="006325F8"/>
    <w:rsid w:val="00633463"/>
    <w:rsid w:val="00634C9A"/>
    <w:rsid w:val="006361A4"/>
    <w:rsid w:val="006440E4"/>
    <w:rsid w:val="0066343B"/>
    <w:rsid w:val="00664777"/>
    <w:rsid w:val="00665F27"/>
    <w:rsid w:val="00670B81"/>
    <w:rsid w:val="006748A4"/>
    <w:rsid w:val="00681A31"/>
    <w:rsid w:val="00683E73"/>
    <w:rsid w:val="00692AD8"/>
    <w:rsid w:val="006A3141"/>
    <w:rsid w:val="006A360D"/>
    <w:rsid w:val="006A5E34"/>
    <w:rsid w:val="006B2422"/>
    <w:rsid w:val="006B2B9A"/>
    <w:rsid w:val="006B3444"/>
    <w:rsid w:val="006C1937"/>
    <w:rsid w:val="006F020C"/>
    <w:rsid w:val="00701430"/>
    <w:rsid w:val="007127B7"/>
    <w:rsid w:val="0071798E"/>
    <w:rsid w:val="007416B6"/>
    <w:rsid w:val="007449F1"/>
    <w:rsid w:val="00746F48"/>
    <w:rsid w:val="0075404D"/>
    <w:rsid w:val="0076182A"/>
    <w:rsid w:val="00767B7E"/>
    <w:rsid w:val="00773978"/>
    <w:rsid w:val="007770C3"/>
    <w:rsid w:val="00784AC8"/>
    <w:rsid w:val="00784D24"/>
    <w:rsid w:val="00785FBA"/>
    <w:rsid w:val="00786E4A"/>
    <w:rsid w:val="007875EB"/>
    <w:rsid w:val="00793AF0"/>
    <w:rsid w:val="0079426B"/>
    <w:rsid w:val="007A1DBC"/>
    <w:rsid w:val="007A2F34"/>
    <w:rsid w:val="007D1682"/>
    <w:rsid w:val="007D312A"/>
    <w:rsid w:val="007D3F19"/>
    <w:rsid w:val="007E23B0"/>
    <w:rsid w:val="007E23E5"/>
    <w:rsid w:val="007F1991"/>
    <w:rsid w:val="007F2C2F"/>
    <w:rsid w:val="007F3545"/>
    <w:rsid w:val="007F3842"/>
    <w:rsid w:val="007F55FC"/>
    <w:rsid w:val="007F5665"/>
    <w:rsid w:val="00800112"/>
    <w:rsid w:val="0080791B"/>
    <w:rsid w:val="00813348"/>
    <w:rsid w:val="008253BB"/>
    <w:rsid w:val="0083706E"/>
    <w:rsid w:val="008408F6"/>
    <w:rsid w:val="008423A5"/>
    <w:rsid w:val="00850625"/>
    <w:rsid w:val="00853718"/>
    <w:rsid w:val="00855221"/>
    <w:rsid w:val="008605B7"/>
    <w:rsid w:val="00860645"/>
    <w:rsid w:val="00871F71"/>
    <w:rsid w:val="00872FD8"/>
    <w:rsid w:val="00876972"/>
    <w:rsid w:val="00881A63"/>
    <w:rsid w:val="00885AF4"/>
    <w:rsid w:val="008939CD"/>
    <w:rsid w:val="008A0EB0"/>
    <w:rsid w:val="008B100B"/>
    <w:rsid w:val="008B768C"/>
    <w:rsid w:val="008C4DB1"/>
    <w:rsid w:val="008C4EAF"/>
    <w:rsid w:val="008C5176"/>
    <w:rsid w:val="008C7F02"/>
    <w:rsid w:val="008C7FD0"/>
    <w:rsid w:val="008D0D9F"/>
    <w:rsid w:val="008D7EC0"/>
    <w:rsid w:val="008E1DE7"/>
    <w:rsid w:val="008E707C"/>
    <w:rsid w:val="00900B08"/>
    <w:rsid w:val="00902155"/>
    <w:rsid w:val="00902FA3"/>
    <w:rsid w:val="00905D05"/>
    <w:rsid w:val="00913CD1"/>
    <w:rsid w:val="00915A7A"/>
    <w:rsid w:val="00923564"/>
    <w:rsid w:val="0092392E"/>
    <w:rsid w:val="009315F9"/>
    <w:rsid w:val="00933499"/>
    <w:rsid w:val="009334D8"/>
    <w:rsid w:val="009355C3"/>
    <w:rsid w:val="00935C98"/>
    <w:rsid w:val="00936F98"/>
    <w:rsid w:val="00946945"/>
    <w:rsid w:val="00951248"/>
    <w:rsid w:val="0095152F"/>
    <w:rsid w:val="00954C49"/>
    <w:rsid w:val="00955E37"/>
    <w:rsid w:val="00967997"/>
    <w:rsid w:val="0097099F"/>
    <w:rsid w:val="00971997"/>
    <w:rsid w:val="00971FFC"/>
    <w:rsid w:val="0098660A"/>
    <w:rsid w:val="00992348"/>
    <w:rsid w:val="009931C3"/>
    <w:rsid w:val="009B2C43"/>
    <w:rsid w:val="009B4EAE"/>
    <w:rsid w:val="009B7573"/>
    <w:rsid w:val="009C22F4"/>
    <w:rsid w:val="009C2A4B"/>
    <w:rsid w:val="009C2E98"/>
    <w:rsid w:val="009D3447"/>
    <w:rsid w:val="009D4711"/>
    <w:rsid w:val="009E18A7"/>
    <w:rsid w:val="009F1185"/>
    <w:rsid w:val="009F18CD"/>
    <w:rsid w:val="009F297F"/>
    <w:rsid w:val="009F2A13"/>
    <w:rsid w:val="009F7527"/>
    <w:rsid w:val="00A04EB0"/>
    <w:rsid w:val="00A13CC1"/>
    <w:rsid w:val="00A16847"/>
    <w:rsid w:val="00A237D8"/>
    <w:rsid w:val="00A2491D"/>
    <w:rsid w:val="00A268C4"/>
    <w:rsid w:val="00A307CD"/>
    <w:rsid w:val="00A331C8"/>
    <w:rsid w:val="00A40A00"/>
    <w:rsid w:val="00A4142F"/>
    <w:rsid w:val="00A422EB"/>
    <w:rsid w:val="00A45BB7"/>
    <w:rsid w:val="00A56DF2"/>
    <w:rsid w:val="00A56E6E"/>
    <w:rsid w:val="00A63834"/>
    <w:rsid w:val="00A67AB5"/>
    <w:rsid w:val="00A733B2"/>
    <w:rsid w:val="00A741C2"/>
    <w:rsid w:val="00A91760"/>
    <w:rsid w:val="00A93B00"/>
    <w:rsid w:val="00A93C21"/>
    <w:rsid w:val="00AA318E"/>
    <w:rsid w:val="00AA78B0"/>
    <w:rsid w:val="00AB64C9"/>
    <w:rsid w:val="00AC3C6A"/>
    <w:rsid w:val="00AC688F"/>
    <w:rsid w:val="00AD2CE2"/>
    <w:rsid w:val="00AD5620"/>
    <w:rsid w:val="00AD656B"/>
    <w:rsid w:val="00AD7C1B"/>
    <w:rsid w:val="00AE0057"/>
    <w:rsid w:val="00AE16BA"/>
    <w:rsid w:val="00AE1EBE"/>
    <w:rsid w:val="00AF5955"/>
    <w:rsid w:val="00B03C9D"/>
    <w:rsid w:val="00B060AE"/>
    <w:rsid w:val="00B10517"/>
    <w:rsid w:val="00B14E76"/>
    <w:rsid w:val="00B161B8"/>
    <w:rsid w:val="00B2048C"/>
    <w:rsid w:val="00B30FA9"/>
    <w:rsid w:val="00B310B9"/>
    <w:rsid w:val="00B33FE5"/>
    <w:rsid w:val="00B3479C"/>
    <w:rsid w:val="00B35F3F"/>
    <w:rsid w:val="00B36CBB"/>
    <w:rsid w:val="00B425E0"/>
    <w:rsid w:val="00B440AA"/>
    <w:rsid w:val="00B44B70"/>
    <w:rsid w:val="00B51252"/>
    <w:rsid w:val="00B53C56"/>
    <w:rsid w:val="00B57DAF"/>
    <w:rsid w:val="00B6633F"/>
    <w:rsid w:val="00B77EA6"/>
    <w:rsid w:val="00B81598"/>
    <w:rsid w:val="00B81D6F"/>
    <w:rsid w:val="00B841F1"/>
    <w:rsid w:val="00B90E4E"/>
    <w:rsid w:val="00B944D6"/>
    <w:rsid w:val="00B95476"/>
    <w:rsid w:val="00B965DC"/>
    <w:rsid w:val="00BB4DF0"/>
    <w:rsid w:val="00BC289F"/>
    <w:rsid w:val="00BC2D50"/>
    <w:rsid w:val="00BC5361"/>
    <w:rsid w:val="00BC5460"/>
    <w:rsid w:val="00BC6B50"/>
    <w:rsid w:val="00BD0E25"/>
    <w:rsid w:val="00BD3276"/>
    <w:rsid w:val="00BF5BD6"/>
    <w:rsid w:val="00C03E31"/>
    <w:rsid w:val="00C0539F"/>
    <w:rsid w:val="00C05423"/>
    <w:rsid w:val="00C33E72"/>
    <w:rsid w:val="00C354B2"/>
    <w:rsid w:val="00C35554"/>
    <w:rsid w:val="00C42709"/>
    <w:rsid w:val="00C533CC"/>
    <w:rsid w:val="00C5751C"/>
    <w:rsid w:val="00C61BFC"/>
    <w:rsid w:val="00C62B85"/>
    <w:rsid w:val="00C65438"/>
    <w:rsid w:val="00C87FD8"/>
    <w:rsid w:val="00C91381"/>
    <w:rsid w:val="00C91CBB"/>
    <w:rsid w:val="00CA1B48"/>
    <w:rsid w:val="00CA33B5"/>
    <w:rsid w:val="00CB4E70"/>
    <w:rsid w:val="00CC09B6"/>
    <w:rsid w:val="00CC666F"/>
    <w:rsid w:val="00CD1E3F"/>
    <w:rsid w:val="00CE44F6"/>
    <w:rsid w:val="00CE49DA"/>
    <w:rsid w:val="00CE7B61"/>
    <w:rsid w:val="00CE7B83"/>
    <w:rsid w:val="00CF0875"/>
    <w:rsid w:val="00CF1E5D"/>
    <w:rsid w:val="00D00095"/>
    <w:rsid w:val="00D114F0"/>
    <w:rsid w:val="00D20620"/>
    <w:rsid w:val="00D254F7"/>
    <w:rsid w:val="00D26091"/>
    <w:rsid w:val="00D2685C"/>
    <w:rsid w:val="00D30556"/>
    <w:rsid w:val="00D308CF"/>
    <w:rsid w:val="00D34E7C"/>
    <w:rsid w:val="00D35489"/>
    <w:rsid w:val="00D36AFE"/>
    <w:rsid w:val="00D51276"/>
    <w:rsid w:val="00D625DD"/>
    <w:rsid w:val="00D7035F"/>
    <w:rsid w:val="00D856D2"/>
    <w:rsid w:val="00D94549"/>
    <w:rsid w:val="00DA066E"/>
    <w:rsid w:val="00DA634F"/>
    <w:rsid w:val="00DA65AC"/>
    <w:rsid w:val="00DB1913"/>
    <w:rsid w:val="00DC2A78"/>
    <w:rsid w:val="00DC410D"/>
    <w:rsid w:val="00DC5A81"/>
    <w:rsid w:val="00DC68CA"/>
    <w:rsid w:val="00DC7CBA"/>
    <w:rsid w:val="00DD73B7"/>
    <w:rsid w:val="00DF28BC"/>
    <w:rsid w:val="00DF34B9"/>
    <w:rsid w:val="00E01053"/>
    <w:rsid w:val="00E07ACF"/>
    <w:rsid w:val="00E23972"/>
    <w:rsid w:val="00E32CAD"/>
    <w:rsid w:val="00E331A1"/>
    <w:rsid w:val="00E33202"/>
    <w:rsid w:val="00E336A9"/>
    <w:rsid w:val="00E472B1"/>
    <w:rsid w:val="00E50624"/>
    <w:rsid w:val="00E568DF"/>
    <w:rsid w:val="00E56AFA"/>
    <w:rsid w:val="00E64269"/>
    <w:rsid w:val="00E64DA5"/>
    <w:rsid w:val="00E65000"/>
    <w:rsid w:val="00E661C8"/>
    <w:rsid w:val="00E82267"/>
    <w:rsid w:val="00E853CE"/>
    <w:rsid w:val="00E867B6"/>
    <w:rsid w:val="00E94159"/>
    <w:rsid w:val="00EA010F"/>
    <w:rsid w:val="00EA1801"/>
    <w:rsid w:val="00EA4B11"/>
    <w:rsid w:val="00EC3BD7"/>
    <w:rsid w:val="00ED1B63"/>
    <w:rsid w:val="00ED3C1F"/>
    <w:rsid w:val="00ED4085"/>
    <w:rsid w:val="00ED420E"/>
    <w:rsid w:val="00ED6FBE"/>
    <w:rsid w:val="00EE2F57"/>
    <w:rsid w:val="00EF012B"/>
    <w:rsid w:val="00EF4C34"/>
    <w:rsid w:val="00EF60EF"/>
    <w:rsid w:val="00EF77C6"/>
    <w:rsid w:val="00F05438"/>
    <w:rsid w:val="00F1361C"/>
    <w:rsid w:val="00F156F0"/>
    <w:rsid w:val="00F160C4"/>
    <w:rsid w:val="00F160C7"/>
    <w:rsid w:val="00F2408F"/>
    <w:rsid w:val="00F240E9"/>
    <w:rsid w:val="00F362D8"/>
    <w:rsid w:val="00F36D8F"/>
    <w:rsid w:val="00F417B1"/>
    <w:rsid w:val="00F45853"/>
    <w:rsid w:val="00F602DF"/>
    <w:rsid w:val="00F6707C"/>
    <w:rsid w:val="00F754A1"/>
    <w:rsid w:val="00F81FD9"/>
    <w:rsid w:val="00F841AA"/>
    <w:rsid w:val="00F84A94"/>
    <w:rsid w:val="00F876B0"/>
    <w:rsid w:val="00F87E96"/>
    <w:rsid w:val="00FA23E8"/>
    <w:rsid w:val="00FA3F84"/>
    <w:rsid w:val="00FD3CC1"/>
    <w:rsid w:val="00FE3369"/>
    <w:rsid w:val="00FF1E02"/>
    <w:rsid w:val="00FF30B4"/>
    <w:rsid w:val="00FF4768"/>
    <w:rsid w:val="01A26771"/>
    <w:rsid w:val="025F28B4"/>
    <w:rsid w:val="03463800"/>
    <w:rsid w:val="044676EA"/>
    <w:rsid w:val="0A2032A3"/>
    <w:rsid w:val="0A701CD6"/>
    <w:rsid w:val="0B0B7EEA"/>
    <w:rsid w:val="10B93AD7"/>
    <w:rsid w:val="10C055FF"/>
    <w:rsid w:val="11651569"/>
    <w:rsid w:val="118107EC"/>
    <w:rsid w:val="11B869C6"/>
    <w:rsid w:val="12AD5B0C"/>
    <w:rsid w:val="1336140F"/>
    <w:rsid w:val="14245AEA"/>
    <w:rsid w:val="16BB723D"/>
    <w:rsid w:val="178A1656"/>
    <w:rsid w:val="19E33973"/>
    <w:rsid w:val="1CAF1283"/>
    <w:rsid w:val="1D155CEE"/>
    <w:rsid w:val="1DA31EB7"/>
    <w:rsid w:val="1DC65D20"/>
    <w:rsid w:val="1F354E12"/>
    <w:rsid w:val="21BF6103"/>
    <w:rsid w:val="22440A83"/>
    <w:rsid w:val="227341D2"/>
    <w:rsid w:val="23671171"/>
    <w:rsid w:val="240371BF"/>
    <w:rsid w:val="26C50688"/>
    <w:rsid w:val="27A209C9"/>
    <w:rsid w:val="27F85959"/>
    <w:rsid w:val="298B3E14"/>
    <w:rsid w:val="29FD04D3"/>
    <w:rsid w:val="2F0134FD"/>
    <w:rsid w:val="2F2D3FF0"/>
    <w:rsid w:val="302A1EA4"/>
    <w:rsid w:val="319F7F4E"/>
    <w:rsid w:val="31CD40BC"/>
    <w:rsid w:val="326571C3"/>
    <w:rsid w:val="327309C3"/>
    <w:rsid w:val="32986D34"/>
    <w:rsid w:val="35745638"/>
    <w:rsid w:val="36857E34"/>
    <w:rsid w:val="377F01E2"/>
    <w:rsid w:val="37BD242B"/>
    <w:rsid w:val="3801126E"/>
    <w:rsid w:val="39A551D5"/>
    <w:rsid w:val="3BDF3B42"/>
    <w:rsid w:val="3C885733"/>
    <w:rsid w:val="3D816A62"/>
    <w:rsid w:val="3FE11A3A"/>
    <w:rsid w:val="408F11C7"/>
    <w:rsid w:val="423261F5"/>
    <w:rsid w:val="445639CB"/>
    <w:rsid w:val="446F063A"/>
    <w:rsid w:val="447C3B09"/>
    <w:rsid w:val="48C26CC5"/>
    <w:rsid w:val="48FA645F"/>
    <w:rsid w:val="4A892620"/>
    <w:rsid w:val="4CC92286"/>
    <w:rsid w:val="4D760066"/>
    <w:rsid w:val="4E22774B"/>
    <w:rsid w:val="4ECE2238"/>
    <w:rsid w:val="5248023B"/>
    <w:rsid w:val="53334A48"/>
    <w:rsid w:val="53AC65A8"/>
    <w:rsid w:val="53BF5C05"/>
    <w:rsid w:val="544E1A88"/>
    <w:rsid w:val="54A454D1"/>
    <w:rsid w:val="56010C30"/>
    <w:rsid w:val="56586B46"/>
    <w:rsid w:val="570404A9"/>
    <w:rsid w:val="580F2871"/>
    <w:rsid w:val="58E14202"/>
    <w:rsid w:val="5D171DB5"/>
    <w:rsid w:val="61EE175D"/>
    <w:rsid w:val="62560C0D"/>
    <w:rsid w:val="63006B69"/>
    <w:rsid w:val="6850212E"/>
    <w:rsid w:val="6A6507E2"/>
    <w:rsid w:val="6B206D4C"/>
    <w:rsid w:val="6C4A05C8"/>
    <w:rsid w:val="6E71157F"/>
    <w:rsid w:val="6FAF14A2"/>
    <w:rsid w:val="70B36D70"/>
    <w:rsid w:val="72662EEB"/>
    <w:rsid w:val="72734D90"/>
    <w:rsid w:val="72960304"/>
    <w:rsid w:val="7298761A"/>
    <w:rsid w:val="747367C0"/>
    <w:rsid w:val="74D646A8"/>
    <w:rsid w:val="75796A3C"/>
    <w:rsid w:val="7EF73BDC"/>
    <w:rsid w:val="7F7270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1"/>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rFonts w:cs="Times New Roman"/>
      <w:color w:val="0000FF"/>
      <w:u w:val="single"/>
    </w:rPr>
  </w:style>
  <w:style w:type="character" w:customStyle="1" w:styleId="17">
    <w:name w:val="标题 1 Char"/>
    <w:basedOn w:val="13"/>
    <w:link w:val="2"/>
    <w:qFormat/>
    <w:locked/>
    <w:uiPriority w:val="9"/>
    <w:rPr>
      <w:rFonts w:ascii="Times New Roman" w:hAnsi="Times New Roman" w:cs="Times New Roman"/>
      <w:b/>
      <w:bCs/>
      <w:kern w:val="44"/>
      <w:sz w:val="44"/>
      <w:szCs w:val="44"/>
    </w:rPr>
  </w:style>
  <w:style w:type="character" w:customStyle="1" w:styleId="18">
    <w:name w:val="标题 2 Char"/>
    <w:basedOn w:val="13"/>
    <w:link w:val="3"/>
    <w:qFormat/>
    <w:locked/>
    <w:uiPriority w:val="9"/>
    <w:rPr>
      <w:rFonts w:ascii="Cambria" w:hAnsi="Cambria" w:eastAsia="宋体" w:cs="Times New Roman"/>
      <w:b/>
      <w:bCs/>
      <w:kern w:val="2"/>
      <w:sz w:val="32"/>
      <w:szCs w:val="32"/>
    </w:rPr>
  </w:style>
  <w:style w:type="character" w:customStyle="1" w:styleId="19">
    <w:name w:val="标题 3 Char"/>
    <w:basedOn w:val="13"/>
    <w:link w:val="4"/>
    <w:qFormat/>
    <w:locked/>
    <w:uiPriority w:val="9"/>
    <w:rPr>
      <w:rFonts w:ascii="Times New Roman" w:hAnsi="Times New Roman" w:cs="Times New Roman"/>
      <w:b/>
      <w:bCs/>
      <w:kern w:val="2"/>
      <w:sz w:val="32"/>
      <w:szCs w:val="32"/>
    </w:rPr>
  </w:style>
  <w:style w:type="character" w:customStyle="1" w:styleId="20">
    <w:name w:val="正文文本 Char"/>
    <w:link w:val="5"/>
    <w:qFormat/>
    <w:locked/>
    <w:uiPriority w:val="99"/>
    <w:rPr>
      <w:rFonts w:ascii="仿宋_GB2312" w:hAnsi="Times New Roman" w:eastAsia="仿宋_GB2312"/>
      <w:sz w:val="24"/>
    </w:rPr>
  </w:style>
  <w:style w:type="character" w:customStyle="1" w:styleId="21">
    <w:name w:val="批注框文本 Char"/>
    <w:basedOn w:val="13"/>
    <w:link w:val="7"/>
    <w:semiHidden/>
    <w:qFormat/>
    <w:locked/>
    <w:uiPriority w:val="99"/>
    <w:rPr>
      <w:rFonts w:ascii="Times New Roman" w:hAnsi="Times New Roman" w:cs="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semiHidden/>
    <w:qFormat/>
    <w:locked/>
    <w:uiPriority w:val="99"/>
    <w:rPr>
      <w:sz w:val="18"/>
    </w:rPr>
  </w:style>
  <w:style w:type="character" w:customStyle="1" w:styleId="24">
    <w:name w:val="Body Text Char"/>
    <w:basedOn w:val="13"/>
    <w:link w:val="5"/>
    <w:semiHidden/>
    <w:qFormat/>
    <w:uiPriority w:val="99"/>
    <w:rPr>
      <w:rFonts w:ascii="Times New Roman" w:hAnsi="Times New Roman" w:cs="Times New Roman"/>
      <w:sz w:val="24"/>
      <w:szCs w:val="24"/>
    </w:rPr>
  </w:style>
  <w:style w:type="character" w:customStyle="1" w:styleId="25">
    <w:name w:val="Footer Char"/>
    <w:basedOn w:val="13"/>
    <w:link w:val="8"/>
    <w:semiHidden/>
    <w:qFormat/>
    <w:uiPriority w:val="99"/>
    <w:rPr>
      <w:rFonts w:ascii="Times New Roman" w:hAnsi="Times New Roman" w:cs="Times New Roman"/>
      <w:sz w:val="18"/>
      <w:szCs w:val="18"/>
    </w:rPr>
  </w:style>
  <w:style w:type="character" w:customStyle="1" w:styleId="26">
    <w:name w:val="Header Char"/>
    <w:basedOn w:val="13"/>
    <w:link w:val="9"/>
    <w:semiHidden/>
    <w:qFormat/>
    <w:uiPriority w:val="99"/>
    <w:rPr>
      <w:rFonts w:ascii="Times New Roman" w:hAnsi="Times New Roman" w:cs="Times New Roman"/>
      <w:sz w:val="18"/>
      <w:szCs w:val="18"/>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List Paragraph"/>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20</Pages>
  <Words>8085</Words>
  <Characters>8738</Characters>
  <Lines>68</Lines>
  <Paragraphs>19</Paragraphs>
  <TotalTime>9</TotalTime>
  <ScaleCrop>false</ScaleCrop>
  <LinksUpToDate>false</LinksUpToDate>
  <CharactersWithSpaces>8825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言身寸</cp:lastModifiedBy>
  <cp:lastPrinted>2021-07-29T03:56:00Z</cp:lastPrinted>
  <dcterms:modified xsi:type="dcterms:W3CDTF">2023-10-08T02:18:59Z</dcterms:modified>
  <dc:title>四川省***</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E5A0F7DB8EF24FFFACDD01291EDF728C_13</vt:lpwstr>
  </property>
</Properties>
</file>