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78441"/>
      <w:bookmarkStart w:id="2" w:name="_Toc15396597"/>
      <w:bookmarkStart w:id="3" w:name="_Toc1539647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default" w:ascii="方正小标宋简体" w:hAnsi="方正小标宋简体" w:eastAsia="方正小标宋简体" w:cs="方正小标宋简体"/>
          <w:color w:val="auto"/>
          <w:sz w:val="72"/>
          <w:szCs w:val="72"/>
          <w:highlight w:val="none"/>
          <w:lang w:val="en-US" w:eastAsia="zh-CN"/>
        </w:rPr>
      </w:pPr>
      <w:bookmarkStart w:id="6" w:name="_Toc15306268"/>
      <w:bookmarkStart w:id="7" w:name="_Toc15396598"/>
      <w:bookmarkStart w:id="8" w:name="_Toc15377194"/>
      <w:bookmarkStart w:id="9" w:name="_Toc15377426"/>
      <w:bookmarkStart w:id="10" w:name="_Toc15378442"/>
      <w:bookmarkStart w:id="11" w:name="_Toc15396476"/>
      <w:r>
        <w:rPr>
          <w:rFonts w:hint="eastAsia" w:ascii="方正小标宋简体" w:hAnsi="方正小标宋简体" w:eastAsia="方正小标宋简体" w:cs="方正小标宋简体"/>
          <w:color w:val="auto"/>
          <w:sz w:val="72"/>
          <w:szCs w:val="72"/>
          <w:highlight w:val="none"/>
          <w:lang w:val="en-US" w:eastAsia="zh-CN"/>
        </w:rPr>
        <w:t>攀枝花市仁和区丝绸公司</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val="en-US" w:eastAsia="zh-CN"/>
        </w:rPr>
        <w:t>编制说明</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9月26日 </w:t>
      </w:r>
    </w:p>
    <w:p>
      <w:pPr>
        <w:rPr>
          <w:color w:val="auto"/>
          <w:highlight w:val="none"/>
        </w:rPr>
      </w:pP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...........................................4</w:t>
      </w:r>
    </w:p>
    <w:p>
      <w:pPr>
        <w:pStyle w:val="12"/>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.........................................................................................4</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.........................................................................................4</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color w:val="auto"/>
          <w:sz w:val="24"/>
          <w:highlight w:val="none"/>
          <w:lang w:val="en-US" w:eastAsia="zh-CN"/>
        </w:rPr>
        <w:t>..........................4</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.........................................................4</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.........................................................................4</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.......................................................................5</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.........................................5</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................................5</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...........................................7</w:t>
      </w:r>
    </w:p>
    <w:p>
      <w:pPr>
        <w:pStyle w:val="12"/>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ab/>
      </w:r>
    </w:p>
    <w:p>
      <w:pPr>
        <w:pStyle w:val="11"/>
        <w:adjustRightInd w:val="0"/>
        <w:snapToGrid w:val="0"/>
        <w:spacing w:before="0" w:line="440" w:lineRule="exact"/>
        <w:jc w:val="left"/>
        <w:rPr>
          <w:rFonts w:hint="eastAsia"/>
          <w:color w:val="auto"/>
          <w:sz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...........................................9</w:t>
      </w:r>
    </w:p>
    <w:p>
      <w:pPr>
        <w:pStyle w:val="11"/>
        <w:adjustRightInd w:val="0"/>
        <w:snapToGrid w:val="0"/>
        <w:spacing w:before="0" w:line="440" w:lineRule="exact"/>
        <w:jc w:val="left"/>
        <w:rPr>
          <w:rFonts w:hint="eastAsia"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t xml:space="preserve">第四部分 </w:t>
      </w:r>
      <w:r>
        <w:rPr>
          <w:rFonts w:hint="eastAsia" w:cs="Times New Roman"/>
          <w:color w:val="auto"/>
          <w:kern w:val="2"/>
          <w:sz w:val="24"/>
          <w:szCs w:val="28"/>
          <w:highlight w:val="none"/>
          <w:lang w:val="en-US" w:eastAsia="zh-CN" w:bidi="ar-SA"/>
        </w:rPr>
        <w:t xml:space="preserve"> </w:t>
      </w:r>
      <w:r>
        <w:rPr>
          <w:rFonts w:hint="eastAsia" w:ascii="仿宋" w:hAnsi="仿宋" w:eastAsia="仿宋" w:cs="Times New Roman"/>
          <w:color w:val="auto"/>
          <w:kern w:val="2"/>
          <w:sz w:val="24"/>
          <w:szCs w:val="28"/>
          <w:highlight w:val="none"/>
          <w:lang w:val="en-US" w:eastAsia="zh-CN" w:bidi="ar-SA"/>
        </w:rPr>
        <w:t>附件1：2022年部门整体支出绩效评价报告</w:t>
      </w:r>
      <w:r>
        <w:rPr>
          <w:rFonts w:hint="eastAsia" w:cs="Times New Roman"/>
          <w:color w:val="auto"/>
          <w:kern w:val="2"/>
          <w:sz w:val="24"/>
          <w:szCs w:val="28"/>
          <w:highlight w:val="none"/>
          <w:lang w:val="en-US" w:eastAsia="zh-CN" w:bidi="ar-SA"/>
        </w:rPr>
        <w:t>............12</w:t>
      </w:r>
    </w:p>
    <w:p>
      <w:pPr>
        <w:pStyle w:val="11"/>
        <w:adjustRightInd w:val="0"/>
        <w:snapToGrid w:val="0"/>
        <w:spacing w:before="0" w:line="440" w:lineRule="exact"/>
        <w:ind w:firstLine="1200" w:firstLineChars="500"/>
        <w:jc w:val="left"/>
        <w:rPr>
          <w:rFonts w:hint="default"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t>附件2部门预算整体绩效自评表</w:t>
      </w:r>
      <w:r>
        <w:rPr>
          <w:rFonts w:hint="eastAsia" w:cs="Times New Roman"/>
          <w:color w:val="auto"/>
          <w:kern w:val="2"/>
          <w:sz w:val="24"/>
          <w:szCs w:val="28"/>
          <w:highlight w:val="none"/>
          <w:lang w:val="en-US" w:eastAsia="zh-CN" w:bidi="ar-SA"/>
        </w:rPr>
        <w:t xml:space="preserve">......................16      </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..............................................18</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pStyle w:val="5"/>
        <w:adjustRightInd w:val="0"/>
        <w:snapToGrid w:val="0"/>
        <w:spacing w:before="93" w:line="600" w:lineRule="exact"/>
        <w:ind w:firstLine="672" w:firstLineChars="210"/>
        <w:outlineLvl w:val="2"/>
        <w:rPr>
          <w:rFonts w:ascii="仿宋_GB2312" w:hAnsi="仿宋_GB2312" w:eastAsia="仿宋_GB2312" w:cs="仿宋_GB2312"/>
          <w:i w:val="0"/>
          <w:iCs w:val="0"/>
          <w:caps w:val="0"/>
          <w:color w:val="333333"/>
          <w:spacing w:val="0"/>
          <w:sz w:val="32"/>
          <w:szCs w:val="32"/>
          <w:shd w:val="clear" w:color="auto" w:fill="FFFFFF"/>
        </w:rPr>
      </w:pPr>
      <w:r>
        <w:rPr>
          <w:rFonts w:ascii="仿宋_GB2312" w:hAnsi="仿宋_GB2312" w:eastAsia="仿宋_GB2312" w:cs="仿宋_GB2312"/>
          <w:i w:val="0"/>
          <w:iCs w:val="0"/>
          <w:caps w:val="0"/>
          <w:color w:val="333333"/>
          <w:spacing w:val="0"/>
          <w:sz w:val="32"/>
          <w:szCs w:val="32"/>
          <w:shd w:val="clear" w:color="auto" w:fill="FFFFFF"/>
        </w:rPr>
        <w:t>推广蚕业技术，促进全区蚕桑生产发展，负责全区的蚕桑生产规划布局、蚕桑生产发展、蚕桑生产技术和技术指导、新桑蚕品种的引进及试验示范推广、蚕茧收购销售、蚕种和蚕药市场管理、蚕业法规宣传。</w:t>
      </w:r>
    </w:p>
    <w:p>
      <w:pPr>
        <w:widowControl w:val="0"/>
        <w:numPr>
          <w:ilvl w:val="0"/>
          <w:numId w:val="0"/>
        </w:numPr>
        <w:jc w:val="both"/>
        <w:rPr>
          <w:rFonts w:hint="eastAsia"/>
          <w:lang w:eastAsia="zh-CN"/>
        </w:rPr>
      </w:pPr>
    </w:p>
    <w:p>
      <w:pPr>
        <w:pStyle w:val="3"/>
        <w:rPr>
          <w:rStyle w:val="29"/>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4"/>
      <w:bookmarkEnd w:id="15"/>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攀枝花市仁和区丝绸公司是攀枝花市仁和区经济信息化和科学技术局归口管理的事业单位，</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2"/>
        <w:ind w:right="440"/>
        <w:jc w:val="center"/>
        <w:rPr>
          <w:rStyle w:val="28"/>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16"/>
      <w:bookmarkEnd w:id="17"/>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收、支总计各增加</w:t>
      </w:r>
      <w:r>
        <w:rPr>
          <w:rFonts w:hint="eastAsia" w:ascii="仿宋" w:hAnsi="仿宋" w:eastAsia="仿宋"/>
          <w:color w:val="auto"/>
          <w:sz w:val="32"/>
          <w:szCs w:val="32"/>
          <w:highlight w:val="none"/>
          <w:lang w:val="en-US" w:eastAsia="zh-CN"/>
        </w:rPr>
        <w:t>35.67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增加了人员经费支出</w:t>
      </w:r>
      <w:r>
        <w:rPr>
          <w:rFonts w:hint="eastAsia" w:ascii="仿宋" w:hAnsi="仿宋" w:eastAsia="仿宋"/>
          <w:color w:val="auto"/>
          <w:sz w:val="32"/>
          <w:szCs w:val="32"/>
          <w:highlight w:val="none"/>
          <w:lang w:eastAsia="zh-CN"/>
        </w:rPr>
        <w:t>。</w:t>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2"/>
      <w:bookmarkEnd w:id="23"/>
    </w:p>
    <w:p>
      <w:pPr>
        <w:spacing w:line="600" w:lineRule="exact"/>
        <w:ind w:firstLine="640" w:firstLineChars="200"/>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firstLineChars="200"/>
        <w:outlineLvl w:val="1"/>
        <w:rPr>
          <w:rStyle w:val="29"/>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增加人员经费支出。</w:t>
      </w:r>
    </w:p>
    <w:p>
      <w:pPr>
        <w:spacing w:line="600" w:lineRule="exact"/>
        <w:ind w:firstLine="640" w:firstLineChars="200"/>
        <w:outlineLvl w:val="1"/>
        <w:rPr>
          <w:rStyle w:val="29"/>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增加人员经费支出。</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13.38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val="zh-CN"/>
        </w:rPr>
        <w:t>农林水支出</w:t>
      </w:r>
      <w:r>
        <w:rPr>
          <w:rFonts w:hint="eastAsia" w:ascii="仿宋_GB2312" w:hAnsi="Times New Roman" w:eastAsia="仿宋_GB2312" w:cs="仿宋_GB2312"/>
          <w:color w:val="000000"/>
          <w:kern w:val="2"/>
          <w:sz w:val="32"/>
          <w:szCs w:val="32"/>
          <w:lang w:val="zh-CN"/>
        </w:rPr>
        <w:t>199.75万元，占80%；</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249.68</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w:t>
      </w:r>
      <w:r>
        <w:rPr>
          <w:rStyle w:val="17"/>
          <w:rFonts w:ascii="仿宋" w:hAnsi="仿宋" w:eastAsia="仿宋"/>
          <w:bCs/>
          <w:color w:val="auto"/>
          <w:sz w:val="32"/>
          <w:szCs w:val="32"/>
          <w:highlight w:val="none"/>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机关事业单位基本养老保险费支出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16.59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13.38</w:t>
      </w:r>
      <w:r>
        <w:rPr>
          <w:rStyle w:val="17"/>
          <w:rFonts w:hint="eastAsia" w:ascii="仿宋" w:hAnsi="仿宋" w:eastAsia="仿宋"/>
          <w:b w:val="0"/>
          <w:bCs/>
          <w:color w:val="000000"/>
          <w:sz w:val="32"/>
          <w:szCs w:val="32"/>
        </w:rPr>
        <w:t>万元，完成调整预算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，决算数等于调整预算数。</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
          <w:bCs w:val="0"/>
          <w:color w:val="000000"/>
          <w:sz w:val="32"/>
          <w:szCs w:val="32"/>
          <w:lang w:val="en-US" w:eastAsia="zh-CN"/>
        </w:rPr>
        <w:t>3.农林水支出（类）农业农村（款）事业运行（项）：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199.75</w:t>
      </w:r>
      <w:r>
        <w:rPr>
          <w:rStyle w:val="17"/>
          <w:rFonts w:hint="eastAsia" w:ascii="仿宋" w:hAnsi="仿宋" w:eastAsia="仿宋"/>
          <w:b w:val="0"/>
          <w:bCs/>
          <w:color w:val="000000"/>
          <w:sz w:val="32"/>
          <w:szCs w:val="32"/>
        </w:rPr>
        <w:t>万元，完成调整预算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，决算数等于调整预算数。</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
          <w:bCs w:val="0"/>
          <w:color w:val="000000"/>
          <w:sz w:val="32"/>
          <w:szCs w:val="32"/>
          <w:lang w:val="en-US" w:eastAsia="zh-CN"/>
        </w:rPr>
        <w:t>4.住房保障支出（类）住房改革支出（款）住房公积金（项）：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19.97</w:t>
      </w:r>
      <w:r>
        <w:rPr>
          <w:rStyle w:val="17"/>
          <w:rFonts w:hint="eastAsia" w:ascii="仿宋" w:hAnsi="仿宋" w:eastAsia="仿宋"/>
          <w:b w:val="0"/>
          <w:bCs/>
          <w:color w:val="000000"/>
          <w:sz w:val="32"/>
          <w:szCs w:val="32"/>
        </w:rPr>
        <w:t>万元，完成调整预算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，决算数等于调整预算数。</w:t>
      </w:r>
    </w:p>
    <w:p>
      <w:pPr>
        <w:tabs>
          <w:tab w:val="right" w:pos="8306"/>
        </w:tabs>
        <w:spacing w:line="600" w:lineRule="exact"/>
        <w:ind w:firstLine="640"/>
        <w:outlineLvl w:val="1"/>
        <w:rPr>
          <w:rStyle w:val="29"/>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4"/>
      <w:bookmarkEnd w:id="35"/>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249.68</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119.25万元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70.54万元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16.59万元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2.7万元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w:t>
      </w:r>
      <w:r>
        <w:rPr>
          <w:rFonts w:hint="eastAsia" w:ascii="仿宋" w:hAnsi="仿宋" w:eastAsia="仿宋"/>
          <w:color w:val="auto"/>
          <w:sz w:val="32"/>
          <w:szCs w:val="32"/>
          <w:highlight w:val="none"/>
        </w:rPr>
        <w:t>医疗</w:t>
      </w:r>
      <w:r>
        <w:rPr>
          <w:rFonts w:hint="eastAsia" w:ascii="仿宋" w:hAnsi="仿宋" w:eastAsia="仿宋"/>
          <w:color w:val="auto"/>
          <w:sz w:val="32"/>
          <w:szCs w:val="32"/>
          <w:highlight w:val="none"/>
          <w:lang w:val="en-US" w:eastAsia="zh-CN"/>
        </w:rPr>
        <w:t>保险缴费13.38万元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19.97万元、医疗费7.27万元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w:t>
      </w:r>
      <w:r>
        <w:rPr>
          <w:rFonts w:hint="eastAsia" w:ascii="仿宋" w:hAnsi="仿宋" w:eastAsia="仿宋"/>
          <w:color w:val="auto"/>
          <w:sz w:val="32"/>
          <w:szCs w:val="32"/>
          <w:highlight w:val="none"/>
          <w:lang w:eastAsia="zh-CN"/>
        </w:rPr>
        <w:t>。</w:t>
      </w:r>
      <w:bookmarkStart w:id="67" w:name="_GoBack"/>
      <w:bookmarkEnd w:id="67"/>
    </w:p>
    <w:p>
      <w:pPr>
        <w:spacing w:line="600" w:lineRule="exact"/>
        <w:ind w:firstLine="640"/>
        <w:outlineLvl w:val="1"/>
        <w:rPr>
          <w:rStyle w:val="29"/>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/减少0万元，增长/下降0%。</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77218"/>
      <w:bookmarkStart w:id="41" w:name="_Toc15396610"/>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ascii="黑体" w:hAnsi="黑体" w:eastAsia="黑体"/>
          <w:b w:val="0"/>
          <w:color w:val="auto"/>
          <w:highlight w:val="none"/>
        </w:rPr>
      </w:pPr>
      <w:bookmarkStart w:id="42" w:name="_Toc15377219"/>
      <w:bookmarkStart w:id="43" w:name="_Toc15396611"/>
      <w:r>
        <w:rPr>
          <w:rStyle w:val="29"/>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hint="eastAsia" w:ascii="黑体" w:hAnsi="黑体" w:eastAsia="黑体"/>
          <w:b w:val="0"/>
          <w:color w:val="auto"/>
          <w:highlight w:val="none"/>
        </w:rPr>
      </w:pPr>
      <w:bookmarkStart w:id="44" w:name="_Toc15396612"/>
      <w:bookmarkStart w:id="45" w:name="_Toc15377221"/>
      <w:r>
        <w:rPr>
          <w:rStyle w:val="29"/>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仁和区丝绸公司</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仁和区丝绸公司</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仁和区丝绸公司</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 w:hAnsi="仿宋" w:eastAsia="仿宋" w:cs="仿宋_GB2312"/>
          <w:sz w:val="32"/>
          <w:szCs w:val="32"/>
        </w:rPr>
      </w:pPr>
      <w:bookmarkStart w:id="49" w:name="_Toc15377225"/>
      <w:bookmarkStart w:id="50" w:name="_Toc15396613"/>
      <w:r>
        <w:rPr>
          <w:rFonts w:hint="eastAsia" w:ascii="仿宋" w:hAnsi="仿宋" w:eastAsia="仿宋" w:cs="仿宋_GB2312"/>
          <w:sz w:val="32"/>
          <w:szCs w:val="32"/>
        </w:rPr>
        <w:t>1.本单位无专项预算项目，因此未组织开展项目支出绩效评价。</w:t>
      </w:r>
    </w:p>
    <w:p>
      <w:pPr>
        <w:spacing w:line="580" w:lineRule="exact"/>
        <w:ind w:left="630"/>
        <w:rPr>
          <w:rFonts w:hint="eastAsia" w:ascii="仿宋" w:hAnsi="仿宋" w:eastAsia="仿宋" w:cs="仿宋_GB2312"/>
          <w:sz w:val="32"/>
          <w:szCs w:val="32"/>
        </w:rPr>
      </w:pPr>
      <w:r>
        <w:rPr>
          <w:rFonts w:hint="eastAsia" w:ascii="仿宋" w:hAnsi="仿宋" w:eastAsia="仿宋" w:cs="楷体_GB2312"/>
          <w:sz w:val="32"/>
          <w:szCs w:val="32"/>
        </w:rPr>
        <w:t>2.部门绩效评价结果。</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本单位按要求对</w:t>
      </w:r>
      <w:r>
        <w:rPr>
          <w:rFonts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年部门整体支出绩效评价情况开展自评，《仁和区丝绸公司</w:t>
      </w:r>
      <w:r>
        <w:rPr>
          <w:rFonts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年部门整体支出绩效评价报告》见附件（</w:t>
      </w:r>
      <w:r>
        <w:rPr>
          <w:rFonts w:hint="eastAsia" w:ascii="仿宋" w:hAnsi="仿宋" w:eastAsia="仿宋" w:cs="仿宋_GB2312"/>
          <w:sz w:val="32"/>
          <w:szCs w:val="32"/>
          <w:lang w:eastAsia="zh-CN"/>
        </w:rPr>
        <w:t>第四部分</w:t>
      </w:r>
      <w:r>
        <w:rPr>
          <w:rFonts w:hint="eastAsia" w:ascii="仿宋" w:hAnsi="仿宋" w:eastAsia="仿宋" w:cs="仿宋_GB2312"/>
          <w:sz w:val="32"/>
          <w:szCs w:val="32"/>
        </w:rPr>
        <w:t>）。</w:t>
      </w:r>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6"/>
        <w:spacing w:line="560" w:lineRule="exact"/>
        <w:ind w:firstLine="640" w:firstLineChars="200"/>
        <w:rPr>
          <w:rFonts w:ascii="仿宋_GB2312" w:hAnsi="Times New Roman" w:eastAsia="仿宋_GB2312"/>
          <w:sz w:val="32"/>
          <w:szCs w:val="32"/>
        </w:rPr>
      </w:pPr>
      <w:r>
        <w:rPr>
          <w:rStyle w:val="17"/>
          <w:rFonts w:hint="eastAsia" w:hAnsi="仿宋"/>
          <w:b w:val="0"/>
          <w:bCs w:val="0"/>
          <w:color w:val="000000"/>
          <w:sz w:val="32"/>
          <w:szCs w:val="32"/>
          <w:lang w:val="en-US" w:eastAsia="zh-CN"/>
        </w:rPr>
        <w:t>9</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rPr>
        <w:t>社会保障和就业</w:t>
      </w:r>
      <w:r>
        <w:rPr>
          <w:rStyle w:val="17"/>
          <w:rFonts w:hint="eastAsia" w:ascii="仿宋" w:hAnsi="仿宋" w:eastAsia="仿宋"/>
          <w:b w:val="0"/>
          <w:bCs w:val="0"/>
          <w:color w:val="000000"/>
          <w:sz w:val="32"/>
          <w:szCs w:val="32"/>
          <w:lang w:eastAsia="zh-CN"/>
        </w:rPr>
        <w:t>支出</w:t>
      </w:r>
      <w:r>
        <w:rPr>
          <w:rStyle w:val="17"/>
          <w:rFonts w:hint="eastAsia" w:ascii="仿宋" w:hAnsi="仿宋" w:eastAsia="仿宋"/>
          <w:b w:val="0"/>
          <w:bCs w:val="0"/>
          <w:color w:val="000000"/>
          <w:sz w:val="32"/>
          <w:szCs w:val="32"/>
        </w:rPr>
        <w:t>（类）</w:t>
      </w:r>
      <w:r>
        <w:rPr>
          <w:rStyle w:val="17"/>
          <w:rFonts w:hint="eastAsia" w:ascii="仿宋" w:hAnsi="仿宋" w:eastAsia="仿宋"/>
          <w:b w:val="0"/>
          <w:bCs w:val="0"/>
          <w:color w:val="000000"/>
          <w:sz w:val="32"/>
          <w:szCs w:val="32"/>
          <w:lang w:eastAsia="zh-CN"/>
        </w:rPr>
        <w:t>行政事业单位养老支出</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机关事业单位基本养老保险费支出</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Fonts w:ascii="仿宋_GB2312" w:hAnsi="Times New Roman" w:eastAsia="仿宋_GB2312"/>
          <w:sz w:val="32"/>
          <w:szCs w:val="32"/>
        </w:rPr>
        <w:t>指机关事业单位实施养老保险制度由单位缴纳的基本养老保险费支出。</w:t>
      </w:r>
    </w:p>
    <w:p>
      <w:pPr>
        <w:pStyle w:val="26"/>
        <w:spacing w:line="560" w:lineRule="exact"/>
        <w:ind w:firstLine="640" w:firstLineChars="200"/>
        <w:rPr>
          <w:rFonts w:ascii="仿宋_GB2312" w:hAnsi="Times New Roman" w:eastAsia="仿宋_GB2312"/>
          <w:sz w:val="32"/>
          <w:szCs w:val="32"/>
        </w:rPr>
      </w:pPr>
      <w:r>
        <w:rPr>
          <w:rStyle w:val="17"/>
          <w:rFonts w:hint="eastAsia" w:ascii="仿宋" w:hAnsi="仿宋" w:eastAsia="仿宋"/>
          <w:b w:val="0"/>
          <w:bCs w:val="0"/>
          <w:color w:val="000000"/>
          <w:sz w:val="32"/>
          <w:szCs w:val="32"/>
          <w:lang w:val="en-US" w:eastAsia="zh-CN"/>
        </w:rPr>
        <w:t>1</w:t>
      </w:r>
      <w:r>
        <w:rPr>
          <w:rStyle w:val="17"/>
          <w:rFonts w:hint="eastAsia" w:hAnsi="仿宋"/>
          <w:b w:val="0"/>
          <w:bCs w:val="0"/>
          <w:color w:val="000000"/>
          <w:sz w:val="32"/>
          <w:szCs w:val="32"/>
          <w:lang w:val="en-US" w:eastAsia="zh-CN"/>
        </w:rPr>
        <w:t>0</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卫生健康</w:t>
      </w:r>
      <w:r>
        <w:rPr>
          <w:rFonts w:hint="eastAsia" w:ascii="仿宋" w:hAnsi="仿宋" w:eastAsia="仿宋"/>
          <w:b w:val="0"/>
          <w:bCs w:val="0"/>
          <w:color w:val="000000"/>
          <w:sz w:val="32"/>
          <w:szCs w:val="32"/>
          <w:lang w:eastAsia="zh-CN"/>
        </w:rPr>
        <w:t>支出</w:t>
      </w:r>
      <w:r>
        <w:rPr>
          <w:rStyle w:val="17"/>
          <w:rFonts w:hint="eastAsia" w:ascii="仿宋" w:hAnsi="仿宋" w:eastAsia="仿宋"/>
          <w:b w:val="0"/>
          <w:bCs w:val="0"/>
          <w:color w:val="000000"/>
          <w:sz w:val="32"/>
          <w:szCs w:val="32"/>
        </w:rPr>
        <w:t>（类）</w:t>
      </w:r>
      <w:r>
        <w:rPr>
          <w:rStyle w:val="17"/>
          <w:rFonts w:hint="eastAsia" w:ascii="仿宋" w:hAnsi="仿宋" w:eastAsia="仿宋"/>
          <w:b w:val="0"/>
          <w:bCs w:val="0"/>
          <w:color w:val="000000"/>
          <w:sz w:val="32"/>
          <w:szCs w:val="32"/>
          <w:lang w:eastAsia="zh-CN"/>
        </w:rPr>
        <w:t>行政事业单位医疗</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事业单位医疗</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Fonts w:ascii="仿宋_GB2312" w:hAnsi="Times New Roman" w:eastAsia="仿宋_GB2312"/>
          <w:sz w:val="32"/>
          <w:szCs w:val="32"/>
        </w:rPr>
        <w:t>指财政部门安排的事业单位基本医疗保险 缴费经费，未参加养老保险的事业单位的公费医疗经费，按 国家规定享受离休人员的医疗经费。</w:t>
      </w:r>
    </w:p>
    <w:p>
      <w:pPr>
        <w:pStyle w:val="26"/>
        <w:spacing w:line="560" w:lineRule="exact"/>
        <w:ind w:firstLine="640" w:firstLineChars="200"/>
        <w:rPr>
          <w:rStyle w:val="17"/>
          <w:rFonts w:hint="default" w:ascii="仿宋" w:hAnsi="仿宋" w:eastAsia="仿宋"/>
          <w:b w:val="0"/>
          <w:bCs w:val="0"/>
          <w:color w:val="000000"/>
          <w:sz w:val="32"/>
          <w:szCs w:val="32"/>
          <w:lang w:val="en-US" w:eastAsia="zh-CN"/>
        </w:rPr>
      </w:pPr>
      <w:r>
        <w:rPr>
          <w:rStyle w:val="17"/>
          <w:rFonts w:hint="eastAsia" w:ascii="仿宋" w:hAnsi="仿宋" w:eastAsia="仿宋"/>
          <w:b w:val="0"/>
          <w:bCs w:val="0"/>
          <w:color w:val="000000"/>
          <w:sz w:val="32"/>
          <w:szCs w:val="32"/>
          <w:lang w:val="en-US" w:eastAsia="zh-CN"/>
        </w:rPr>
        <w:t>1</w:t>
      </w:r>
      <w:r>
        <w:rPr>
          <w:rStyle w:val="17"/>
          <w:rFonts w:hint="eastAsia" w:hAnsi="仿宋"/>
          <w:b w:val="0"/>
          <w:bCs w:val="0"/>
          <w:color w:val="000000"/>
          <w:sz w:val="32"/>
          <w:szCs w:val="32"/>
          <w:lang w:val="en-US" w:eastAsia="zh-CN"/>
        </w:rPr>
        <w:t>1</w:t>
      </w:r>
      <w:r>
        <w:rPr>
          <w:rStyle w:val="17"/>
          <w:rFonts w:hint="eastAsia" w:ascii="仿宋" w:hAnsi="仿宋" w:eastAsia="仿宋"/>
          <w:b w:val="0"/>
          <w:bCs w:val="0"/>
          <w:color w:val="000000"/>
          <w:sz w:val="32"/>
          <w:szCs w:val="32"/>
          <w:lang w:val="en-US" w:eastAsia="zh-CN"/>
        </w:rPr>
        <w:t>.农林水支出（类）农业农村（款）事业运行（项）</w:t>
      </w:r>
      <w:r>
        <w:rPr>
          <w:rStyle w:val="17"/>
          <w:rFonts w:hint="eastAsia" w:hAnsi="仿宋"/>
          <w:b w:val="0"/>
          <w:bCs w:val="0"/>
          <w:color w:val="000000"/>
          <w:sz w:val="32"/>
          <w:szCs w:val="32"/>
          <w:lang w:val="en-US" w:eastAsia="zh-CN"/>
        </w:rPr>
        <w:t>：指用于农业事业单位基本支出，事业单位设施、系统运行与资产维护等方面的支出。</w:t>
      </w:r>
    </w:p>
    <w:p>
      <w:pPr>
        <w:pStyle w:val="26"/>
        <w:spacing w:line="560" w:lineRule="exact"/>
        <w:ind w:firstLine="640" w:firstLineChars="200"/>
        <w:rPr>
          <w:rFonts w:ascii="仿宋_GB2312" w:hAnsi="Times New Roman" w:eastAsia="仿宋_GB2312"/>
          <w:sz w:val="32"/>
          <w:szCs w:val="32"/>
        </w:rPr>
      </w:pPr>
      <w:r>
        <w:rPr>
          <w:rStyle w:val="17"/>
          <w:rFonts w:hint="eastAsia" w:ascii="仿宋" w:hAnsi="仿宋" w:eastAsia="仿宋"/>
          <w:b w:val="0"/>
          <w:bCs w:val="0"/>
          <w:color w:val="000000"/>
          <w:sz w:val="32"/>
          <w:szCs w:val="32"/>
          <w:lang w:val="en-US" w:eastAsia="zh-CN"/>
        </w:rPr>
        <w:t>1</w:t>
      </w:r>
      <w:r>
        <w:rPr>
          <w:rStyle w:val="17"/>
          <w:rFonts w:hint="eastAsia" w:hAnsi="仿宋"/>
          <w:b w:val="0"/>
          <w:bCs w:val="0"/>
          <w:color w:val="000000"/>
          <w:sz w:val="32"/>
          <w:szCs w:val="32"/>
          <w:lang w:val="en-US" w:eastAsia="zh-CN"/>
        </w:rPr>
        <w:t>2</w:t>
      </w:r>
      <w:r>
        <w:rPr>
          <w:rStyle w:val="17"/>
          <w:rFonts w:hint="eastAsia" w:ascii="仿宋" w:hAnsi="仿宋" w:eastAsia="仿宋"/>
          <w:b w:val="0"/>
          <w:bCs w:val="0"/>
          <w:color w:val="000000"/>
          <w:sz w:val="32"/>
          <w:szCs w:val="32"/>
          <w:lang w:val="en-US" w:eastAsia="zh-CN"/>
        </w:rPr>
        <w:t>.住房保障支出（类）住房改革支出（款）住房公积金（项）：</w:t>
      </w:r>
      <w:r>
        <w:rPr>
          <w:rFonts w:ascii="仿宋_GB2312" w:hAnsi="Times New Roman" w:eastAsia="仿宋_GB2312"/>
          <w:sz w:val="32"/>
          <w:szCs w:val="32"/>
        </w:rPr>
        <w:t xml:space="preserve">指用于行政事业单位按人力资源和社会保障部、财政部规定的基本工资和津贴补贴以及规定比例为职工缴纳的住房公积金。 </w:t>
      </w:r>
    </w:p>
    <w:p>
      <w:pPr>
        <w:pStyle w:val="26"/>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880"/>
        <w:jc w:val="center"/>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44"/>
          <w:szCs w:val="44"/>
          <w:shd w:val="clear" w:fill="FFFFFF"/>
        </w:rPr>
        <w:t>攀枝花市仁和区丝绸公司</w:t>
      </w:r>
      <w:r>
        <w:rPr>
          <w:rFonts w:hint="eastAsia" w:ascii="黑体" w:hAnsi="宋体" w:eastAsia="黑体" w:cs="黑体"/>
          <w:i w:val="0"/>
          <w:iCs w:val="0"/>
          <w:caps w:val="0"/>
          <w:color w:val="333333"/>
          <w:spacing w:val="0"/>
          <w:sz w:val="44"/>
          <w:szCs w:val="44"/>
          <w:shd w:val="clear" w:fill="FFFFFF"/>
        </w:rPr>
        <w:t>2022年部门整体支出绩效评价报告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7"/>
          <w:rFonts w:ascii="仿宋_GB2312" w:hAnsi="仿宋_GB2312" w:eastAsia="仿宋_GB2312" w:cs="仿宋_GB2312"/>
          <w:i w:val="0"/>
          <w:iCs w:val="0"/>
          <w:caps w:val="0"/>
          <w:color w:val="333333"/>
          <w:spacing w:val="0"/>
          <w:sz w:val="32"/>
          <w:szCs w:val="32"/>
          <w:shd w:val="clear" w:fill="FFFFFF"/>
        </w:rPr>
        <w:t>一、部门（单位）概况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（一）机构组成。</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丝绸公司是仁和区经济信息化和科学技术局归口管理的事业单位。内设两股两站一室。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（二）机构职能。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负责全区的蚕桑生产规划布局、蚕桑生产发展、蚕桑生产技术服务和技术指导、新桑蚕品种的引进及试验示范推广、蚕桑收购销售、蚕种和蚕药市场管理。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（三）人员概况。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丝绸公司现共有职工17人，在岗职工人数为16人，停薪留职1人。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7"/>
          <w:rFonts w:hint="default" w:ascii="仿宋_GB2312" w:hAnsi="仿宋_GB2312" w:eastAsia="仿宋_GB2312" w:cs="仿宋_GB2312"/>
          <w:i w:val="0"/>
          <w:iCs w:val="0"/>
          <w:caps w:val="0"/>
          <w:color w:val="333333"/>
          <w:spacing w:val="0"/>
          <w:sz w:val="32"/>
          <w:szCs w:val="32"/>
          <w:shd w:val="clear" w:fill="FFFFFF"/>
        </w:rPr>
        <w:t>二、部门财政资金收支情况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（一）部门财政资金收入情况。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1.2022年，丝绸公司决算收入（财政拨款收入）总计为249.68万元，其中：一般公共预算财政拨款收入249.68万元。用于保障仁和区丝绸公司正常运转的日常支出，包括基本工资、养老保险、医保、失业保险、工伤保险、住房公积金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2.部门预算项目安排及支出情况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96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2022年丝绸公司无项目资金预算。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（二）部门财政资金支出情况。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2022年决算支出（财政拨款支出）实际基本支出为249.68万元。其中：人员经费249.68万元，（包括基本工资、社会保障就业、住房公积金、办公费、水电费等）。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7"/>
          <w:rFonts w:hint="default" w:ascii="仿宋_GB2312" w:hAnsi="仿宋_GB2312" w:eastAsia="仿宋_GB2312" w:cs="仿宋_GB2312"/>
          <w:i w:val="0"/>
          <w:iCs w:val="0"/>
          <w:caps w:val="0"/>
          <w:color w:val="333333"/>
          <w:spacing w:val="0"/>
          <w:sz w:val="32"/>
          <w:szCs w:val="32"/>
          <w:shd w:val="clear" w:fill="FFFFFF"/>
        </w:rPr>
        <w:t>三、部门整体预算绩效管理情况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（一）部门预算项目绩效管理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2022年区级预算财政资金年初预算数共计250.76万元，追加预算资金19,7万元。2022年实际使用资金249.68万元。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（1）产出指标完成情况分析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数量指标：年初预算财政供养人数16人，实际完成16人，完成了年初预算的100%。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质量指标：人员经费保障率100%。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时效指标：2022年1月-2022年12月，完成率100%。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成本指标：基本经费249.68元，完成了预算数的99.56%。</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（2）效益指标完成情况分析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社会效益：通过基本经费的支出和项目的实施，确保资金使用效率，保障本单位各项工作进展顺利，完成率100%。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（3）满意度指标完成情况分析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服务对象满意度达95%以上，完成率100%。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2.区级专项（项目）资金绩效目标完成情况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 2022年丝绸公司无项目资金预算。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（二）结果应用情况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通过自评工作的开展，将评价结果作为改进预算管理和财务管理以及以后年度预算安排的重要依据，对自评中发现的问题及时督促项目实施股室进行整改，加强预算财务管理，完善管理制度，提高管理水平，增加财政资金使用的经济效益和社会效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（三）自评质量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仁和区丝绸公司部门整体绩效，总体评价良好。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（四）其他情况说明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为真实、准确反应单位年度财务收、支情况，根据区财政的要求，认真开展部门年度决算报表编制工作。报表编制无差错，全面、真实、准确地反映了财政资金的使用情况。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7"/>
          <w:rFonts w:hint="default" w:ascii="仿宋_GB2312" w:hAnsi="仿宋_GB2312" w:eastAsia="仿宋_GB2312" w:cs="仿宋_GB2312"/>
          <w:i w:val="0"/>
          <w:iCs w:val="0"/>
          <w:caps w:val="0"/>
          <w:color w:val="333333"/>
          <w:spacing w:val="0"/>
          <w:sz w:val="32"/>
          <w:szCs w:val="32"/>
          <w:shd w:val="clear" w:fill="FFFFFF"/>
        </w:rPr>
        <w:t>四、评价结论及建议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（一）评价结论。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2022年，通过加强绩效预算管理，结合项目自身特点、评价重点及管理办法等要求，围绕项目决策、项目管理、项目绩效三个方面对项目进行总体评价，使财政资金得到有效使用，行政效率得到提高，完成了2022年全年工作计划。社会评价良好，群众满意度较高，项目实施成效较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（二）存在问题。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由于财政资金紧张原因，存在部门预算执行进度不均衡现象。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shd w:val="clear" w:fill="FFFFFF"/>
        </w:rPr>
        <w:t>（三）改进建议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default" w:ascii="仿宋_GB2312" w:hAnsi="仿宋_GB2312" w:eastAsia="仿宋_GB2312" w:cs="仿宋_GB2312"/>
          <w:i w:val="0"/>
          <w:iCs w:val="0"/>
          <w:caps w:val="0"/>
          <w:color w:val="333333"/>
          <w:spacing w:val="0"/>
          <w:sz w:val="32"/>
          <w:szCs w:val="32"/>
          <w:shd w:val="clear" w:fill="FFFFFF"/>
        </w:rPr>
      </w:pPr>
      <w:r>
        <w:rPr>
          <w:rFonts w:hint="default" w:ascii="仿宋_GB2312" w:hAnsi="仿宋_GB2312" w:eastAsia="仿宋_GB2312" w:cs="仿宋_GB2312"/>
          <w:i w:val="0"/>
          <w:iCs w:val="0"/>
          <w:caps w:val="0"/>
          <w:color w:val="333333"/>
          <w:spacing w:val="0"/>
          <w:sz w:val="32"/>
          <w:szCs w:val="32"/>
          <w:shd w:val="clear" w:fill="FFFFFF"/>
        </w:rPr>
        <w:t>预算资金使用计划性有待加强，用款计划管理还需进一步完善，更科学合理编制资金支付计划，提高资金使用效益。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附件2：</w:t>
      </w:r>
      <w:r>
        <w:rPr>
          <w:rFonts w:hint="eastAsia" w:ascii="宋体" w:hAnsi="宋体"/>
          <w:b/>
          <w:bCs/>
          <w:color w:val="000000"/>
          <w:kern w:val="0"/>
          <w:sz w:val="32"/>
          <w:szCs w:val="32"/>
        </w:rPr>
        <w:t>部门预算整体绩效自评表</w:t>
      </w:r>
    </w:p>
    <w:tbl>
      <w:tblPr>
        <w:tblStyle w:val="15"/>
        <w:tblW w:w="10773" w:type="dxa"/>
        <w:jc w:val="center"/>
        <w:tblLayout w:type="autofit"/>
        <w:tblCellMar>
          <w:top w:w="0" w:type="dxa"/>
          <w:left w:w="108" w:type="dxa"/>
          <w:bottom w:w="0" w:type="dxa"/>
          <w:right w:w="108" w:type="dxa"/>
        </w:tblCellMar>
      </w:tblPr>
      <w:tblGrid>
        <w:gridCol w:w="1345"/>
        <w:gridCol w:w="630"/>
        <w:gridCol w:w="696"/>
        <w:gridCol w:w="2717"/>
        <w:gridCol w:w="1538"/>
        <w:gridCol w:w="1391"/>
        <w:gridCol w:w="1551"/>
        <w:gridCol w:w="905"/>
      </w:tblGrid>
      <w:tr>
        <w:tblPrEx>
          <w:tblCellMar>
            <w:top w:w="0" w:type="dxa"/>
            <w:left w:w="108" w:type="dxa"/>
            <w:bottom w:w="0" w:type="dxa"/>
            <w:right w:w="108" w:type="dxa"/>
          </w:tblCellMar>
        </w:tblPrEx>
        <w:trPr>
          <w:trHeight w:val="675" w:hRule="atLeast"/>
          <w:jc w:val="center"/>
        </w:trPr>
        <w:tc>
          <w:tcPr>
            <w:tcW w:w="10773" w:type="dxa"/>
            <w:gridSpan w:val="8"/>
            <w:tcBorders>
              <w:top w:val="nil"/>
              <w:left w:val="nil"/>
              <w:bottom w:val="nil"/>
              <w:right w:val="nil"/>
            </w:tcBorders>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2580" w:firstLineChars="803"/>
              <w:jc w:val="left"/>
              <w:rPr>
                <w:rFonts w:ascii="宋体" w:hAnsi="宋体"/>
                <w:b/>
                <w:bCs/>
                <w:color w:val="000000"/>
                <w:sz w:val="32"/>
                <w:szCs w:val="32"/>
              </w:rPr>
            </w:pPr>
            <w:bookmarkStart w:id="53" w:name="_Toc15396618"/>
            <w:r>
              <w:rPr>
                <w:rFonts w:hint="eastAsia" w:ascii="宋体" w:hAnsi="宋体"/>
                <w:b/>
                <w:bCs/>
                <w:color w:val="000000"/>
                <w:kern w:val="0"/>
                <w:sz w:val="32"/>
                <w:szCs w:val="32"/>
              </w:rPr>
              <w:t>部门预算整体绩效自评表</w:t>
            </w:r>
          </w:p>
        </w:tc>
      </w:tr>
      <w:tr>
        <w:tblPrEx>
          <w:tblCellMar>
            <w:top w:w="0" w:type="dxa"/>
            <w:left w:w="108" w:type="dxa"/>
            <w:bottom w:w="0" w:type="dxa"/>
            <w:right w:w="108" w:type="dxa"/>
          </w:tblCellMar>
        </w:tblPrEx>
        <w:trPr>
          <w:trHeight w:val="285" w:hRule="atLeast"/>
          <w:jc w:val="center"/>
        </w:trPr>
        <w:tc>
          <w:tcPr>
            <w:tcW w:w="10773" w:type="dxa"/>
            <w:gridSpan w:val="8"/>
            <w:tcBorders>
              <w:top w:val="nil"/>
              <w:left w:val="nil"/>
              <w:bottom w:val="nil"/>
              <w:right w:val="nil"/>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w:t>
            </w:r>
            <w:r>
              <w:rPr>
                <w:rStyle w:val="35"/>
              </w:rPr>
              <w:t>202</w:t>
            </w:r>
            <w:r>
              <w:rPr>
                <w:rStyle w:val="35"/>
                <w:rFonts w:hint="eastAsia"/>
                <w:lang w:val="en-US" w:eastAsia="zh-CN"/>
              </w:rPr>
              <w:t>2</w:t>
            </w:r>
            <w:r>
              <w:rPr>
                <w:rStyle w:val="36"/>
                <w:rFonts w:hint="default"/>
              </w:rPr>
              <w:t>年度）</w:t>
            </w:r>
          </w:p>
        </w:tc>
      </w:tr>
      <w:tr>
        <w:tblPrEx>
          <w:tblCellMar>
            <w:top w:w="0" w:type="dxa"/>
            <w:left w:w="108" w:type="dxa"/>
            <w:bottom w:w="0" w:type="dxa"/>
            <w:right w:w="108" w:type="dxa"/>
          </w:tblCellMar>
        </w:tblPrEx>
        <w:trPr>
          <w:trHeight w:val="435" w:hRule="atLeast"/>
          <w:jc w:val="center"/>
        </w:trPr>
        <w:tc>
          <w:tcPr>
            <w:tcW w:w="1345" w:type="dxa"/>
            <w:tcBorders>
              <w:top w:val="nil"/>
              <w:left w:val="nil"/>
              <w:bottom w:val="single" w:color="000000" w:sz="4" w:space="0"/>
              <w:right w:val="nil"/>
            </w:tcBorders>
            <w:noWrap/>
            <w:vAlign w:val="center"/>
          </w:tcPr>
          <w:p>
            <w:pPr>
              <w:rPr>
                <w:rFonts w:ascii="宋体" w:hAnsi="宋体"/>
                <w:color w:val="000000"/>
                <w:sz w:val="24"/>
                <w:szCs w:val="24"/>
              </w:rPr>
            </w:pPr>
          </w:p>
        </w:tc>
        <w:tc>
          <w:tcPr>
            <w:tcW w:w="630" w:type="dxa"/>
            <w:tcBorders>
              <w:top w:val="nil"/>
              <w:left w:val="nil"/>
              <w:bottom w:val="single" w:color="000000" w:sz="4" w:space="0"/>
              <w:right w:val="nil"/>
            </w:tcBorders>
            <w:vAlign w:val="center"/>
          </w:tcPr>
          <w:p>
            <w:pPr>
              <w:rPr>
                <w:rFonts w:ascii="宋体" w:hAnsi="宋体"/>
                <w:color w:val="000000"/>
                <w:sz w:val="24"/>
                <w:szCs w:val="24"/>
              </w:rPr>
            </w:pPr>
          </w:p>
        </w:tc>
        <w:tc>
          <w:tcPr>
            <w:tcW w:w="696" w:type="dxa"/>
            <w:tcBorders>
              <w:top w:val="nil"/>
              <w:left w:val="nil"/>
              <w:bottom w:val="nil"/>
              <w:right w:val="nil"/>
            </w:tcBorders>
            <w:vAlign w:val="center"/>
          </w:tcPr>
          <w:p>
            <w:pPr>
              <w:rPr>
                <w:rFonts w:ascii="宋体" w:hAnsi="宋体"/>
                <w:color w:val="000000"/>
                <w:sz w:val="24"/>
                <w:szCs w:val="24"/>
              </w:rPr>
            </w:pPr>
          </w:p>
        </w:tc>
        <w:tc>
          <w:tcPr>
            <w:tcW w:w="2717" w:type="dxa"/>
            <w:tcBorders>
              <w:top w:val="nil"/>
              <w:left w:val="nil"/>
              <w:bottom w:val="nil"/>
              <w:right w:val="nil"/>
            </w:tcBorders>
            <w:vAlign w:val="center"/>
          </w:tcPr>
          <w:p>
            <w:pPr>
              <w:rPr>
                <w:rFonts w:ascii="宋体" w:hAnsi="宋体"/>
                <w:color w:val="000000"/>
                <w:sz w:val="24"/>
                <w:szCs w:val="24"/>
              </w:rPr>
            </w:pPr>
          </w:p>
        </w:tc>
        <w:tc>
          <w:tcPr>
            <w:tcW w:w="1538" w:type="dxa"/>
            <w:tcBorders>
              <w:top w:val="nil"/>
              <w:left w:val="nil"/>
              <w:bottom w:val="nil"/>
              <w:right w:val="nil"/>
            </w:tcBorders>
            <w:vAlign w:val="center"/>
          </w:tcPr>
          <w:p>
            <w:pPr>
              <w:rPr>
                <w:rFonts w:ascii="宋体" w:hAnsi="宋体"/>
                <w:color w:val="000000"/>
                <w:sz w:val="24"/>
                <w:szCs w:val="24"/>
              </w:rPr>
            </w:pPr>
          </w:p>
        </w:tc>
        <w:tc>
          <w:tcPr>
            <w:tcW w:w="1391" w:type="dxa"/>
            <w:tcBorders>
              <w:top w:val="nil"/>
              <w:left w:val="nil"/>
              <w:bottom w:val="nil"/>
              <w:right w:val="nil"/>
            </w:tcBorders>
            <w:vAlign w:val="center"/>
          </w:tcPr>
          <w:p>
            <w:pPr>
              <w:rPr>
                <w:rFonts w:ascii="宋体" w:hAnsi="宋体"/>
                <w:color w:val="000000"/>
                <w:sz w:val="24"/>
                <w:szCs w:val="24"/>
              </w:rPr>
            </w:pPr>
          </w:p>
        </w:tc>
        <w:tc>
          <w:tcPr>
            <w:tcW w:w="1551" w:type="dxa"/>
            <w:tcBorders>
              <w:top w:val="nil"/>
              <w:left w:val="nil"/>
              <w:bottom w:val="nil"/>
              <w:right w:val="nil"/>
            </w:tcBorders>
            <w:vAlign w:val="center"/>
          </w:tcPr>
          <w:p>
            <w:pPr>
              <w:rPr>
                <w:rFonts w:ascii="宋体" w:hAnsi="宋体"/>
                <w:color w:val="000000"/>
                <w:sz w:val="24"/>
                <w:szCs w:val="24"/>
              </w:rPr>
            </w:pPr>
          </w:p>
        </w:tc>
        <w:tc>
          <w:tcPr>
            <w:tcW w:w="905" w:type="dxa"/>
            <w:tcBorders>
              <w:top w:val="nil"/>
              <w:left w:val="nil"/>
              <w:bottom w:val="nil"/>
              <w:right w:val="nil"/>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9" w:hRule="atLeast"/>
          <w:jc w:val="center"/>
        </w:trPr>
        <w:tc>
          <w:tcPr>
            <w:tcW w:w="26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单位名称</w:t>
            </w:r>
          </w:p>
        </w:tc>
        <w:tc>
          <w:tcPr>
            <w:tcW w:w="8102" w:type="dxa"/>
            <w:gridSpan w:val="5"/>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攀枝花市仁和区丝绸公司</w:t>
            </w:r>
          </w:p>
        </w:tc>
      </w:tr>
      <w:tr>
        <w:tblPrEx>
          <w:tblCellMar>
            <w:top w:w="0" w:type="dxa"/>
            <w:left w:w="108" w:type="dxa"/>
            <w:bottom w:w="0" w:type="dxa"/>
            <w:right w:w="108" w:type="dxa"/>
          </w:tblCellMar>
        </w:tblPrEx>
        <w:trPr>
          <w:trHeight w:val="439" w:hRule="atLeast"/>
          <w:jc w:val="center"/>
        </w:trPr>
        <w:tc>
          <w:tcPr>
            <w:tcW w:w="26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主管部门名称</w:t>
            </w:r>
          </w:p>
        </w:tc>
        <w:tc>
          <w:tcPr>
            <w:tcW w:w="8102"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439" w:hRule="atLeast"/>
          <w:jc w:val="center"/>
        </w:trPr>
        <w:tc>
          <w:tcPr>
            <w:tcW w:w="2671" w:type="dxa"/>
            <w:gridSpan w:val="3"/>
            <w:vMerge w:val="restart"/>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olor w:val="000000"/>
                <w:kern w:val="0"/>
                <w:sz w:val="24"/>
                <w:szCs w:val="24"/>
              </w:rPr>
            </w:pPr>
            <w:r>
              <w:rPr>
                <w:rFonts w:hint="eastAsia" w:ascii="宋体" w:hAnsi="宋体"/>
                <w:color w:val="000000"/>
                <w:kern w:val="0"/>
                <w:sz w:val="24"/>
                <w:szCs w:val="24"/>
              </w:rPr>
              <w:t>资金</w:t>
            </w:r>
          </w:p>
          <w:p>
            <w:pPr>
              <w:widowControl/>
              <w:textAlignment w:val="center"/>
              <w:rPr>
                <w:rFonts w:ascii="宋体" w:hAnsi="宋体"/>
                <w:color w:val="000000"/>
                <w:sz w:val="24"/>
                <w:szCs w:val="24"/>
              </w:rPr>
            </w:pPr>
            <w:r>
              <w:rPr>
                <w:rFonts w:hint="eastAsia" w:ascii="宋体" w:hAnsi="宋体"/>
                <w:color w:val="000000"/>
                <w:kern w:val="0"/>
                <w:sz w:val="24"/>
                <w:szCs w:val="24"/>
              </w:rPr>
              <w:t>（万元）</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color w:val="000000"/>
                <w:sz w:val="24"/>
                <w:szCs w:val="24"/>
              </w:rPr>
            </w:pPr>
            <w:r>
              <w:rPr>
                <w:rFonts w:hint="eastAsia" w:ascii="宋体" w:hAnsi="宋体"/>
                <w:color w:val="000000"/>
                <w:kern w:val="0"/>
                <w:sz w:val="24"/>
                <w:szCs w:val="24"/>
              </w:rPr>
              <w:t>全年预算数</w:t>
            </w:r>
          </w:p>
        </w:tc>
        <w:tc>
          <w:tcPr>
            <w:tcW w:w="1391"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color w:val="000000"/>
                <w:sz w:val="24"/>
                <w:szCs w:val="24"/>
              </w:rPr>
            </w:pPr>
            <w:r>
              <w:rPr>
                <w:rFonts w:hint="eastAsia" w:ascii="宋体" w:hAnsi="宋体"/>
                <w:color w:val="000000"/>
                <w:kern w:val="0"/>
                <w:sz w:val="24"/>
                <w:szCs w:val="24"/>
              </w:rPr>
              <w:t>实际完成数</w:t>
            </w:r>
          </w:p>
        </w:tc>
        <w:tc>
          <w:tcPr>
            <w:tcW w:w="2456" w:type="dxa"/>
            <w:gridSpan w:val="2"/>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color w:val="000000"/>
                <w:sz w:val="24"/>
                <w:szCs w:val="24"/>
              </w:rPr>
            </w:pPr>
            <w:r>
              <w:rPr>
                <w:rFonts w:hint="eastAsia" w:ascii="宋体" w:hAnsi="宋体"/>
                <w:color w:val="000000"/>
                <w:kern w:val="0"/>
                <w:sz w:val="24"/>
                <w:szCs w:val="24"/>
              </w:rPr>
              <w:t>执行率（%）</w:t>
            </w:r>
          </w:p>
        </w:tc>
      </w:tr>
      <w:tr>
        <w:tblPrEx>
          <w:tblCellMar>
            <w:top w:w="0" w:type="dxa"/>
            <w:left w:w="108" w:type="dxa"/>
            <w:bottom w:w="0" w:type="dxa"/>
            <w:right w:w="108" w:type="dxa"/>
          </w:tblCellMar>
        </w:tblPrEx>
        <w:trPr>
          <w:trHeight w:val="439" w:hRule="atLeast"/>
          <w:jc w:val="center"/>
        </w:trPr>
        <w:tc>
          <w:tcPr>
            <w:tcW w:w="26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 年度资金总额：</w:t>
            </w:r>
          </w:p>
        </w:tc>
        <w:tc>
          <w:tcPr>
            <w:tcW w:w="15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lang w:val="en-US" w:eastAsia="zh-CN"/>
              </w:rPr>
              <w:t>249.68</w:t>
            </w:r>
          </w:p>
        </w:tc>
        <w:tc>
          <w:tcPr>
            <w:tcW w:w="13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lang w:val="en-US" w:eastAsia="zh-CN"/>
              </w:rPr>
              <w:t>249.68</w:t>
            </w:r>
          </w:p>
        </w:tc>
        <w:tc>
          <w:tcPr>
            <w:tcW w:w="245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100%</w:t>
            </w:r>
          </w:p>
        </w:tc>
      </w:tr>
      <w:tr>
        <w:tblPrEx>
          <w:tblCellMar>
            <w:top w:w="0" w:type="dxa"/>
            <w:left w:w="108" w:type="dxa"/>
            <w:bottom w:w="0" w:type="dxa"/>
            <w:right w:w="108" w:type="dxa"/>
          </w:tblCellMar>
        </w:tblPrEx>
        <w:trPr>
          <w:trHeight w:val="439" w:hRule="atLeast"/>
          <w:jc w:val="center"/>
        </w:trPr>
        <w:tc>
          <w:tcPr>
            <w:tcW w:w="26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其中：财政拨款(人员）</w:t>
            </w:r>
          </w:p>
        </w:tc>
        <w:tc>
          <w:tcPr>
            <w:tcW w:w="15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lang w:val="en-US" w:eastAsia="zh-CN"/>
              </w:rPr>
              <w:t>249.68</w:t>
            </w:r>
          </w:p>
        </w:tc>
        <w:tc>
          <w:tcPr>
            <w:tcW w:w="13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lang w:val="en-US" w:eastAsia="zh-CN"/>
              </w:rPr>
              <w:t>249.68</w:t>
            </w:r>
          </w:p>
        </w:tc>
        <w:tc>
          <w:tcPr>
            <w:tcW w:w="245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100%</w:t>
            </w:r>
          </w:p>
        </w:tc>
      </w:tr>
      <w:tr>
        <w:tblPrEx>
          <w:tblCellMar>
            <w:top w:w="0" w:type="dxa"/>
            <w:left w:w="108" w:type="dxa"/>
            <w:bottom w:w="0" w:type="dxa"/>
            <w:right w:w="108" w:type="dxa"/>
          </w:tblCellMar>
        </w:tblPrEx>
        <w:trPr>
          <w:trHeight w:val="439" w:hRule="atLeast"/>
          <w:jc w:val="center"/>
        </w:trPr>
        <w:tc>
          <w:tcPr>
            <w:tcW w:w="26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财政拨款(公用）</w:t>
            </w:r>
          </w:p>
        </w:tc>
        <w:tc>
          <w:tcPr>
            <w:tcW w:w="153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456"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439" w:hRule="atLeast"/>
          <w:jc w:val="center"/>
        </w:trPr>
        <w:tc>
          <w:tcPr>
            <w:tcW w:w="26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财政拨款(项目）</w:t>
            </w:r>
          </w:p>
        </w:tc>
        <w:tc>
          <w:tcPr>
            <w:tcW w:w="15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24"/>
                <w:szCs w:val="24"/>
                <w:lang w:eastAsia="zh-CN"/>
              </w:rPr>
            </w:pPr>
          </w:p>
        </w:tc>
        <w:tc>
          <w:tcPr>
            <w:tcW w:w="13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24"/>
                <w:szCs w:val="24"/>
                <w:lang w:eastAsia="zh-CN"/>
              </w:rPr>
            </w:pPr>
          </w:p>
        </w:tc>
        <w:tc>
          <w:tcPr>
            <w:tcW w:w="245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24"/>
                <w:szCs w:val="24"/>
                <w:lang w:eastAsia="zh-CN"/>
              </w:rPr>
            </w:pPr>
          </w:p>
        </w:tc>
      </w:tr>
      <w:tr>
        <w:tblPrEx>
          <w:tblCellMar>
            <w:top w:w="0" w:type="dxa"/>
            <w:left w:w="108" w:type="dxa"/>
            <w:bottom w:w="0" w:type="dxa"/>
            <w:right w:w="108" w:type="dxa"/>
          </w:tblCellMar>
        </w:tblPrEx>
        <w:trPr>
          <w:trHeight w:val="439" w:hRule="atLeast"/>
          <w:jc w:val="center"/>
        </w:trPr>
        <w:tc>
          <w:tcPr>
            <w:tcW w:w="26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其他资金</w:t>
            </w: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2456"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439" w:hRule="atLeast"/>
          <w:jc w:val="center"/>
        </w:trPr>
        <w:tc>
          <w:tcPr>
            <w:tcW w:w="134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w:t>
            </w:r>
          </w:p>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体</w:t>
            </w:r>
          </w:p>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目</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标</w:t>
            </w:r>
          </w:p>
        </w:tc>
        <w:tc>
          <w:tcPr>
            <w:tcW w:w="404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年度设定目标</w:t>
            </w:r>
          </w:p>
        </w:tc>
        <w:tc>
          <w:tcPr>
            <w:tcW w:w="5385"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实际完成情况</w:t>
            </w:r>
          </w:p>
        </w:tc>
      </w:tr>
      <w:tr>
        <w:tblPrEx>
          <w:tblCellMar>
            <w:top w:w="0" w:type="dxa"/>
            <w:left w:w="108" w:type="dxa"/>
            <w:bottom w:w="0" w:type="dxa"/>
            <w:right w:w="108" w:type="dxa"/>
          </w:tblCellMar>
        </w:tblPrEx>
        <w:trPr>
          <w:trHeight w:val="1590"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4043" w:type="dxa"/>
            <w:gridSpan w:val="3"/>
            <w:tcBorders>
              <w:top w:val="single" w:color="000000" w:sz="4" w:space="0"/>
              <w:left w:val="nil"/>
              <w:bottom w:val="single" w:color="000000" w:sz="4" w:space="0"/>
              <w:right w:val="single" w:color="000000" w:sz="4" w:space="0"/>
            </w:tcBorders>
          </w:tcPr>
          <w:p>
            <w:pPr>
              <w:widowControl/>
              <w:jc w:val="center"/>
              <w:textAlignment w:val="top"/>
              <w:rPr>
                <w:rFonts w:ascii="宋体" w:hAnsi="宋体"/>
                <w:color w:val="000000"/>
                <w:sz w:val="24"/>
                <w:szCs w:val="24"/>
              </w:rPr>
            </w:pPr>
            <w:r>
              <w:rPr>
                <w:rFonts w:hint="eastAsia" w:ascii="宋体" w:hAnsi="宋体"/>
                <w:color w:val="000000"/>
                <w:kern w:val="0"/>
                <w:sz w:val="24"/>
                <w:szCs w:val="24"/>
              </w:rPr>
              <w:t>负责全区蚕桑生产布局，蚕桑生产发展、蚕桑生产技术和技术指导，新蚕桑品种的引进及实验示范推广，蚕桑收购销售。蚕种和蚕药市场管理，大力发展全区的蚕桑生产，提高农民的收入，保障丝绸公司在职在岗人员18人的正常办公、生活秩序。</w:t>
            </w:r>
          </w:p>
        </w:tc>
        <w:tc>
          <w:tcPr>
            <w:tcW w:w="5385" w:type="dxa"/>
            <w:gridSpan w:val="4"/>
            <w:tcBorders>
              <w:top w:val="single" w:color="000000" w:sz="4" w:space="0"/>
              <w:left w:val="nil"/>
              <w:bottom w:val="single" w:color="000000" w:sz="4" w:space="0"/>
              <w:right w:val="single" w:color="000000" w:sz="4" w:space="0"/>
            </w:tcBorders>
          </w:tcPr>
          <w:p>
            <w:pPr>
              <w:widowControl/>
              <w:jc w:val="center"/>
              <w:textAlignment w:val="top"/>
              <w:rPr>
                <w:rFonts w:ascii="宋体" w:hAnsi="宋体"/>
                <w:color w:val="000000"/>
                <w:sz w:val="24"/>
                <w:szCs w:val="24"/>
              </w:rPr>
            </w:pPr>
            <w:r>
              <w:rPr>
                <w:rFonts w:hint="eastAsia" w:ascii="宋体" w:hAnsi="宋体"/>
                <w:color w:val="000000"/>
                <w:kern w:val="0"/>
                <w:sz w:val="24"/>
                <w:szCs w:val="24"/>
              </w:rPr>
              <w:t>负责全区蚕桑生产布局，蚕桑生产发展、蚕桑生产技术和技术指导，新蚕桑品种的引进及实验示范推广，蚕桑收购销售。蚕种和蚕药市场管理，大力发展全区的蚕桑生产，提高农民的收入，保障丝绸公司在职在岗人员18人的正常办公、生活秩序。</w:t>
            </w:r>
          </w:p>
        </w:tc>
      </w:tr>
      <w:tr>
        <w:tblPrEx>
          <w:tblCellMar>
            <w:top w:w="0" w:type="dxa"/>
            <w:left w:w="108" w:type="dxa"/>
            <w:bottom w:w="0" w:type="dxa"/>
            <w:right w:w="108" w:type="dxa"/>
          </w:tblCellMar>
        </w:tblPrEx>
        <w:trPr>
          <w:trHeight w:val="624" w:hRule="atLeast"/>
          <w:jc w:val="center"/>
        </w:trPr>
        <w:tc>
          <w:tcPr>
            <w:tcW w:w="134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绩</w:t>
            </w:r>
          </w:p>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效</w:t>
            </w:r>
          </w:p>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指</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标</w:t>
            </w:r>
          </w:p>
        </w:tc>
        <w:tc>
          <w:tcPr>
            <w:tcW w:w="630" w:type="dxa"/>
            <w:tcBorders>
              <w:top w:val="single" w:color="000000" w:sz="4" w:space="0"/>
              <w:left w:val="nil"/>
              <w:bottom w:val="nil"/>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一级</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指标</w:t>
            </w:r>
          </w:p>
        </w:tc>
        <w:tc>
          <w:tcPr>
            <w:tcW w:w="6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二级指标</w:t>
            </w:r>
          </w:p>
        </w:tc>
        <w:tc>
          <w:tcPr>
            <w:tcW w:w="27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三级指标</w:t>
            </w:r>
          </w:p>
        </w:tc>
        <w:tc>
          <w:tcPr>
            <w:tcW w:w="15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年度指标值</w:t>
            </w:r>
          </w:p>
        </w:tc>
        <w:tc>
          <w:tcPr>
            <w:tcW w:w="13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实际完成数</w:t>
            </w:r>
          </w:p>
        </w:tc>
        <w:tc>
          <w:tcPr>
            <w:tcW w:w="155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完成率（%）</w:t>
            </w:r>
          </w:p>
        </w:tc>
        <w:tc>
          <w:tcPr>
            <w:tcW w:w="90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未完成原因和改进措施</w:t>
            </w:r>
          </w:p>
        </w:tc>
      </w:tr>
      <w:tr>
        <w:tblPrEx>
          <w:tblCellMar>
            <w:top w:w="0" w:type="dxa"/>
            <w:left w:w="108" w:type="dxa"/>
            <w:bottom w:w="0" w:type="dxa"/>
            <w:right w:w="108" w:type="dxa"/>
          </w:tblCellMar>
        </w:tblPrEx>
        <w:trPr>
          <w:trHeight w:val="1200"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63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项目完成</w:t>
            </w: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数量指标</w:t>
            </w: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基本经费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财政供养人数：事业人员18人；</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财政供养人数：事业人员18人；</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项目经费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项目数量：项目1个</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项目1个</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900"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质量指标</w:t>
            </w: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基本经费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人员经费保障率100%；</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人员经费保障率100%；</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780"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项目经费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660"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时效指标</w:t>
            </w: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按工作安排</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年1月-202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年12月</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年1月-202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年12月</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594"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成本指标</w:t>
            </w: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基本经费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249.68</w:t>
            </w:r>
            <w:r>
              <w:rPr>
                <w:rFonts w:hint="eastAsia" w:ascii="宋体" w:hAnsi="宋体"/>
                <w:color w:val="000000"/>
                <w:kern w:val="0"/>
                <w:sz w:val="24"/>
                <w:szCs w:val="24"/>
              </w:rPr>
              <w:t>万元</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249.68</w:t>
            </w:r>
            <w:r>
              <w:rPr>
                <w:rFonts w:hint="eastAsia" w:ascii="宋体" w:hAnsi="宋体"/>
                <w:color w:val="000000"/>
                <w:kern w:val="0"/>
                <w:sz w:val="24"/>
                <w:szCs w:val="24"/>
              </w:rPr>
              <w:t>万元</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项目经费</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0.08万元</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0.08万元</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435"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63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项目效益</w:t>
            </w: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经济效益</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指标</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社会效益</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指标</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生态效益</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指标</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可持续影响</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指标</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63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满意度指标</w:t>
            </w:r>
          </w:p>
        </w:tc>
        <w:tc>
          <w:tcPr>
            <w:tcW w:w="6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满意度指标</w:t>
            </w:r>
          </w:p>
        </w:tc>
        <w:tc>
          <w:tcPr>
            <w:tcW w:w="271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rPr>
              <w:t>服务对象满意度</w:t>
            </w:r>
          </w:p>
        </w:tc>
        <w:tc>
          <w:tcPr>
            <w:tcW w:w="1538"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Arial" w:hAnsi="Arial" w:cs="Arial"/>
                <w:color w:val="000000"/>
                <w:sz w:val="24"/>
                <w:szCs w:val="24"/>
              </w:rPr>
            </w:pPr>
            <w:r>
              <w:rPr>
                <w:rFonts w:ascii="Arial" w:hAnsi="Arial" w:cs="Arial"/>
                <w:color w:val="000000"/>
                <w:kern w:val="0"/>
                <w:sz w:val="24"/>
                <w:szCs w:val="24"/>
              </w:rPr>
              <w:t>≥</w:t>
            </w:r>
            <w:r>
              <w:rPr>
                <w:rStyle w:val="36"/>
                <w:rFonts w:hint="default"/>
              </w:rPr>
              <w:t>95%</w:t>
            </w:r>
          </w:p>
        </w:tc>
        <w:tc>
          <w:tcPr>
            <w:tcW w:w="13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Arial" w:hAnsi="Arial" w:cs="Arial"/>
                <w:color w:val="000000"/>
                <w:sz w:val="24"/>
                <w:szCs w:val="24"/>
              </w:rPr>
            </w:pPr>
            <w:r>
              <w:rPr>
                <w:rFonts w:ascii="Arial" w:hAnsi="Arial" w:cs="Arial"/>
                <w:color w:val="000000"/>
                <w:kern w:val="0"/>
                <w:sz w:val="24"/>
                <w:szCs w:val="24"/>
              </w:rPr>
              <w:t>≥</w:t>
            </w:r>
            <w:r>
              <w:rPr>
                <w:rStyle w:val="36"/>
                <w:rFonts w:hint="default"/>
              </w:rPr>
              <w:t>95%</w:t>
            </w:r>
          </w:p>
        </w:tc>
        <w:tc>
          <w:tcPr>
            <w:tcW w:w="15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4"/>
                <w:szCs w:val="24"/>
              </w:rPr>
            </w:pPr>
            <w:r>
              <w:rPr>
                <w:rFonts w:hint="eastAsia" w:ascii="宋体" w:hAnsi="宋体"/>
                <w:color w:val="000000"/>
                <w:kern w:val="0"/>
                <w:sz w:val="24"/>
                <w:szCs w:val="24"/>
              </w:rPr>
              <w:t>100%</w:t>
            </w: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r>
        <w:tblPrEx>
          <w:tblCellMar>
            <w:top w:w="0" w:type="dxa"/>
            <w:left w:w="108" w:type="dxa"/>
            <w:bottom w:w="0" w:type="dxa"/>
            <w:right w:w="108" w:type="dxa"/>
          </w:tblCellMar>
        </w:tblPrEx>
        <w:trPr>
          <w:trHeight w:val="312" w:hRule="atLeast"/>
          <w:jc w:val="center"/>
        </w:trPr>
        <w:tc>
          <w:tcPr>
            <w:tcW w:w="13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4"/>
                <w:szCs w:val="24"/>
              </w:rPr>
            </w:pPr>
          </w:p>
        </w:tc>
        <w:tc>
          <w:tcPr>
            <w:tcW w:w="6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w:t>
            </w:r>
          </w:p>
        </w:tc>
        <w:tc>
          <w:tcPr>
            <w:tcW w:w="2717"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38"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39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1551"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c>
          <w:tcPr>
            <w:tcW w:w="905" w:type="dxa"/>
            <w:tcBorders>
              <w:top w:val="single" w:color="000000" w:sz="4" w:space="0"/>
              <w:left w:val="nil"/>
              <w:bottom w:val="single" w:color="000000" w:sz="4" w:space="0"/>
              <w:right w:val="single" w:color="000000" w:sz="4" w:space="0"/>
            </w:tcBorders>
            <w:vAlign w:val="center"/>
          </w:tcPr>
          <w:p>
            <w:pPr>
              <w:rPr>
                <w:rFonts w:ascii="宋体" w:hAnsi="宋体"/>
                <w:color w:val="000000"/>
                <w:sz w:val="24"/>
                <w:szCs w:val="24"/>
              </w:rPr>
            </w:pPr>
          </w:p>
        </w:tc>
      </w:tr>
    </w:tbl>
    <w:p>
      <w:pPr>
        <w:widowControl/>
        <w:adjustRightInd w:val="0"/>
        <w:snapToGrid w:val="0"/>
        <w:contextualSpacing/>
        <w:jc w:val="left"/>
        <w:rPr>
          <w:rFonts w:ascii="仿宋" w:hAnsi="仿宋" w:eastAsia="仿宋" w:cs="仿宋_GB2312"/>
          <w:b/>
          <w:bCs/>
          <w:sz w:val="32"/>
          <w:szCs w:val="32"/>
        </w:rPr>
      </w:pPr>
      <w:r>
        <w:rPr>
          <w:rFonts w:hint="eastAsia" w:ascii="仿宋" w:hAnsi="仿宋" w:eastAsia="仿宋" w:cs="仿宋_GB2312"/>
          <w:b/>
          <w:bCs/>
          <w:sz w:val="32"/>
          <w:szCs w:val="32"/>
        </w:rPr>
        <w:t xml:space="preserve"> </w:t>
      </w:r>
    </w:p>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2"/>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7"/>
    </w:p>
    <w:p>
      <w:pPr>
        <w:pStyle w:val="3"/>
        <w:rPr>
          <w:rStyle w:val="29"/>
          <w:rFonts w:ascii="仿宋" w:hAnsi="仿宋" w:eastAsia="仿宋"/>
          <w:b w:val="0"/>
          <w:bCs w:val="0"/>
          <w:color w:val="auto"/>
          <w:highlight w:val="none"/>
        </w:rPr>
      </w:pPr>
      <w:bookmarkStart w:id="58"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9"/>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9"/>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9"/>
          <w:rFonts w:hint="eastAsia" w:ascii="仿宋" w:hAnsi="仿宋" w:eastAsia="仿宋"/>
          <w:b w:val="0"/>
          <w:bCs w:val="0"/>
          <w:color w:val="auto"/>
          <w:highlight w:val="none"/>
        </w:rPr>
        <w:t>十二、</w:t>
      </w:r>
      <w:bookmarkEnd w:id="65"/>
      <w:r>
        <w:rPr>
          <w:rStyle w:val="29"/>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9"/>
          <w:rFonts w:hint="eastAsia" w:ascii="仿宋" w:hAnsi="仿宋" w:eastAsia="仿宋"/>
          <w:b w:val="0"/>
          <w:bCs w:val="0"/>
          <w:color w:val="auto"/>
          <w:highlight w:val="none"/>
        </w:rPr>
        <w:t>十三、</w:t>
      </w:r>
      <w:bookmarkEnd w:id="66"/>
      <w:r>
        <w:rPr>
          <w:rStyle w:val="29"/>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6722D7A"/>
    <w:multiLevelType w:val="singleLevel"/>
    <w:tmpl w:val="D6722D7A"/>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DUyOWY4OTk3MTg0MTMxZWVlMzBlNmU2N2JmY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AF0DA9"/>
    <w:rsid w:val="066E0107"/>
    <w:rsid w:val="06AD496B"/>
    <w:rsid w:val="07996F6E"/>
    <w:rsid w:val="07CB4548"/>
    <w:rsid w:val="09842C00"/>
    <w:rsid w:val="0A2032A3"/>
    <w:rsid w:val="0B5019AA"/>
    <w:rsid w:val="0E293D71"/>
    <w:rsid w:val="0F98263C"/>
    <w:rsid w:val="101860EC"/>
    <w:rsid w:val="10C055FF"/>
    <w:rsid w:val="118107EC"/>
    <w:rsid w:val="11B23A23"/>
    <w:rsid w:val="122E5DFF"/>
    <w:rsid w:val="12B26973"/>
    <w:rsid w:val="13D50BC4"/>
    <w:rsid w:val="13F632D9"/>
    <w:rsid w:val="155E52E5"/>
    <w:rsid w:val="16A9014A"/>
    <w:rsid w:val="16BB723D"/>
    <w:rsid w:val="1BE8440E"/>
    <w:rsid w:val="1D155CEE"/>
    <w:rsid w:val="1FF35744"/>
    <w:rsid w:val="23860B96"/>
    <w:rsid w:val="23A879F8"/>
    <w:rsid w:val="240371BF"/>
    <w:rsid w:val="26F16A5F"/>
    <w:rsid w:val="271C48AE"/>
    <w:rsid w:val="295F69E8"/>
    <w:rsid w:val="29FD04D3"/>
    <w:rsid w:val="2C8A61B5"/>
    <w:rsid w:val="2D7D2C69"/>
    <w:rsid w:val="2DB327BC"/>
    <w:rsid w:val="2DF04E50"/>
    <w:rsid w:val="2F040D46"/>
    <w:rsid w:val="301B2EE4"/>
    <w:rsid w:val="30D8226E"/>
    <w:rsid w:val="319F7F4E"/>
    <w:rsid w:val="3304709D"/>
    <w:rsid w:val="36AA5135"/>
    <w:rsid w:val="36ED30AF"/>
    <w:rsid w:val="37402633"/>
    <w:rsid w:val="376D39B2"/>
    <w:rsid w:val="37E16F03"/>
    <w:rsid w:val="38D469F0"/>
    <w:rsid w:val="3D98207C"/>
    <w:rsid w:val="3E78745D"/>
    <w:rsid w:val="3ED72E88"/>
    <w:rsid w:val="41711FAB"/>
    <w:rsid w:val="44B261C4"/>
    <w:rsid w:val="44E268DA"/>
    <w:rsid w:val="4A627F82"/>
    <w:rsid w:val="4B0E749A"/>
    <w:rsid w:val="4B4F25DA"/>
    <w:rsid w:val="4BE068DB"/>
    <w:rsid w:val="4C143394"/>
    <w:rsid w:val="4D577224"/>
    <w:rsid w:val="4D5D2E3C"/>
    <w:rsid w:val="4EAB630A"/>
    <w:rsid w:val="4ECE2238"/>
    <w:rsid w:val="537E6D0A"/>
    <w:rsid w:val="53D02297"/>
    <w:rsid w:val="5AF92295"/>
    <w:rsid w:val="5BA04C44"/>
    <w:rsid w:val="5CD71FC4"/>
    <w:rsid w:val="5DED645A"/>
    <w:rsid w:val="613227E3"/>
    <w:rsid w:val="62F94A10"/>
    <w:rsid w:val="688B4586"/>
    <w:rsid w:val="692C5D69"/>
    <w:rsid w:val="6C4A05C8"/>
    <w:rsid w:val="6CE10C19"/>
    <w:rsid w:val="6E7E3605"/>
    <w:rsid w:val="6FF5CC65"/>
    <w:rsid w:val="715C0E4B"/>
    <w:rsid w:val="72734D90"/>
    <w:rsid w:val="73AD73D5"/>
    <w:rsid w:val="73B6EB34"/>
    <w:rsid w:val="744731E5"/>
    <w:rsid w:val="74C90910"/>
    <w:rsid w:val="76E3355F"/>
    <w:rsid w:val="778769C8"/>
    <w:rsid w:val="78DB3308"/>
    <w:rsid w:val="79EE5BA4"/>
    <w:rsid w:val="7A716C7B"/>
    <w:rsid w:val="7A894339"/>
    <w:rsid w:val="7C6B4062"/>
    <w:rsid w:val="7D4F1BCF"/>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15"/>
    <w:basedOn w:val="16"/>
    <w:qFormat/>
    <w:uiPriority w:val="0"/>
    <w:rPr>
      <w:rFonts w:hint="default" w:ascii="Times New Roman" w:hAnsi="Times New Roman" w:cs="Times New Roman"/>
      <w:color w:val="000000"/>
      <w:sz w:val="24"/>
      <w:szCs w:val="24"/>
    </w:rPr>
  </w:style>
  <w:style w:type="character" w:customStyle="1" w:styleId="36">
    <w:name w:val="16"/>
    <w:basedOn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7</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欧国敏</cp:lastModifiedBy>
  <cp:lastPrinted>2023-07-31T02:35:00Z</cp:lastPrinted>
  <dcterms:modified xsi:type="dcterms:W3CDTF">2023-09-26T09:55:17Z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1DFC6195DB96441B97E2DD2DE421A8FE</vt:lpwstr>
  </property>
</Properties>
</file>