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24"/>
        <w:jc w:val="center"/>
        <w:rPr>
          <w:rFonts w:ascii="仿宋_GB2312" w:eastAsia="仿宋_GB2312"/>
          <w:sz w:val="32"/>
          <w:szCs w:val="32"/>
        </w:rPr>
      </w:pPr>
      <w:r>
        <w:rPr>
          <w:rFonts w:hint="eastAsia" w:ascii="黑体" w:hAnsi="黑体" w:eastAsia="黑体" w:cs="黑体"/>
          <w:sz w:val="32"/>
          <w:szCs w:val="32"/>
        </w:rPr>
        <w:t>附件2</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事前绩效评估报告</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政策或项目名称：社区干部报酬和办公费项目</w:t>
      </w:r>
    </w:p>
    <w:p>
      <w:pPr>
        <w:rPr>
          <w:rFonts w:ascii="仿宋_GB2312" w:eastAsia="仿宋_GB2312"/>
          <w:sz w:val="32"/>
          <w:szCs w:val="32"/>
        </w:rPr>
      </w:pPr>
      <w:r>
        <w:rPr>
          <w:rFonts w:hint="eastAsia" w:ascii="仿宋_GB2312" w:eastAsia="仿宋_GB2312"/>
          <w:sz w:val="32"/>
          <w:szCs w:val="32"/>
        </w:rPr>
        <w:t>单位名称（章）：大河中路街道办事处</w:t>
      </w:r>
    </w:p>
    <w:p>
      <w:pPr>
        <w:rPr>
          <w:rFonts w:ascii="仿宋_GB2312" w:eastAsia="仿宋_GB2312"/>
          <w:sz w:val="32"/>
          <w:szCs w:val="32"/>
        </w:rPr>
      </w:pPr>
      <w:r>
        <w:rPr>
          <w:rFonts w:hint="eastAsia" w:ascii="仿宋_GB2312" w:eastAsia="仿宋_GB2312"/>
          <w:sz w:val="32"/>
          <w:szCs w:val="32"/>
        </w:rPr>
        <w:t>主管部门：</w:t>
      </w:r>
    </w:p>
    <w:p>
      <w:pPr>
        <w:rPr>
          <w:rFonts w:ascii="仿宋_GB2312" w:eastAsia="仿宋_GB2312"/>
          <w:sz w:val="32"/>
          <w:szCs w:val="32"/>
        </w:rPr>
      </w:pPr>
      <w:r>
        <w:rPr>
          <w:rFonts w:hint="eastAsia" w:ascii="仿宋_GB2312" w:eastAsia="仿宋_GB2312"/>
          <w:sz w:val="32"/>
          <w:szCs w:val="32"/>
        </w:rPr>
        <w:t>评估组/评估机构（章）：</w:t>
      </w:r>
    </w:p>
    <w:p>
      <w:pPr>
        <w:rPr>
          <w:rFonts w:ascii="仿宋_GB2312" w:eastAsia="仿宋_GB2312"/>
          <w:sz w:val="32"/>
          <w:szCs w:val="32"/>
        </w:rPr>
      </w:pPr>
      <w:r>
        <w:rPr>
          <w:rFonts w:hint="eastAsia" w:ascii="仿宋_GB2312" w:eastAsia="仿宋_GB2312"/>
          <w:sz w:val="32"/>
          <w:szCs w:val="32"/>
        </w:rPr>
        <w:t>评估日期：</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br w:type="page"/>
      </w:r>
    </w:p>
    <w:p>
      <w:pPr>
        <w:pStyle w:val="4"/>
        <w:rPr>
          <w:rFonts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事前绩效评估报告</w:t>
      </w:r>
    </w:p>
    <w:p>
      <w:pPr>
        <w:pStyle w:val="4"/>
        <w:rPr>
          <w:rFonts w:ascii="仿宋_GB2312" w:eastAsia="仿宋_GB2312"/>
          <w:sz w:val="32"/>
          <w:szCs w:val="32"/>
        </w:rPr>
      </w:pPr>
    </w:p>
    <w:p>
      <w:pPr>
        <w:spacing w:line="560" w:lineRule="exact"/>
        <w:rPr>
          <w:rFonts w:cs="黑体" w:asciiTheme="minorEastAsia" w:hAnsiTheme="minorEastAsia" w:eastAsiaTheme="minorEastAsia"/>
          <w:sz w:val="32"/>
          <w:szCs w:val="32"/>
        </w:rPr>
      </w:pPr>
      <w:r>
        <w:rPr>
          <w:rFonts w:hint="eastAsia" w:cs="黑体" w:asciiTheme="minorEastAsia" w:hAnsiTheme="minorEastAsia" w:eastAsiaTheme="minorEastAsia"/>
          <w:sz w:val="32"/>
          <w:szCs w:val="32"/>
        </w:rPr>
        <w:t>一、评估对象</w:t>
      </w:r>
    </w:p>
    <w:p>
      <w:pPr>
        <w:ind w:firstLine="612" w:firstLineChars="196"/>
        <w:rPr>
          <w:rFonts w:asciiTheme="minorEastAsia" w:hAnsiTheme="minorEastAsia" w:eastAsiaTheme="minorEastAsia"/>
          <w:sz w:val="32"/>
          <w:szCs w:val="32"/>
        </w:rPr>
      </w:pPr>
      <w:r>
        <w:rPr>
          <w:rFonts w:hint="eastAsia" w:asciiTheme="minorEastAsia" w:hAnsiTheme="minorEastAsia" w:eastAsiaTheme="minorEastAsia"/>
          <w:b/>
          <w:bCs/>
          <w:sz w:val="32"/>
          <w:szCs w:val="32"/>
        </w:rPr>
        <w:t>政策或项目名称</w:t>
      </w:r>
      <w:r>
        <w:rPr>
          <w:rFonts w:hint="eastAsia" w:asciiTheme="minorEastAsia" w:hAnsiTheme="minorEastAsia" w:eastAsiaTheme="minorEastAsia"/>
          <w:sz w:val="32"/>
          <w:szCs w:val="32"/>
        </w:rPr>
        <w:t>：社区干部报酬和办公费项目</w:t>
      </w:r>
    </w:p>
    <w:p>
      <w:pPr>
        <w:ind w:firstLine="624" w:firstLineChars="200"/>
        <w:rPr>
          <w:rStyle w:val="20"/>
          <w:rFonts w:hint="eastAsia" w:asciiTheme="minorEastAsia" w:hAnsiTheme="minorEastAsia" w:eastAsiaTheme="minorEastAsia"/>
          <w:sz w:val="32"/>
          <w:szCs w:val="32"/>
        </w:rPr>
      </w:pPr>
      <w:r>
        <w:rPr>
          <w:rFonts w:hint="eastAsia" w:asciiTheme="minorEastAsia" w:hAnsiTheme="minorEastAsia" w:eastAsiaTheme="minorEastAsia"/>
          <w:b/>
          <w:bCs/>
          <w:sz w:val="32"/>
          <w:szCs w:val="32"/>
        </w:rPr>
        <w:t>政策或项目绩效目标：</w:t>
      </w:r>
      <w:r>
        <w:rPr>
          <w:rStyle w:val="20"/>
          <w:rFonts w:asciiTheme="minorEastAsia" w:hAnsiTheme="minorEastAsia" w:eastAsiaTheme="minorEastAsia"/>
          <w:sz w:val="32"/>
          <w:szCs w:val="32"/>
        </w:rPr>
        <w:t>为深入贯彻党的十九届四中全会精神， 全面落实省委十一届六次全会、 市委十届八次全会精神， 建设一支数量充足、 结构合理、 管理规范、 素质优良的社区专职工作者队伍</w:t>
      </w:r>
      <w:r>
        <w:rPr>
          <w:rStyle w:val="20"/>
          <w:rFonts w:hint="eastAsia" w:asciiTheme="minorEastAsia" w:hAnsiTheme="minorEastAsia" w:eastAsiaTheme="minorEastAsia"/>
          <w:sz w:val="32"/>
          <w:szCs w:val="32"/>
        </w:rPr>
        <w:t>。</w:t>
      </w:r>
      <w:r>
        <w:rPr>
          <w:rStyle w:val="20"/>
          <w:rFonts w:asciiTheme="minorEastAsia" w:hAnsiTheme="minorEastAsia" w:eastAsiaTheme="minorEastAsia"/>
          <w:sz w:val="32"/>
          <w:szCs w:val="32"/>
        </w:rPr>
        <w:t>在核定职数范围内， 纳入财政专项保障， 履行社区管理服务专门职责， 实行专职化管理的人员， 包括： 社区党组织班子专职成员、 社区居民委员会专职成员、 社区社会工作者专职人员</w:t>
      </w:r>
      <w:r>
        <w:rPr>
          <w:rStyle w:val="20"/>
          <w:rFonts w:hint="eastAsia" w:asciiTheme="minorEastAsia" w:hAnsiTheme="minorEastAsia" w:eastAsiaTheme="minorEastAsia"/>
          <w:sz w:val="32"/>
          <w:szCs w:val="32"/>
        </w:rPr>
        <w:t>，</w:t>
      </w:r>
      <w:r>
        <w:rPr>
          <w:rStyle w:val="20"/>
          <w:rFonts w:asciiTheme="minorEastAsia" w:hAnsiTheme="minorEastAsia" w:eastAsiaTheme="minorEastAsia"/>
          <w:sz w:val="32"/>
          <w:szCs w:val="32"/>
        </w:rPr>
        <w:t>按照精简高效、 科学合理原则， 综合考虑社区人口数量、 居民构成、 区域面积、 重点工作等要素， 核定社区专职工作者职数。推行社区党组织书记和居民委员会主任</w:t>
      </w:r>
      <w:r>
        <w:rPr>
          <w:rStyle w:val="23"/>
          <w:rFonts w:asciiTheme="minorEastAsia" w:hAnsiTheme="minorEastAsia" w:eastAsiaTheme="minorEastAsia"/>
          <w:sz w:val="32"/>
          <w:szCs w:val="32"/>
        </w:rPr>
        <w:t>“</w:t>
      </w:r>
      <w:r>
        <w:rPr>
          <w:rStyle w:val="20"/>
          <w:rFonts w:asciiTheme="minorEastAsia" w:hAnsiTheme="minorEastAsia" w:eastAsiaTheme="minorEastAsia"/>
          <w:sz w:val="32"/>
          <w:szCs w:val="32"/>
        </w:rPr>
        <w:t>一肩挑</w:t>
      </w:r>
      <w:r>
        <w:rPr>
          <w:rStyle w:val="23"/>
          <w:rFonts w:asciiTheme="minorEastAsia" w:hAnsiTheme="minorEastAsia" w:eastAsiaTheme="minorEastAsia"/>
          <w:sz w:val="32"/>
          <w:szCs w:val="32"/>
        </w:rPr>
        <w:t>”</w:t>
      </w:r>
      <w:r>
        <w:rPr>
          <w:rStyle w:val="20"/>
          <w:rFonts w:asciiTheme="minorEastAsia" w:hAnsiTheme="minorEastAsia" w:eastAsiaTheme="minorEastAsia"/>
          <w:sz w:val="32"/>
          <w:szCs w:val="32"/>
        </w:rPr>
        <w:t>和</w:t>
      </w:r>
      <w:r>
        <w:rPr>
          <w:rStyle w:val="23"/>
          <w:rFonts w:asciiTheme="minorEastAsia" w:hAnsiTheme="minorEastAsia" w:eastAsiaTheme="minorEastAsia"/>
          <w:sz w:val="32"/>
          <w:szCs w:val="32"/>
        </w:rPr>
        <w:t>“</w:t>
      </w:r>
      <w:r>
        <w:rPr>
          <w:rStyle w:val="20"/>
          <w:rFonts w:asciiTheme="minorEastAsia" w:hAnsiTheme="minorEastAsia" w:eastAsiaTheme="minorEastAsia"/>
          <w:sz w:val="32"/>
          <w:szCs w:val="32"/>
        </w:rPr>
        <w:t>两委</w:t>
      </w:r>
      <w:r>
        <w:rPr>
          <w:rStyle w:val="23"/>
          <w:rFonts w:asciiTheme="minorEastAsia" w:hAnsiTheme="minorEastAsia" w:eastAsiaTheme="minorEastAsia"/>
          <w:sz w:val="32"/>
          <w:szCs w:val="32"/>
        </w:rPr>
        <w:t>”</w:t>
      </w:r>
      <w:r>
        <w:rPr>
          <w:rStyle w:val="20"/>
          <w:rFonts w:asciiTheme="minorEastAsia" w:hAnsiTheme="minorEastAsia" w:eastAsiaTheme="minorEastAsia"/>
          <w:sz w:val="32"/>
          <w:szCs w:val="32"/>
        </w:rPr>
        <w:t>委员交叉任职。 全面落实社区专职工作者区级联审制度和社区党组织书记区级备案管理制度</w:t>
      </w:r>
      <w:r>
        <w:rPr>
          <w:rStyle w:val="20"/>
          <w:rFonts w:hint="eastAsia" w:asciiTheme="minorEastAsia" w:hAnsiTheme="minorEastAsia" w:eastAsiaTheme="minorEastAsia"/>
          <w:sz w:val="32"/>
          <w:szCs w:val="32"/>
        </w:rPr>
        <w:t>。</w:t>
      </w:r>
    </w:p>
    <w:p>
      <w:pPr>
        <w:ind w:firstLine="624" w:firstLineChars="200"/>
        <w:rPr>
          <w:rFonts w:asciiTheme="minorEastAsia" w:hAnsiTheme="minorEastAsia" w:eastAsiaTheme="minorEastAsia"/>
          <w:sz w:val="32"/>
          <w:szCs w:val="32"/>
        </w:rPr>
      </w:pPr>
      <w:r>
        <w:rPr>
          <w:rFonts w:hint="eastAsia" w:asciiTheme="minorEastAsia" w:hAnsiTheme="minorEastAsia" w:eastAsiaTheme="minorEastAsia"/>
          <w:b/>
          <w:bCs/>
          <w:sz w:val="32"/>
          <w:szCs w:val="32"/>
        </w:rPr>
        <w:t>政策或项目资金构成：</w:t>
      </w:r>
      <w:r>
        <w:rPr>
          <w:rStyle w:val="20"/>
          <w:rFonts w:asciiTheme="minorEastAsia" w:hAnsiTheme="minorEastAsia" w:eastAsiaTheme="minorEastAsia"/>
          <w:sz w:val="32"/>
          <w:szCs w:val="32"/>
        </w:rPr>
        <w:t>建立社区正职（ 党组织书记、 居委会主任）、社区副职（ 党组织副书记、 居委会副主任） 、 工作人员（ 其</w:t>
      </w:r>
      <w:r>
        <w:rPr>
          <w:rFonts w:asciiTheme="minorEastAsia" w:hAnsiTheme="minorEastAsia" w:eastAsiaTheme="minorEastAsia"/>
          <w:color w:val="000000"/>
          <w:sz w:val="32"/>
          <w:szCs w:val="32"/>
        </w:rPr>
        <w:t>他常职委员、 社工） “3 岗 1 2 级”岗位等级序列。 具体薪级报酬按《 攀枝花市仁和区人民政府办公室关于调整和明确仁和区村（ 社区） 工作人员报酬的通知》（ 攀仁府办〔 2021〕1 05 号） 文件执行。</w:t>
      </w:r>
      <w:r>
        <w:rPr>
          <w:rFonts w:asciiTheme="minorEastAsia" w:hAnsiTheme="minorEastAsia" w:eastAsiaTheme="minorEastAsia"/>
          <w:sz w:val="32"/>
          <w:szCs w:val="32"/>
        </w:rPr>
        <w:t xml:space="preserve">   </w:t>
      </w:r>
    </w:p>
    <w:p>
      <w:pPr>
        <w:ind w:firstLine="624" w:firstLineChars="200"/>
        <w:rPr>
          <w:rFonts w:asciiTheme="minorEastAsia" w:hAnsiTheme="minorEastAsia" w:eastAsiaTheme="minorEastAsia"/>
          <w:sz w:val="32"/>
          <w:szCs w:val="32"/>
        </w:rPr>
      </w:pPr>
      <w:r>
        <w:rPr>
          <w:rFonts w:hint="eastAsia" w:asciiTheme="minorEastAsia" w:hAnsiTheme="minorEastAsia" w:eastAsiaTheme="minorEastAsia"/>
          <w:b/>
          <w:bCs/>
          <w:sz w:val="32"/>
          <w:szCs w:val="32"/>
        </w:rPr>
        <w:t>政策或项目概况：</w:t>
      </w:r>
      <w:r>
        <w:rPr>
          <w:rStyle w:val="20"/>
          <w:rFonts w:asciiTheme="minorEastAsia" w:hAnsiTheme="minorEastAsia" w:eastAsiaTheme="minorEastAsia"/>
          <w:sz w:val="32"/>
          <w:szCs w:val="32"/>
        </w:rPr>
        <w:t>社区专职工作者报酬实行</w:t>
      </w:r>
      <w:r>
        <w:rPr>
          <w:rStyle w:val="23"/>
          <w:rFonts w:asciiTheme="minorEastAsia" w:hAnsiTheme="minorEastAsia" w:eastAsiaTheme="minorEastAsia"/>
          <w:sz w:val="32"/>
          <w:szCs w:val="32"/>
        </w:rPr>
        <w:t>“</w:t>
      </w:r>
      <w:r>
        <w:rPr>
          <w:rStyle w:val="20"/>
          <w:rFonts w:asciiTheme="minorEastAsia" w:hAnsiTheme="minorEastAsia" w:eastAsiaTheme="minorEastAsia"/>
          <w:sz w:val="32"/>
          <w:szCs w:val="32"/>
        </w:rPr>
        <w:t>岗位报酬</w:t>
      </w:r>
      <w:r>
        <w:rPr>
          <w:rStyle w:val="23"/>
          <w:rFonts w:asciiTheme="minorEastAsia" w:hAnsiTheme="minorEastAsia" w:eastAsiaTheme="minorEastAsia"/>
          <w:sz w:val="32"/>
          <w:szCs w:val="32"/>
        </w:rPr>
        <w:t>+</w:t>
      </w:r>
      <w:r>
        <w:rPr>
          <w:rStyle w:val="20"/>
          <w:rFonts w:asciiTheme="minorEastAsia" w:hAnsiTheme="minorEastAsia" w:eastAsiaTheme="minorEastAsia"/>
          <w:sz w:val="32"/>
          <w:szCs w:val="32"/>
        </w:rPr>
        <w:t>绩效报酬</w:t>
      </w:r>
      <w:r>
        <w:rPr>
          <w:rStyle w:val="23"/>
          <w:rFonts w:asciiTheme="minorEastAsia" w:hAnsiTheme="minorEastAsia" w:eastAsiaTheme="minorEastAsia"/>
          <w:sz w:val="32"/>
          <w:szCs w:val="32"/>
        </w:rPr>
        <w:t>”</w:t>
      </w:r>
      <w:r>
        <w:rPr>
          <w:rStyle w:val="20"/>
          <w:rFonts w:asciiTheme="minorEastAsia" w:hAnsiTheme="minorEastAsia" w:eastAsiaTheme="minorEastAsia"/>
          <w:sz w:val="32"/>
          <w:szCs w:val="32"/>
        </w:rPr>
        <w:t>制度， 由市、 区财政统筹解决。岗位报酬按月发放， 由基本报酬和薪级报酬构成， 主要体现本地经济发展情况、 物价水平、 岗位职责以及个人资历等因素， 按照所聘岗位等级执行相应标准。 基本报酬由区政府按上级相关文件精神， 结合我区实际制定落实。薪级报酬根据社区专职工作者在社区任</w:t>
      </w:r>
      <w:r>
        <w:rPr>
          <w:rStyle w:val="23"/>
          <w:rFonts w:asciiTheme="minorEastAsia" w:hAnsiTheme="minorEastAsia" w:eastAsiaTheme="minorEastAsia"/>
          <w:sz w:val="32"/>
          <w:szCs w:val="32"/>
        </w:rPr>
        <w:t>“</w:t>
      </w:r>
      <w:r>
        <w:rPr>
          <w:rStyle w:val="20"/>
          <w:rFonts w:asciiTheme="minorEastAsia" w:hAnsiTheme="minorEastAsia" w:eastAsiaTheme="minorEastAsia"/>
          <w:sz w:val="32"/>
          <w:szCs w:val="32"/>
        </w:rPr>
        <w:t>两委</w:t>
      </w:r>
      <w:r>
        <w:rPr>
          <w:rStyle w:val="23"/>
          <w:rFonts w:asciiTheme="minorEastAsia" w:hAnsiTheme="minorEastAsia" w:eastAsiaTheme="minorEastAsia"/>
          <w:sz w:val="32"/>
          <w:szCs w:val="32"/>
        </w:rPr>
        <w:t>”</w:t>
      </w:r>
      <w:r>
        <w:rPr>
          <w:rStyle w:val="20"/>
          <w:rFonts w:asciiTheme="minorEastAsia" w:hAnsiTheme="minorEastAsia" w:eastAsiaTheme="minorEastAsia"/>
          <w:sz w:val="32"/>
          <w:szCs w:val="32"/>
        </w:rPr>
        <w:t>常职干部、社工时的工作累计年限确定， 村改居或新建社区的社区专职工作者的计算年限包括在村任</w:t>
      </w:r>
      <w:r>
        <w:rPr>
          <w:rStyle w:val="23"/>
          <w:rFonts w:asciiTheme="minorEastAsia" w:hAnsiTheme="minorEastAsia" w:eastAsiaTheme="minorEastAsia"/>
          <w:sz w:val="32"/>
          <w:szCs w:val="32"/>
        </w:rPr>
        <w:t>“</w:t>
      </w:r>
      <w:r>
        <w:rPr>
          <w:rStyle w:val="20"/>
          <w:rFonts w:asciiTheme="minorEastAsia" w:hAnsiTheme="minorEastAsia" w:eastAsiaTheme="minorEastAsia"/>
          <w:sz w:val="32"/>
          <w:szCs w:val="32"/>
        </w:rPr>
        <w:t>两委</w:t>
      </w:r>
      <w:r>
        <w:rPr>
          <w:rStyle w:val="23"/>
          <w:rFonts w:asciiTheme="minorEastAsia" w:hAnsiTheme="minorEastAsia" w:eastAsiaTheme="minorEastAsia"/>
          <w:sz w:val="32"/>
          <w:szCs w:val="32"/>
        </w:rPr>
        <w:t>”</w:t>
      </w:r>
      <w:r>
        <w:rPr>
          <w:rStyle w:val="20"/>
          <w:rFonts w:asciiTheme="minorEastAsia" w:hAnsiTheme="minorEastAsia" w:eastAsiaTheme="minorEastAsia"/>
          <w:sz w:val="32"/>
          <w:szCs w:val="32"/>
        </w:rPr>
        <w:t xml:space="preserve">常职干部的工作年限。绩效报酬主要体现社区专职工作者的实绩和贡献， 人均绩效水平按照人均岗位报酬与上年度全市城镇全部单位就业人员平均工资的差额确定。 除试用期人员外， 同一社区不同岗位之间的绩效报酬最高和最低之间的最大倍差不高于 </w:t>
      </w:r>
      <w:r>
        <w:rPr>
          <w:rStyle w:val="23"/>
          <w:rFonts w:asciiTheme="minorEastAsia" w:hAnsiTheme="minorEastAsia" w:eastAsiaTheme="minorEastAsia"/>
          <w:sz w:val="32"/>
          <w:szCs w:val="32"/>
        </w:rPr>
        <w:t xml:space="preserve">1 .5 </w:t>
      </w:r>
      <w:r>
        <w:rPr>
          <w:rStyle w:val="20"/>
          <w:rFonts w:asciiTheme="minorEastAsia" w:hAnsiTheme="minorEastAsia" w:eastAsiaTheme="minorEastAsia"/>
          <w:sz w:val="32"/>
          <w:szCs w:val="32"/>
        </w:rPr>
        <w:t>倍。 在分配绩效报酬时， 要将未纳入社区专职工作者管理的社区</w:t>
      </w:r>
      <w:r>
        <w:rPr>
          <w:rStyle w:val="23"/>
          <w:rFonts w:asciiTheme="minorEastAsia" w:hAnsiTheme="minorEastAsia" w:eastAsiaTheme="minorEastAsia"/>
          <w:sz w:val="32"/>
          <w:szCs w:val="32"/>
        </w:rPr>
        <w:t>“</w:t>
      </w:r>
      <w:r>
        <w:rPr>
          <w:rStyle w:val="20"/>
          <w:rFonts w:asciiTheme="minorEastAsia" w:hAnsiTheme="minorEastAsia" w:eastAsiaTheme="minorEastAsia"/>
          <w:sz w:val="32"/>
          <w:szCs w:val="32"/>
        </w:rPr>
        <w:t>两委</w:t>
      </w:r>
      <w:r>
        <w:rPr>
          <w:rStyle w:val="23"/>
          <w:rFonts w:asciiTheme="minorEastAsia" w:hAnsiTheme="minorEastAsia" w:eastAsiaTheme="minorEastAsia"/>
          <w:sz w:val="32"/>
          <w:szCs w:val="32"/>
        </w:rPr>
        <w:t>”</w:t>
      </w:r>
      <w:r>
        <w:rPr>
          <w:rStyle w:val="20"/>
          <w:rFonts w:asciiTheme="minorEastAsia" w:hAnsiTheme="minorEastAsia" w:eastAsiaTheme="minorEastAsia"/>
          <w:sz w:val="32"/>
          <w:szCs w:val="32"/>
        </w:rPr>
        <w:t>常职干部和社工的绩效报酬一并统筹。</w:t>
      </w:r>
      <w:r>
        <w:rPr>
          <w:rFonts w:asciiTheme="minorEastAsia" w:hAnsiTheme="minorEastAsia" w:eastAsiaTheme="minorEastAsia"/>
          <w:sz w:val="32"/>
          <w:szCs w:val="32"/>
        </w:rPr>
        <w:t xml:space="preserve">  </w:t>
      </w:r>
    </w:p>
    <w:p>
      <w:pPr>
        <w:spacing w:line="560" w:lineRule="exact"/>
        <w:rPr>
          <w:rFonts w:cs="黑体" w:asciiTheme="minorEastAsia" w:hAnsiTheme="minorEastAsia" w:eastAsiaTheme="minorEastAsia"/>
          <w:sz w:val="32"/>
          <w:szCs w:val="32"/>
        </w:rPr>
      </w:pPr>
      <w:r>
        <w:rPr>
          <w:rFonts w:hint="eastAsia" w:cs="黑体" w:asciiTheme="minorEastAsia" w:hAnsiTheme="minorEastAsia" w:eastAsiaTheme="minorEastAsia"/>
          <w:sz w:val="32"/>
          <w:szCs w:val="32"/>
        </w:rPr>
        <w:t>二、事前绩效评估的基本情况</w:t>
      </w:r>
    </w:p>
    <w:p>
      <w:pPr>
        <w:spacing w:line="560" w:lineRule="exact"/>
        <w:ind w:firstLine="624" w:firstLineChars="200"/>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（一）评估程序。</w:t>
      </w:r>
    </w:p>
    <w:p>
      <w:pPr>
        <w:pStyle w:val="9"/>
        <w:widowControl/>
        <w:spacing w:beforeAutospacing="0" w:afterAutospacing="0" w:line="585" w:lineRule="atLeast"/>
        <w:ind w:firstLine="624" w:firstLineChars="200"/>
        <w:jc w:val="both"/>
        <w:rPr>
          <w:rFonts w:hint="eastAsia" w:asciiTheme="minorEastAsia" w:hAnsiTheme="minorEastAsia" w:eastAsiaTheme="minorEastAsia"/>
          <w:sz w:val="32"/>
          <w:szCs w:val="32"/>
        </w:rPr>
      </w:pPr>
      <w:r>
        <w:rPr>
          <w:rFonts w:hint="eastAsia" w:asciiTheme="minorEastAsia" w:hAnsiTheme="minorEastAsia" w:eastAsiaTheme="minorEastAsia"/>
          <w:kern w:val="2"/>
          <w:sz w:val="32"/>
          <w:szCs w:val="32"/>
        </w:rPr>
        <w:t>1</w:t>
      </w:r>
      <w:r>
        <w:rPr>
          <w:rFonts w:asciiTheme="minorEastAsia" w:hAnsiTheme="minorEastAsia" w:eastAsiaTheme="minorEastAsia"/>
          <w:kern w:val="2"/>
          <w:sz w:val="32"/>
          <w:szCs w:val="32"/>
        </w:rPr>
        <w:t>、确定评估对象</w:t>
      </w:r>
      <w:r>
        <w:rPr>
          <w:rFonts w:hint="eastAsia" w:asciiTheme="minorEastAsia" w:hAnsiTheme="minorEastAsia" w:eastAsiaTheme="minorEastAsia"/>
          <w:kern w:val="2"/>
          <w:sz w:val="32"/>
          <w:szCs w:val="32"/>
        </w:rPr>
        <w:t>：</w:t>
      </w:r>
      <w:r>
        <w:rPr>
          <w:rFonts w:hint="eastAsia" w:asciiTheme="minorEastAsia" w:hAnsiTheme="minorEastAsia" w:eastAsiaTheme="minorEastAsia"/>
          <w:sz w:val="32"/>
          <w:szCs w:val="32"/>
        </w:rPr>
        <w:t>社区干部报酬和办公费项目</w:t>
      </w:r>
    </w:p>
    <w:p>
      <w:pPr>
        <w:pStyle w:val="9"/>
        <w:widowControl/>
        <w:spacing w:beforeAutospacing="0" w:afterAutospacing="0" w:line="585" w:lineRule="atLeast"/>
        <w:ind w:firstLine="624" w:firstLineChars="200"/>
        <w:jc w:val="both"/>
        <w:rPr>
          <w:rFonts w:asciiTheme="minorEastAsia" w:hAnsiTheme="minorEastAsia" w:eastAsiaTheme="minorEastAsia"/>
          <w:kern w:val="2"/>
          <w:sz w:val="32"/>
          <w:szCs w:val="32"/>
        </w:rPr>
      </w:pPr>
      <w:r>
        <w:rPr>
          <w:rFonts w:asciiTheme="minorEastAsia" w:hAnsiTheme="minorEastAsia" w:eastAsiaTheme="minorEastAsia"/>
          <w:kern w:val="2"/>
          <w:sz w:val="32"/>
          <w:szCs w:val="32"/>
        </w:rPr>
        <w:t>2、成立评估组织</w:t>
      </w:r>
      <w:r>
        <w:rPr>
          <w:rFonts w:hint="eastAsia" w:asciiTheme="minorEastAsia" w:hAnsiTheme="minorEastAsia" w:eastAsiaTheme="minorEastAsia"/>
          <w:kern w:val="2"/>
          <w:sz w:val="32"/>
          <w:szCs w:val="32"/>
        </w:rPr>
        <w:t>：</w:t>
      </w:r>
      <w:r>
        <w:rPr>
          <w:rFonts w:asciiTheme="minorEastAsia" w:hAnsiTheme="minorEastAsia" w:eastAsiaTheme="minorEastAsia"/>
          <w:kern w:val="2"/>
          <w:sz w:val="32"/>
          <w:szCs w:val="32"/>
        </w:rPr>
        <w:t>评估组</w:t>
      </w:r>
      <w:r>
        <w:rPr>
          <w:rFonts w:hint="eastAsia" w:asciiTheme="minorEastAsia" w:hAnsiTheme="minorEastAsia" w:eastAsiaTheme="minorEastAsia"/>
          <w:kern w:val="2"/>
          <w:sz w:val="32"/>
          <w:szCs w:val="32"/>
        </w:rPr>
        <w:t>由街办</w:t>
      </w:r>
      <w:r>
        <w:rPr>
          <w:rFonts w:asciiTheme="minorEastAsia" w:hAnsiTheme="minorEastAsia" w:eastAsiaTheme="minorEastAsia"/>
          <w:kern w:val="2"/>
          <w:sz w:val="32"/>
          <w:szCs w:val="32"/>
        </w:rPr>
        <w:t>领导、相关业务科室负责人、业务人员</w:t>
      </w:r>
      <w:r>
        <w:rPr>
          <w:rFonts w:hint="eastAsia" w:asciiTheme="minorEastAsia" w:hAnsiTheme="minorEastAsia" w:eastAsiaTheme="minorEastAsia"/>
          <w:kern w:val="2"/>
          <w:sz w:val="32"/>
          <w:szCs w:val="32"/>
        </w:rPr>
        <w:t>组成。</w:t>
      </w:r>
    </w:p>
    <w:p>
      <w:pPr>
        <w:pStyle w:val="9"/>
        <w:widowControl/>
        <w:spacing w:beforeAutospacing="0" w:afterAutospacing="0" w:line="585" w:lineRule="atLeast"/>
        <w:ind w:firstLine="624" w:firstLineChars="200"/>
        <w:jc w:val="both"/>
        <w:rPr>
          <w:rFonts w:asciiTheme="minorEastAsia" w:hAnsiTheme="minorEastAsia" w:eastAsiaTheme="minorEastAsia"/>
          <w:sz w:val="32"/>
          <w:szCs w:val="32"/>
        </w:rPr>
      </w:pPr>
      <w:r>
        <w:rPr>
          <w:rFonts w:hint="eastAsia" w:asciiTheme="minorEastAsia" w:hAnsiTheme="minorEastAsia" w:eastAsiaTheme="minorEastAsia"/>
          <w:kern w:val="2"/>
          <w:sz w:val="32"/>
          <w:szCs w:val="32"/>
        </w:rPr>
        <w:t>3、 启动</w:t>
      </w:r>
      <w:r>
        <w:rPr>
          <w:rFonts w:asciiTheme="minorEastAsia" w:hAnsiTheme="minorEastAsia" w:eastAsiaTheme="minorEastAsia"/>
          <w:kern w:val="2"/>
          <w:sz w:val="32"/>
          <w:szCs w:val="32"/>
        </w:rPr>
        <w:t>评估</w:t>
      </w:r>
      <w:r>
        <w:rPr>
          <w:rFonts w:hint="eastAsia" w:asciiTheme="minorEastAsia" w:hAnsiTheme="minorEastAsia" w:eastAsiaTheme="minorEastAsia"/>
          <w:kern w:val="2"/>
          <w:sz w:val="32"/>
          <w:szCs w:val="32"/>
        </w:rPr>
        <w:t>工作</w:t>
      </w:r>
      <w:r>
        <w:rPr>
          <w:rFonts w:asciiTheme="minorEastAsia" w:hAnsiTheme="minorEastAsia" w:eastAsiaTheme="minorEastAsia"/>
          <w:kern w:val="2"/>
          <w:sz w:val="32"/>
          <w:szCs w:val="32"/>
        </w:rPr>
        <w:t>。</w:t>
      </w:r>
    </w:p>
    <w:p>
      <w:pPr>
        <w:spacing w:line="560" w:lineRule="exact"/>
        <w:ind w:firstLine="624" w:firstLineChars="200"/>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（二）评估思路。</w:t>
      </w:r>
    </w:p>
    <w:p>
      <w:pPr>
        <w:spacing w:line="560" w:lineRule="exact"/>
        <w:ind w:firstLine="62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全面梳理街办6个社区人员的报酬和保险、公积金进行评估，估算项目产生的经费，形成绩效目标申报表报区民政局、财政部门审批。</w:t>
      </w:r>
    </w:p>
    <w:p>
      <w:pPr>
        <w:spacing w:line="560" w:lineRule="exact"/>
        <w:ind w:firstLine="624" w:firstLineChars="200"/>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（三）评估方式、方法。</w:t>
      </w:r>
    </w:p>
    <w:p>
      <w:pPr>
        <w:spacing w:line="560" w:lineRule="exact"/>
        <w:ind w:firstLine="62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采用对照市、区两级规范性文件要求并召开座谈会方式进行评估。</w:t>
      </w:r>
    </w:p>
    <w:p>
      <w:pPr>
        <w:spacing w:line="560" w:lineRule="exact"/>
        <w:rPr>
          <w:rFonts w:cs="黑体" w:asciiTheme="minorEastAsia" w:hAnsiTheme="minorEastAsia" w:eastAsiaTheme="minorEastAsia"/>
          <w:sz w:val="32"/>
          <w:szCs w:val="32"/>
        </w:rPr>
      </w:pPr>
      <w:r>
        <w:rPr>
          <w:rFonts w:hint="eastAsia" w:cs="黑体" w:asciiTheme="minorEastAsia" w:hAnsiTheme="minorEastAsia" w:eastAsiaTheme="minorEastAsia"/>
          <w:sz w:val="32"/>
          <w:szCs w:val="32"/>
        </w:rPr>
        <w:t>三、评估内容和结论</w:t>
      </w:r>
    </w:p>
    <w:p>
      <w:pPr>
        <w:ind w:firstLine="624" w:firstLineChars="200"/>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（一）立项必要性。</w:t>
      </w:r>
    </w:p>
    <w:p>
      <w:pPr>
        <w:spacing w:line="560" w:lineRule="exact"/>
        <w:ind w:firstLine="624" w:firstLineChars="200"/>
        <w:rPr>
          <w:rFonts w:asciiTheme="minorEastAsia" w:hAnsiTheme="minorEastAsia" w:eastAsiaTheme="minorEastAsia"/>
          <w:sz w:val="32"/>
          <w:szCs w:val="32"/>
        </w:rPr>
      </w:pPr>
      <w:r>
        <w:rPr>
          <w:rFonts w:asciiTheme="minorEastAsia" w:hAnsiTheme="minorEastAsia" w:eastAsiaTheme="minorEastAsia"/>
          <w:sz w:val="32"/>
          <w:szCs w:val="32"/>
        </w:rPr>
        <w:t>符合新发展理念，</w:t>
      </w:r>
      <w:r>
        <w:rPr>
          <w:rStyle w:val="20"/>
          <w:rFonts w:asciiTheme="minorEastAsia" w:hAnsiTheme="minorEastAsia" w:eastAsiaTheme="minorEastAsia"/>
          <w:sz w:val="32"/>
          <w:szCs w:val="32"/>
        </w:rPr>
        <w:t>加大从优秀社区党组织书记、 居委会主任中定向招录公务员和从优秀社区社会工作者中选拔街道</w:t>
      </w:r>
      <w:r>
        <w:rPr>
          <w:rFonts w:asciiTheme="minorEastAsia" w:hAnsiTheme="minorEastAsia" w:eastAsiaTheme="minorEastAsia"/>
          <w:color w:val="000000"/>
          <w:sz w:val="32"/>
          <w:szCs w:val="32"/>
        </w:rPr>
        <w:br w:type="textWrapping"/>
      </w:r>
      <w:r>
        <w:rPr>
          <w:rStyle w:val="20"/>
          <w:rFonts w:asciiTheme="minorEastAsia" w:hAnsiTheme="minorEastAsia" w:eastAsiaTheme="minorEastAsia"/>
          <w:sz w:val="32"/>
          <w:szCs w:val="32"/>
        </w:rPr>
        <w:t>干部力度</w:t>
      </w:r>
      <w:r>
        <w:rPr>
          <w:rStyle w:val="20"/>
          <w:rFonts w:hint="eastAsia" w:asciiTheme="minorEastAsia" w:hAnsiTheme="minorEastAsia" w:eastAsiaTheme="minorEastAsia"/>
          <w:sz w:val="32"/>
          <w:szCs w:val="32"/>
        </w:rPr>
        <w:t>的</w:t>
      </w:r>
      <w:r>
        <w:rPr>
          <w:rFonts w:asciiTheme="minorEastAsia" w:hAnsiTheme="minorEastAsia" w:eastAsiaTheme="minorEastAsia"/>
          <w:sz w:val="32"/>
          <w:szCs w:val="32"/>
        </w:rPr>
        <w:t>需要。</w:t>
      </w:r>
    </w:p>
    <w:p>
      <w:pPr>
        <w:ind w:firstLine="624" w:firstLineChars="200"/>
        <w:rPr>
          <w:rFonts w:asciiTheme="minorEastAsia" w:hAnsiTheme="minorEastAsia" w:eastAsiaTheme="minorEastAsia"/>
          <w:sz w:val="32"/>
          <w:szCs w:val="32"/>
        </w:rPr>
      </w:pPr>
      <w:r>
        <w:rPr>
          <w:rStyle w:val="20"/>
          <w:rFonts w:asciiTheme="minorEastAsia" w:hAnsiTheme="minorEastAsia" w:eastAsiaTheme="minorEastAsia"/>
          <w:sz w:val="32"/>
          <w:szCs w:val="32"/>
        </w:rPr>
        <w:t>积极推荐符合条件的优秀社区专职工作者担任各级党代表、 人大代表和政协委员等</w:t>
      </w:r>
      <w:r>
        <w:rPr>
          <w:rStyle w:val="20"/>
          <w:rFonts w:hint="eastAsia" w:asciiTheme="minorEastAsia" w:hAnsiTheme="minorEastAsia" w:eastAsiaTheme="minorEastAsia"/>
          <w:sz w:val="32"/>
          <w:szCs w:val="32"/>
        </w:rPr>
        <w:t>。</w:t>
      </w:r>
    </w:p>
    <w:p>
      <w:pPr>
        <w:ind w:firstLine="624" w:firstLineChars="200"/>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（二）投入经济性。</w:t>
      </w:r>
    </w:p>
    <w:p>
      <w:pPr>
        <w:pStyle w:val="5"/>
        <w:ind w:firstLine="560"/>
        <w:rPr>
          <w:rFonts w:hint="eastAsia" w:asciiTheme="minorEastAsia" w:hAnsiTheme="minorEastAsia" w:eastAsiaTheme="minorEastAsia"/>
          <w:color w:val="000000"/>
          <w:sz w:val="32"/>
          <w:szCs w:val="32"/>
        </w:rPr>
      </w:pPr>
      <w:r>
        <w:rPr>
          <w:rFonts w:hint="eastAsia" w:asciiTheme="minorEastAsia" w:hAnsiTheme="minorEastAsia" w:eastAsiaTheme="minorEastAsia"/>
          <w:sz w:val="32"/>
          <w:szCs w:val="32"/>
        </w:rPr>
        <w:t>有利于</w:t>
      </w:r>
      <w:r>
        <w:rPr>
          <w:rFonts w:asciiTheme="minorEastAsia" w:hAnsiTheme="minorEastAsia" w:eastAsiaTheme="minorEastAsia"/>
          <w:color w:val="000000"/>
          <w:sz w:val="32"/>
          <w:szCs w:val="32"/>
        </w:rPr>
        <w:t>区委组织部建立社区党组织书记后备干部库， 街道（ 乡镇） 建立“两委”委员后备干部库。 选拔一批基层优秀社工骨干进入后备干部库， 尤其是纳入社区专职工作者的社工应作为社区“两委”委员后备干部人才。 同等条件下优先将有顶岗（ 交叉） 锻炼经历或取得社工师资格证的社工人才、 高校选聘的社会工作专业的毕业生和退役军人纳入后备干部队伍管理。</w:t>
      </w:r>
    </w:p>
    <w:p>
      <w:pPr>
        <w:pStyle w:val="5"/>
        <w:ind w:firstLine="560"/>
        <w:rPr>
          <w:rFonts w:asciiTheme="minorEastAsia" w:hAnsiTheme="minorEastAsia" w:eastAsiaTheme="minorEastAsia"/>
          <w:b/>
          <w:bCs/>
          <w:sz w:val="32"/>
          <w:szCs w:val="32"/>
        </w:rPr>
      </w:pPr>
      <w:r>
        <w:rPr>
          <w:rStyle w:val="20"/>
          <w:rFonts w:hint="eastAsia" w:asciiTheme="minorEastAsia" w:hAnsiTheme="minorEastAsia" w:eastAsiaTheme="minorEastAsia"/>
          <w:sz w:val="32"/>
          <w:szCs w:val="32"/>
        </w:rPr>
        <w:t>有利于</w:t>
      </w:r>
      <w:r>
        <w:rPr>
          <w:rStyle w:val="20"/>
          <w:rFonts w:asciiTheme="minorEastAsia" w:hAnsiTheme="minorEastAsia" w:eastAsiaTheme="minorEastAsia"/>
          <w:sz w:val="32"/>
          <w:szCs w:val="32"/>
        </w:rPr>
        <w:t>推行社区专职工作者</w:t>
      </w:r>
      <w:r>
        <w:rPr>
          <w:rStyle w:val="23"/>
          <w:rFonts w:asciiTheme="minorEastAsia" w:hAnsiTheme="minorEastAsia" w:eastAsiaTheme="minorEastAsia"/>
          <w:sz w:val="32"/>
          <w:szCs w:val="32"/>
        </w:rPr>
        <w:t>“</w:t>
      </w:r>
      <w:r>
        <w:rPr>
          <w:rStyle w:val="20"/>
          <w:rFonts w:asciiTheme="minorEastAsia" w:hAnsiTheme="minorEastAsia" w:eastAsiaTheme="minorEastAsia"/>
          <w:sz w:val="32"/>
          <w:szCs w:val="32"/>
        </w:rPr>
        <w:t>全岗通</w:t>
      </w:r>
      <w:r>
        <w:rPr>
          <w:rStyle w:val="23"/>
          <w:rFonts w:asciiTheme="minorEastAsia" w:hAnsiTheme="minorEastAsia" w:eastAsiaTheme="minorEastAsia"/>
          <w:sz w:val="32"/>
          <w:szCs w:val="32"/>
        </w:rPr>
        <w:t>”</w:t>
      </w:r>
      <w:r>
        <w:rPr>
          <w:rStyle w:val="20"/>
          <w:rFonts w:asciiTheme="minorEastAsia" w:hAnsiTheme="minorEastAsia" w:eastAsiaTheme="minorEastAsia"/>
          <w:sz w:val="32"/>
          <w:szCs w:val="32"/>
        </w:rPr>
        <w:t>工作机制， 建立首问负责制、 服务承诺制、 限时办结制， 健全预约服务、 延时服务、 代办服务等工作制度， 提升服务群众效率和水平</w:t>
      </w:r>
      <w:r>
        <w:rPr>
          <w:rStyle w:val="20"/>
          <w:rFonts w:hint="eastAsia" w:asciiTheme="minorEastAsia" w:hAnsiTheme="minorEastAsia" w:eastAsiaTheme="minorEastAsia"/>
          <w:sz w:val="32"/>
          <w:szCs w:val="32"/>
        </w:rPr>
        <w:t>。</w:t>
      </w:r>
    </w:p>
    <w:p>
      <w:pPr>
        <w:numPr>
          <w:ilvl w:val="0"/>
          <w:numId w:val="1"/>
        </w:numPr>
        <w:ind w:firstLine="624" w:firstLineChars="200"/>
        <w:rPr>
          <w:rFonts w:hint="eastAsia" w:asciiTheme="minorEastAsia" w:hAnsiTheme="minorEastAsia" w:eastAsiaTheme="minorEastAsia"/>
          <w:b/>
          <w:bCs/>
          <w:sz w:val="32"/>
          <w:szCs w:val="32"/>
        </w:rPr>
      </w:pPr>
      <w:r>
        <w:rPr>
          <w:rFonts w:hint="eastAsia" w:asciiTheme="minorEastAsia" w:hAnsiTheme="minorEastAsia" w:eastAsiaTheme="minorEastAsia"/>
          <w:b/>
          <w:bCs/>
          <w:sz w:val="32"/>
          <w:szCs w:val="32"/>
        </w:rPr>
        <w:t>绩效目标合理性。</w:t>
      </w:r>
    </w:p>
    <w:p>
      <w:pPr>
        <w:pStyle w:val="2"/>
        <w:ind w:firstLine="624" w:firstLineChars="200"/>
        <w:rPr>
          <w:rFonts w:asciiTheme="minorEastAsia" w:hAnsiTheme="minorEastAsia" w:eastAsiaTheme="minorEastAsia"/>
          <w:sz w:val="32"/>
          <w:szCs w:val="32"/>
        </w:rPr>
      </w:pPr>
      <w:r>
        <w:rPr>
          <w:rFonts w:cs="Times New Roman" w:asciiTheme="minorEastAsia" w:hAnsiTheme="minorEastAsia" w:eastAsiaTheme="minorEastAsia"/>
          <w:sz w:val="32"/>
          <w:szCs w:val="32"/>
        </w:rPr>
        <w:t>根据《 中共中央、 国务院关于加强和完善城乡社区治理的意见》 （ 中发〔 201 7〕 1 3 号） 、 《 中共中央办公厅印发〈 关于加强和改进城市基层党的建设工作的意见〉 的通知》 （ 中办发〔 201 9〕 30 号） 、 《 关于进一步加强和完善城乡社区治理的意见》（ 川委发〔 201 8〕 1 1 号）、《 攀枝花市社区专职工作者管理办法（ 试行） 》 （ 攀组通〔 2021 〕 29 号） 、 《 攀枝花市仁和区人民政府办公室关于调整和明确仁和区村（ 社区） 工作人员报酬的通知》 （ 攀仁府办〔 2021 〕 1 05 号） 等文件要求</w:t>
      </w:r>
      <w:r>
        <w:rPr>
          <w:rFonts w:hint="eastAsia" w:cs="Times New Roman" w:asciiTheme="minorEastAsia" w:hAnsiTheme="minorEastAsia" w:eastAsiaTheme="minorEastAsia"/>
          <w:sz w:val="32"/>
          <w:szCs w:val="32"/>
        </w:rPr>
        <w:t>。</w:t>
      </w:r>
    </w:p>
    <w:p>
      <w:pPr>
        <w:ind w:left="404" w:leftChars="200" w:firstLine="312" w:firstLineChars="100"/>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（四）筹资合规性。</w:t>
      </w:r>
    </w:p>
    <w:p>
      <w:pPr>
        <w:ind w:firstLine="62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项目所需经费列入相应年度的财政预算，按时拨付、确保到位。</w:t>
      </w:r>
    </w:p>
    <w:p>
      <w:pPr>
        <w:numPr>
          <w:ilvl w:val="0"/>
          <w:numId w:val="1"/>
        </w:numPr>
        <w:ind w:firstLine="624" w:firstLineChars="200"/>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总体结论。</w:t>
      </w:r>
    </w:p>
    <w:p>
      <w:pPr>
        <w:spacing w:line="560" w:lineRule="exact"/>
        <w:ind w:firstLine="62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保障社区正常开展各项工作，为辖区居民群众服务，做好党组织、社会经济、文化、社会保障的收集、管理工作。</w:t>
      </w:r>
    </w:p>
    <w:p>
      <w:pPr>
        <w:spacing w:line="560" w:lineRule="exact"/>
        <w:ind w:firstLine="624" w:firstLineChars="200"/>
        <w:rPr>
          <w:rFonts w:cs="黑体" w:asciiTheme="minorEastAsia" w:hAnsiTheme="minorEastAsia" w:eastAsiaTheme="minorEastAsia"/>
          <w:sz w:val="32"/>
          <w:szCs w:val="32"/>
        </w:rPr>
      </w:pPr>
      <w:r>
        <w:rPr>
          <w:rFonts w:hint="eastAsia" w:cs="黑体" w:asciiTheme="minorEastAsia" w:hAnsiTheme="minorEastAsia" w:eastAsiaTheme="minorEastAsia"/>
          <w:sz w:val="32"/>
          <w:szCs w:val="32"/>
        </w:rPr>
        <w:t>四、评估的相关建议</w:t>
      </w:r>
    </w:p>
    <w:p>
      <w:pPr>
        <w:spacing w:line="560" w:lineRule="exact"/>
        <w:ind w:firstLine="1242" w:firstLineChars="398"/>
        <w:rPr>
          <w:rFonts w:asciiTheme="minorEastAsia" w:hAnsiTheme="minorEastAsia" w:eastAsiaTheme="minorEastAsia"/>
          <w:sz w:val="32"/>
          <w:szCs w:val="32"/>
        </w:rPr>
      </w:pPr>
      <w:r>
        <w:rPr>
          <w:rFonts w:hint="eastAsia" w:asciiTheme="minorEastAsia" w:hAnsiTheme="minorEastAsia" w:eastAsiaTheme="minorEastAsia"/>
          <w:sz w:val="32"/>
          <w:szCs w:val="32"/>
        </w:rPr>
        <w:t>无</w:t>
      </w:r>
      <w:bookmarkStart w:id="0" w:name="_GoBack"/>
      <w:bookmarkEnd w:id="0"/>
    </w:p>
    <w:p>
      <w:pPr>
        <w:spacing w:line="560" w:lineRule="exact"/>
        <w:ind w:firstLine="624" w:firstLineChars="200"/>
        <w:rPr>
          <w:rFonts w:cs="黑体" w:asciiTheme="minorEastAsia" w:hAnsiTheme="minorEastAsia" w:eastAsiaTheme="minorEastAsia"/>
          <w:sz w:val="32"/>
          <w:szCs w:val="32"/>
        </w:rPr>
      </w:pPr>
      <w:r>
        <w:rPr>
          <w:rFonts w:hint="eastAsia" w:cs="黑体" w:asciiTheme="minorEastAsia" w:hAnsiTheme="minorEastAsia" w:eastAsiaTheme="minorEastAsia"/>
          <w:sz w:val="32"/>
          <w:szCs w:val="32"/>
        </w:rPr>
        <w:t>五、其他需要说明的问题</w:t>
      </w:r>
    </w:p>
    <w:p>
      <w:pPr>
        <w:spacing w:line="560" w:lineRule="exact"/>
        <w:ind w:firstLine="1242" w:firstLineChars="398"/>
        <w:rPr>
          <w:rFonts w:asciiTheme="minorEastAsia" w:hAnsiTheme="minorEastAsia" w:eastAsiaTheme="minorEastAsia"/>
          <w:sz w:val="32"/>
          <w:szCs w:val="32"/>
        </w:rPr>
      </w:pPr>
      <w:r>
        <w:rPr>
          <w:rFonts w:hint="eastAsia" w:asciiTheme="minorEastAsia" w:hAnsiTheme="minorEastAsia" w:eastAsiaTheme="minorEastAsia"/>
          <w:sz w:val="32"/>
          <w:szCs w:val="32"/>
        </w:rPr>
        <w:t>无。</w:t>
      </w:r>
    </w:p>
    <w:p>
      <w:pPr>
        <w:spacing w:line="560" w:lineRule="exact"/>
        <w:ind w:firstLine="624" w:firstLineChars="200"/>
        <w:rPr>
          <w:rFonts w:hint="eastAsia" w:cs="黑体" w:asciiTheme="minorEastAsia" w:hAnsiTheme="minorEastAsia" w:eastAsiaTheme="minorEastAsia"/>
          <w:sz w:val="32"/>
          <w:szCs w:val="32"/>
        </w:rPr>
      </w:pPr>
      <w:r>
        <w:rPr>
          <w:rFonts w:hint="eastAsia" w:cs="黑体" w:asciiTheme="minorEastAsia" w:hAnsiTheme="minorEastAsia" w:eastAsiaTheme="minorEastAsia"/>
          <w:sz w:val="32"/>
          <w:szCs w:val="32"/>
        </w:rPr>
        <w:t>六、评估人员签名</w:t>
      </w:r>
    </w:p>
    <w:p>
      <w:pPr>
        <w:pStyle w:val="2"/>
        <w:rPr>
          <w:rFonts w:hint="eastAsia"/>
        </w:rPr>
      </w:pPr>
    </w:p>
    <w:p>
      <w:pPr>
        <w:pStyle w:val="2"/>
      </w:pPr>
    </w:p>
    <w:p>
      <w:pPr>
        <w:spacing w:line="560" w:lineRule="exact"/>
        <w:ind w:firstLine="624" w:firstLineChars="200"/>
        <w:rPr>
          <w:rFonts w:cs="黑体" w:asciiTheme="minorEastAsia" w:hAnsiTheme="minorEastAsia" w:eastAsiaTheme="minorEastAsia"/>
          <w:sz w:val="32"/>
          <w:szCs w:val="32"/>
        </w:rPr>
      </w:pPr>
      <w:r>
        <w:rPr>
          <w:rFonts w:hint="eastAsia" w:cs="黑体" w:asciiTheme="minorEastAsia" w:hAnsiTheme="minorEastAsia" w:eastAsiaTheme="minorEastAsia"/>
          <w:sz w:val="32"/>
          <w:szCs w:val="32"/>
        </w:rPr>
        <w:t>七、附件材料</w:t>
      </w:r>
    </w:p>
    <w:p>
      <w:pPr>
        <w:spacing w:line="560" w:lineRule="exact"/>
        <w:ind w:firstLine="1242" w:firstLineChars="398"/>
        <w:rPr>
          <w:rFonts w:asciiTheme="minorEastAsia" w:hAnsiTheme="minorEastAsia" w:eastAsiaTheme="minorEastAsia"/>
          <w:sz w:val="32"/>
          <w:szCs w:val="32"/>
        </w:rPr>
      </w:pPr>
      <w:r>
        <w:rPr>
          <w:rFonts w:hint="eastAsia" w:asciiTheme="minorEastAsia" w:hAnsiTheme="minorEastAsia" w:eastAsiaTheme="minorEastAsia"/>
          <w:sz w:val="32"/>
          <w:szCs w:val="32"/>
        </w:rPr>
        <w:t>无</w:t>
      </w:r>
    </w:p>
    <w:p>
      <w:pPr>
        <w:ind w:firstLine="624"/>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588" w:gutter="0"/>
      <w:cols w:space="720" w:num="1"/>
      <w:docGrid w:type="linesAndChars"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FZFSK--GBK1-0">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28001"/>
    </w:sdtPr>
    <w:sdtContent>
      <w:sdt>
        <w:sdtPr>
          <w:id w:val="171357217"/>
        </w:sdtPr>
        <w:sdtContent>
          <w:p>
            <w:pPr>
              <w:pStyle w:val="7"/>
              <w:jc w:val="center"/>
            </w:pPr>
          </w:p>
        </w:sdtContent>
      </w:sdt>
    </w:sdtContent>
  </w:sdt>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Pr>
    </w:pPr>
    <w:r>
      <w:fldChar w:fldCharType="begin"/>
    </w:r>
    <w:r>
      <w:rPr>
        <w:rStyle w:val="12"/>
      </w:rPr>
      <w:instrText xml:space="preserve">PAGE  </w:instrTex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516C9"/>
    <w:multiLevelType w:val="singleLevel"/>
    <w:tmpl w:val="B69516C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677414"/>
    <w:rsid w:val="00201E3C"/>
    <w:rsid w:val="00287E96"/>
    <w:rsid w:val="002C76E2"/>
    <w:rsid w:val="00313BE7"/>
    <w:rsid w:val="003469B7"/>
    <w:rsid w:val="004115DB"/>
    <w:rsid w:val="00415AD7"/>
    <w:rsid w:val="0047604A"/>
    <w:rsid w:val="0057006B"/>
    <w:rsid w:val="00677414"/>
    <w:rsid w:val="00690440"/>
    <w:rsid w:val="007C1596"/>
    <w:rsid w:val="009A52CF"/>
    <w:rsid w:val="00C1442F"/>
    <w:rsid w:val="00C7511A"/>
    <w:rsid w:val="00CB71BC"/>
    <w:rsid w:val="00CD3720"/>
    <w:rsid w:val="00DD6C33"/>
    <w:rsid w:val="00E2440E"/>
    <w:rsid w:val="01CA12F6"/>
    <w:rsid w:val="2113295F"/>
    <w:rsid w:val="352A0874"/>
    <w:rsid w:val="5C63040C"/>
    <w:rsid w:val="5E023FC8"/>
    <w:rsid w:val="5F1C6AF3"/>
    <w:rsid w:val="5F390670"/>
    <w:rsid w:val="60573FFE"/>
    <w:rsid w:val="67732618"/>
    <w:rsid w:val="6C9417A7"/>
    <w:rsid w:val="7AC364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
    <w:qFormat/>
    <w:uiPriority w:val="0"/>
    <w:pPr>
      <w:keepNext/>
      <w:keepLines/>
      <w:spacing w:before="340" w:after="330" w:line="578" w:lineRule="auto"/>
      <w:ind w:firstLine="640" w:firstLineChars="200"/>
      <w:outlineLvl w:val="0"/>
    </w:pPr>
    <w:rPr>
      <w:rFonts w:ascii="仿宋_GB2312" w:eastAsia="仿宋_GB2312"/>
      <w:b/>
      <w:bCs/>
      <w:kern w:val="44"/>
      <w:sz w:val="44"/>
      <w:szCs w:val="44"/>
    </w:rPr>
  </w:style>
  <w:style w:type="paragraph" w:styleId="4">
    <w:name w:val="heading 2"/>
    <w:basedOn w:val="1"/>
    <w:next w:val="1"/>
    <w:link w:val="16"/>
    <w:qFormat/>
    <w:uiPriority w:val="0"/>
    <w:pPr>
      <w:keepNext/>
      <w:keepLines/>
      <w:jc w:val="center"/>
      <w:outlineLvl w:val="1"/>
    </w:pPr>
    <w:rPr>
      <w:rFonts w:ascii="Cambria" w:hAnsi="Cambria"/>
      <w:b/>
      <w:bCs/>
      <w:sz w:val="36"/>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autoSpaceDE w:val="0"/>
      <w:autoSpaceDN w:val="0"/>
      <w:jc w:val="left"/>
    </w:pPr>
    <w:rPr>
      <w:rFonts w:cs="宋体"/>
      <w:color w:val="000000"/>
      <w:sz w:val="24"/>
    </w:rPr>
  </w:style>
  <w:style w:type="paragraph" w:styleId="5">
    <w:name w:val="Normal Indent"/>
    <w:basedOn w:val="1"/>
    <w:qFormat/>
    <w:uiPriority w:val="0"/>
    <w:pPr>
      <w:ind w:firstLine="420"/>
    </w:pPr>
  </w:style>
  <w:style w:type="paragraph" w:styleId="6">
    <w:name w:val="Balloon Text"/>
    <w:basedOn w:val="1"/>
    <w:link w:val="19"/>
    <w:semiHidden/>
    <w:unhideWhenUsed/>
    <w:qFormat/>
    <w:uiPriority w:val="99"/>
    <w:rPr>
      <w:sz w:val="18"/>
      <w:szCs w:val="18"/>
    </w:rPr>
  </w:style>
  <w:style w:type="paragraph" w:styleId="7">
    <w:name w:val="footer"/>
    <w:basedOn w:val="1"/>
    <w:link w:val="18"/>
    <w:qFormat/>
    <w:uiPriority w:val="99"/>
    <w:pPr>
      <w:tabs>
        <w:tab w:val="center" w:pos="4153"/>
        <w:tab w:val="right" w:pos="8306"/>
      </w:tabs>
      <w:snapToGrid w:val="0"/>
      <w:jc w:val="left"/>
    </w:pPr>
    <w:rPr>
      <w:rFonts w:eastAsia="黑体"/>
      <w:snapToGrid w:val="0"/>
      <w:kern w:val="0"/>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uiPriority w:val="99"/>
    <w:pPr>
      <w:spacing w:beforeAutospacing="1" w:afterAutospacing="1"/>
      <w:jc w:val="left"/>
    </w:pPr>
    <w:rPr>
      <w:kern w:val="0"/>
      <w:sz w:val="24"/>
    </w:rPr>
  </w:style>
  <w:style w:type="character" w:styleId="12">
    <w:name w:val="page number"/>
    <w:basedOn w:val="11"/>
    <w:qFormat/>
    <w:uiPriority w:val="0"/>
  </w:style>
  <w:style w:type="character" w:customStyle="1" w:styleId="13">
    <w:name w:val="标题 1 Char"/>
    <w:basedOn w:val="11"/>
    <w:link w:val="3"/>
    <w:qFormat/>
    <w:uiPriority w:val="0"/>
    <w:rPr>
      <w:rFonts w:ascii="仿宋_GB2312" w:eastAsia="仿宋_GB2312"/>
      <w:b/>
      <w:bCs/>
      <w:kern w:val="44"/>
      <w:sz w:val="44"/>
      <w:szCs w:val="44"/>
    </w:rPr>
  </w:style>
  <w:style w:type="paragraph" w:customStyle="1" w:styleId="14">
    <w:name w:val="样式1"/>
    <w:basedOn w:val="1"/>
    <w:link w:val="15"/>
    <w:qFormat/>
    <w:uiPriority w:val="0"/>
    <w:pPr>
      <w:ind w:left="200" w:leftChars="100" w:right="100" w:rightChars="100"/>
      <w:jc w:val="left"/>
      <w:textAlignment w:val="baseline"/>
    </w:pPr>
    <w:rPr>
      <w:rFonts w:ascii="方正小标宋_GBK" w:hAnsi="方正小标宋简体" w:eastAsia="方正小标宋_GBK"/>
      <w:snapToGrid w:val="0"/>
      <w:color w:val="FF0000"/>
      <w:spacing w:val="-20"/>
      <w:w w:val="90"/>
      <w:kern w:val="21"/>
      <w:sz w:val="72"/>
      <w:szCs w:val="72"/>
    </w:rPr>
  </w:style>
  <w:style w:type="character" w:customStyle="1" w:styleId="15">
    <w:name w:val="样式1 Char"/>
    <w:basedOn w:val="11"/>
    <w:link w:val="14"/>
    <w:qFormat/>
    <w:uiPriority w:val="0"/>
    <w:rPr>
      <w:rFonts w:ascii="方正小标宋_GBK" w:hAnsi="方正小标宋简体" w:eastAsia="方正小标宋_GBK"/>
      <w:snapToGrid w:val="0"/>
      <w:color w:val="FF0000"/>
      <w:spacing w:val="-20"/>
      <w:w w:val="90"/>
      <w:kern w:val="21"/>
      <w:sz w:val="72"/>
      <w:szCs w:val="72"/>
    </w:rPr>
  </w:style>
  <w:style w:type="character" w:customStyle="1" w:styleId="16">
    <w:name w:val="标题 2 Char"/>
    <w:basedOn w:val="11"/>
    <w:link w:val="4"/>
    <w:qFormat/>
    <w:uiPriority w:val="0"/>
    <w:rPr>
      <w:rFonts w:ascii="Cambria" w:hAnsi="Cambria"/>
      <w:b/>
      <w:bCs/>
      <w:kern w:val="2"/>
      <w:sz w:val="36"/>
      <w:szCs w:val="24"/>
    </w:rPr>
  </w:style>
  <w:style w:type="character" w:customStyle="1" w:styleId="17">
    <w:name w:val="页眉 Char"/>
    <w:basedOn w:val="11"/>
    <w:link w:val="8"/>
    <w:qFormat/>
    <w:uiPriority w:val="0"/>
    <w:rPr>
      <w:kern w:val="2"/>
      <w:sz w:val="18"/>
      <w:szCs w:val="18"/>
    </w:rPr>
  </w:style>
  <w:style w:type="character" w:customStyle="1" w:styleId="18">
    <w:name w:val="页脚 Char"/>
    <w:basedOn w:val="11"/>
    <w:link w:val="7"/>
    <w:qFormat/>
    <w:uiPriority w:val="99"/>
    <w:rPr>
      <w:rFonts w:eastAsia="黑体"/>
      <w:snapToGrid w:val="0"/>
      <w:sz w:val="18"/>
      <w:szCs w:val="18"/>
    </w:rPr>
  </w:style>
  <w:style w:type="character" w:customStyle="1" w:styleId="19">
    <w:name w:val="批注框文本 Char"/>
    <w:basedOn w:val="11"/>
    <w:link w:val="6"/>
    <w:semiHidden/>
    <w:qFormat/>
    <w:uiPriority w:val="99"/>
    <w:rPr>
      <w:kern w:val="2"/>
      <w:sz w:val="18"/>
      <w:szCs w:val="18"/>
    </w:rPr>
  </w:style>
  <w:style w:type="character" w:customStyle="1" w:styleId="20">
    <w:name w:val="fontstyle01"/>
    <w:basedOn w:val="11"/>
    <w:qFormat/>
    <w:uiPriority w:val="0"/>
    <w:rPr>
      <w:rFonts w:hint="default" w:ascii="FZFSK--GBK1-0" w:hAnsi="FZFSK--GBK1-0"/>
      <w:color w:val="000000"/>
      <w:sz w:val="34"/>
      <w:szCs w:val="34"/>
    </w:rPr>
  </w:style>
  <w:style w:type="character" w:customStyle="1" w:styleId="21">
    <w:name w:val="fontstyle21"/>
    <w:basedOn w:val="11"/>
    <w:qFormat/>
    <w:uiPriority w:val="0"/>
    <w:rPr>
      <w:rFonts w:hint="eastAsia" w:ascii="仿宋_GB2312" w:eastAsia="仿宋_GB2312"/>
      <w:color w:val="000000"/>
      <w:sz w:val="28"/>
      <w:szCs w:val="28"/>
    </w:rPr>
  </w:style>
  <w:style w:type="character" w:customStyle="1" w:styleId="22">
    <w:name w:val="fontstyle31"/>
    <w:basedOn w:val="11"/>
    <w:qFormat/>
    <w:uiPriority w:val="0"/>
    <w:rPr>
      <w:rFonts w:hint="default" w:ascii="TimesNewRomanPSMT" w:hAnsi="TimesNewRomanPSMT"/>
      <w:color w:val="000000"/>
      <w:sz w:val="28"/>
      <w:szCs w:val="28"/>
    </w:rPr>
  </w:style>
  <w:style w:type="character" w:customStyle="1" w:styleId="23">
    <w:name w:val="fontstyle11"/>
    <w:basedOn w:val="11"/>
    <w:qFormat/>
    <w:uiPriority w:val="0"/>
    <w:rPr>
      <w:rFonts w:hint="default" w:ascii="TimesNewRomanPSMT" w:hAnsi="TimesNewRomanPSMT"/>
      <w:color w:val="000000"/>
      <w:sz w:val="34"/>
      <w:szCs w:val="3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302</Words>
  <Characters>1725</Characters>
  <Lines>14</Lines>
  <Paragraphs>4</Paragraphs>
  <TotalTime>3</TotalTime>
  <ScaleCrop>false</ScaleCrop>
  <LinksUpToDate>false</LinksUpToDate>
  <CharactersWithSpaces>2023</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2022-09-27T08:07:00Z</dcterms:created>
  <dc:creator>龙柱洵</dc:creator>
  <cp:lastModifiedBy>WPS_1654674055</cp:lastModifiedBy>
  <cp:lastPrinted>2019-12-12T03:27:00Z</cp:lastPrinted>
  <dcterms:modified xsi:type="dcterms:W3CDTF">2023-08-31T02:10:03Z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C1766711684C41C08808693AE1E6D5A9</vt:lpwstr>
  </property>
</Properties>
</file>