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4"/>
        <w:jc w:val="center"/>
        <w:rPr>
          <w:rFonts w:ascii="仿宋_GB2312" w:eastAsia="仿宋_GB2312"/>
          <w:sz w:val="32"/>
          <w:szCs w:val="32"/>
        </w:rPr>
      </w:pPr>
      <w:r>
        <w:rPr>
          <w:rFonts w:hint="eastAsia" w:ascii="黑体" w:hAnsi="黑体" w:eastAsia="黑体" w:cs="黑体"/>
          <w:sz w:val="32"/>
          <w:szCs w:val="32"/>
        </w:rPr>
        <w:t>附件2</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事前绩效评估报告</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政策或项目名称：社区干部报酬和办公费项目</w:t>
      </w:r>
    </w:p>
    <w:p>
      <w:pPr>
        <w:rPr>
          <w:rFonts w:ascii="仿宋_GB2312" w:eastAsia="仿宋_GB2312"/>
          <w:sz w:val="32"/>
          <w:szCs w:val="32"/>
        </w:rPr>
      </w:pPr>
      <w:r>
        <w:rPr>
          <w:rFonts w:hint="eastAsia" w:ascii="仿宋_GB2312" w:eastAsia="仿宋_GB2312"/>
          <w:sz w:val="32"/>
          <w:szCs w:val="32"/>
        </w:rPr>
        <w:t>单位名称（章）：大河中路街道办事处</w:t>
      </w:r>
    </w:p>
    <w:p>
      <w:pPr>
        <w:rPr>
          <w:rFonts w:ascii="仿宋_GB2312" w:eastAsia="仿宋_GB2312"/>
          <w:sz w:val="32"/>
          <w:szCs w:val="32"/>
        </w:rPr>
      </w:pPr>
      <w:r>
        <w:rPr>
          <w:rFonts w:hint="eastAsia" w:ascii="仿宋_GB2312" w:eastAsia="仿宋_GB2312"/>
          <w:sz w:val="32"/>
          <w:szCs w:val="32"/>
        </w:rPr>
        <w:t>主管部门：</w:t>
      </w:r>
    </w:p>
    <w:p>
      <w:pPr>
        <w:rPr>
          <w:rFonts w:ascii="仿宋_GB2312" w:eastAsia="仿宋_GB2312"/>
          <w:sz w:val="32"/>
          <w:szCs w:val="32"/>
        </w:rPr>
      </w:pPr>
      <w:r>
        <w:rPr>
          <w:rFonts w:hint="eastAsia" w:ascii="仿宋_GB2312" w:eastAsia="仿宋_GB2312"/>
          <w:sz w:val="32"/>
          <w:szCs w:val="32"/>
        </w:rPr>
        <w:t>评估组/评估机构（章）：</w:t>
      </w:r>
    </w:p>
    <w:p>
      <w:pPr>
        <w:rPr>
          <w:rFonts w:ascii="仿宋_GB2312" w:eastAsia="仿宋_GB2312"/>
          <w:sz w:val="32"/>
          <w:szCs w:val="32"/>
        </w:rPr>
      </w:pPr>
      <w:r>
        <w:rPr>
          <w:rFonts w:hint="eastAsia" w:ascii="仿宋_GB2312" w:eastAsia="仿宋_GB2312"/>
          <w:sz w:val="32"/>
          <w:szCs w:val="32"/>
        </w:rPr>
        <w:t>评估日期：</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br w:type="page"/>
      </w:r>
    </w:p>
    <w:p>
      <w:pPr>
        <w:pStyle w:val="4"/>
        <w:rPr>
          <w:rFonts w:ascii="方正小标宋简体" w:hAnsi="方正小标宋简体" w:eastAsia="方正小标宋简体" w:cs="方正小标宋简体"/>
          <w:b w:val="0"/>
          <w:sz w:val="44"/>
          <w:szCs w:val="44"/>
        </w:rPr>
      </w:pPr>
      <w:r>
        <w:rPr>
          <w:rFonts w:hint="eastAsia" w:ascii="方正小标宋简体" w:hAnsi="方正小标宋简体" w:eastAsia="方正小标宋简体" w:cs="方正小标宋简体"/>
          <w:b w:val="0"/>
          <w:sz w:val="44"/>
          <w:szCs w:val="44"/>
        </w:rPr>
        <w:t>事前绩效评估报告</w:t>
      </w:r>
    </w:p>
    <w:p>
      <w:pPr>
        <w:pStyle w:val="4"/>
        <w:rPr>
          <w:rFonts w:ascii="仿宋_GB2312" w:eastAsia="仿宋_GB2312"/>
          <w:sz w:val="32"/>
          <w:szCs w:val="32"/>
        </w:rPr>
      </w:pPr>
    </w:p>
    <w:p>
      <w:pPr>
        <w:spacing w:line="560" w:lineRule="exact"/>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一、评估对象</w:t>
      </w:r>
    </w:p>
    <w:p>
      <w:pPr>
        <w:ind w:firstLine="612" w:firstLineChars="196"/>
        <w:rPr>
          <w:rFonts w:asciiTheme="minorEastAsia" w:hAnsiTheme="minorEastAsia" w:eastAsiaTheme="minorEastAsia"/>
          <w:sz w:val="32"/>
          <w:szCs w:val="32"/>
        </w:rPr>
      </w:pPr>
      <w:r>
        <w:rPr>
          <w:rFonts w:hint="eastAsia" w:asciiTheme="minorEastAsia" w:hAnsiTheme="minorEastAsia" w:eastAsiaTheme="minorEastAsia"/>
          <w:b/>
          <w:bCs/>
          <w:sz w:val="32"/>
          <w:szCs w:val="32"/>
        </w:rPr>
        <w:t>政策或项目名称</w:t>
      </w:r>
      <w:r>
        <w:rPr>
          <w:rFonts w:hint="eastAsia" w:asciiTheme="minorEastAsia" w:hAnsiTheme="minorEastAsia" w:eastAsiaTheme="minorEastAsia"/>
          <w:sz w:val="32"/>
          <w:szCs w:val="32"/>
        </w:rPr>
        <w:t>：社区干部报酬和办公费项目</w:t>
      </w:r>
    </w:p>
    <w:p>
      <w:pPr>
        <w:ind w:firstLine="624" w:firstLineChars="200"/>
        <w:rPr>
          <w:rStyle w:val="20"/>
          <w:rFonts w:hint="eastAsia" w:asciiTheme="minorEastAsia" w:hAnsiTheme="minorEastAsia" w:eastAsiaTheme="minorEastAsia"/>
          <w:sz w:val="32"/>
          <w:szCs w:val="32"/>
        </w:rPr>
      </w:pPr>
      <w:r>
        <w:rPr>
          <w:rFonts w:hint="eastAsia" w:asciiTheme="minorEastAsia" w:hAnsiTheme="minorEastAsia" w:eastAsiaTheme="minorEastAsia"/>
          <w:b/>
          <w:bCs/>
          <w:sz w:val="32"/>
          <w:szCs w:val="32"/>
        </w:rPr>
        <w:t>政策或项目绩效目标：</w:t>
      </w:r>
      <w:r>
        <w:rPr>
          <w:rStyle w:val="20"/>
          <w:rFonts w:asciiTheme="minorEastAsia" w:hAnsiTheme="minorEastAsia" w:eastAsiaTheme="minorEastAsia"/>
          <w:sz w:val="32"/>
          <w:szCs w:val="32"/>
        </w:rPr>
        <w:t>为深入贯彻党的十九届四中全会精神， 全面落实省委十一届六次全会、 市委十届八次全会精神， 建设一支数量充足、 结构合理、 管理规范、 素质优良的社区专职工作者队伍</w:t>
      </w:r>
      <w:r>
        <w:rPr>
          <w:rStyle w:val="20"/>
          <w:rFonts w:hint="eastAsia" w:asciiTheme="minorEastAsia" w:hAnsiTheme="minorEastAsia" w:eastAsiaTheme="minorEastAsia"/>
          <w:sz w:val="32"/>
          <w:szCs w:val="32"/>
        </w:rPr>
        <w:t>。</w:t>
      </w:r>
      <w:r>
        <w:rPr>
          <w:rStyle w:val="20"/>
          <w:rFonts w:asciiTheme="minorEastAsia" w:hAnsiTheme="minorEastAsia" w:eastAsiaTheme="minorEastAsia"/>
          <w:sz w:val="32"/>
          <w:szCs w:val="32"/>
        </w:rPr>
        <w:t>在核定职数范围内， 纳入财政专项保障， 履行社区管理服务专门职责， 实行专职化管理的人员， 包括： 社区党组织班子专职成员、 社区居民委员会专职成员、 社区社会工作者专职人员</w:t>
      </w:r>
      <w:r>
        <w:rPr>
          <w:rStyle w:val="20"/>
          <w:rFonts w:hint="eastAsia" w:asciiTheme="minorEastAsia" w:hAnsiTheme="minorEastAsia" w:eastAsiaTheme="minorEastAsia"/>
          <w:sz w:val="32"/>
          <w:szCs w:val="32"/>
        </w:rPr>
        <w:t>，</w:t>
      </w:r>
      <w:r>
        <w:rPr>
          <w:rStyle w:val="20"/>
          <w:rFonts w:asciiTheme="minorEastAsia" w:hAnsiTheme="minorEastAsia" w:eastAsiaTheme="minorEastAsia"/>
          <w:sz w:val="32"/>
          <w:szCs w:val="32"/>
        </w:rPr>
        <w:t>按照精简高效、 科学合理原则， 综合考虑社区人口数量、 居民构成、 区域面积、 重点工作等要素， 核定社区专职工作者职数。推行社区党组织书记和居民委员会主任</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一肩挑</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和</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两委</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委员交叉任职。 全面落实社区专职工作者区级联审制度和社区党组织书记区级备案管理制度</w:t>
      </w:r>
      <w:r>
        <w:rPr>
          <w:rStyle w:val="20"/>
          <w:rFonts w:hint="eastAsia" w:asciiTheme="minorEastAsia" w:hAnsiTheme="minorEastAsia" w:eastAsiaTheme="minorEastAsia"/>
          <w:sz w:val="32"/>
          <w:szCs w:val="32"/>
        </w:rPr>
        <w:t>。</w:t>
      </w:r>
    </w:p>
    <w:p>
      <w:pPr>
        <w:ind w:firstLine="624" w:firstLineChars="200"/>
        <w:rPr>
          <w:rFonts w:asciiTheme="minorEastAsia" w:hAnsiTheme="minorEastAsia" w:eastAsiaTheme="minorEastAsia"/>
          <w:sz w:val="32"/>
          <w:szCs w:val="32"/>
        </w:rPr>
      </w:pPr>
      <w:r>
        <w:rPr>
          <w:rFonts w:hint="eastAsia" w:asciiTheme="minorEastAsia" w:hAnsiTheme="minorEastAsia" w:eastAsiaTheme="minorEastAsia"/>
          <w:b/>
          <w:bCs/>
          <w:sz w:val="32"/>
          <w:szCs w:val="32"/>
        </w:rPr>
        <w:t>政策或项目资金构成：</w:t>
      </w:r>
      <w:r>
        <w:rPr>
          <w:rStyle w:val="20"/>
          <w:rFonts w:asciiTheme="minorEastAsia" w:hAnsiTheme="minorEastAsia" w:eastAsiaTheme="minorEastAsia"/>
          <w:sz w:val="32"/>
          <w:szCs w:val="32"/>
        </w:rPr>
        <w:t>建立社区正职（ 党组织书记、 居委会主任）、社区副职（ 党组织副书记、 居委会副主任） 、 工作人员（ 其</w:t>
      </w:r>
      <w:r>
        <w:rPr>
          <w:rFonts w:asciiTheme="minorEastAsia" w:hAnsiTheme="minorEastAsia" w:eastAsiaTheme="minorEastAsia"/>
          <w:color w:val="000000"/>
          <w:sz w:val="32"/>
          <w:szCs w:val="32"/>
        </w:rPr>
        <w:t>他常职委员、 社工） “3 岗 1 2 级”岗位等级序列。 具体薪级报酬按《 攀枝花市仁和区人民政府办公室关于调整和明确仁和区村（ 社区） 工作人员报酬的通知》（ 攀仁府办〔 2021〕1 05 号） 文件执行。</w:t>
      </w:r>
      <w:r>
        <w:rPr>
          <w:rFonts w:asciiTheme="minorEastAsia" w:hAnsiTheme="minorEastAsia" w:eastAsiaTheme="minorEastAsia"/>
          <w:sz w:val="32"/>
          <w:szCs w:val="32"/>
        </w:rPr>
        <w:t xml:space="preserve">   </w:t>
      </w:r>
    </w:p>
    <w:p>
      <w:pPr>
        <w:ind w:firstLine="624" w:firstLineChars="200"/>
        <w:rPr>
          <w:rFonts w:asciiTheme="minorEastAsia" w:hAnsiTheme="minorEastAsia" w:eastAsiaTheme="minorEastAsia"/>
          <w:sz w:val="32"/>
          <w:szCs w:val="32"/>
        </w:rPr>
      </w:pPr>
      <w:r>
        <w:rPr>
          <w:rFonts w:hint="eastAsia" w:asciiTheme="minorEastAsia" w:hAnsiTheme="minorEastAsia" w:eastAsiaTheme="minorEastAsia"/>
          <w:b/>
          <w:bCs/>
          <w:sz w:val="32"/>
          <w:szCs w:val="32"/>
        </w:rPr>
        <w:t>政策或项目概况：</w:t>
      </w:r>
      <w:r>
        <w:rPr>
          <w:rStyle w:val="20"/>
          <w:rFonts w:asciiTheme="minorEastAsia" w:hAnsiTheme="minorEastAsia" w:eastAsiaTheme="minorEastAsia"/>
          <w:sz w:val="32"/>
          <w:szCs w:val="32"/>
        </w:rPr>
        <w:t>社区专职工作者报酬实行</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岗位报酬</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绩效报酬</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制度， 由市、 区财政统筹解决。岗位报酬按月发放， 由基本报酬和薪级报酬构成， 主要体现本地经济发展情况、 物价水平、 岗位职责以及个人资历等因素， 按照所聘岗位等级执行相应标准。 基本报酬由区政府按上级相关文件精神， 结合我区实际制定落实。薪级报酬根据社区专职工作者在社区任</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两委</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常职干部、社工时的工作累计年限确定， 村改居或新建社区的社区专职工作者的计算年限包括在村任</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两委</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 xml:space="preserve">常职干部的工作年限。绩效报酬主要体现社区专职工作者的实绩和贡献， 人均绩效水平按照人均岗位报酬与上年度全市城镇全部单位就业人员平均工资的差额确定。 除试用期人员外， 同一社区不同岗位之间的绩效报酬最高和最低之间的最大倍差不高于 </w:t>
      </w:r>
      <w:r>
        <w:rPr>
          <w:rStyle w:val="23"/>
          <w:rFonts w:asciiTheme="minorEastAsia" w:hAnsiTheme="minorEastAsia" w:eastAsiaTheme="minorEastAsia"/>
          <w:sz w:val="32"/>
          <w:szCs w:val="32"/>
        </w:rPr>
        <w:t xml:space="preserve">1 .5 </w:t>
      </w:r>
      <w:r>
        <w:rPr>
          <w:rStyle w:val="20"/>
          <w:rFonts w:asciiTheme="minorEastAsia" w:hAnsiTheme="minorEastAsia" w:eastAsiaTheme="minorEastAsia"/>
          <w:sz w:val="32"/>
          <w:szCs w:val="32"/>
        </w:rPr>
        <w:t>倍。 在分配绩效报酬时， 要将未纳入社区专职工作者管理的社区</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两委</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常职干部和社工的绩效报酬一并统筹。</w:t>
      </w:r>
      <w:r>
        <w:rPr>
          <w:rFonts w:asciiTheme="minorEastAsia" w:hAnsiTheme="minorEastAsia" w:eastAsiaTheme="minorEastAsia"/>
          <w:sz w:val="32"/>
          <w:szCs w:val="32"/>
        </w:rPr>
        <w:t xml:space="preserve">  </w:t>
      </w:r>
    </w:p>
    <w:p>
      <w:pPr>
        <w:spacing w:line="560" w:lineRule="exact"/>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二、事前绩效评估的基本情况</w:t>
      </w:r>
    </w:p>
    <w:p>
      <w:pPr>
        <w:spacing w:line="560" w:lineRule="exact"/>
        <w:ind w:firstLine="624"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（一）评估程序。</w:t>
      </w:r>
    </w:p>
    <w:p>
      <w:pPr>
        <w:pStyle w:val="9"/>
        <w:widowControl/>
        <w:spacing w:beforeAutospacing="0" w:afterAutospacing="0" w:line="585" w:lineRule="atLeast"/>
        <w:ind w:firstLine="624" w:firstLineChars="200"/>
        <w:jc w:val="both"/>
        <w:rPr>
          <w:rFonts w:hint="eastAsia" w:asciiTheme="minorEastAsia" w:hAnsiTheme="minorEastAsia" w:eastAsiaTheme="minorEastAsia"/>
          <w:sz w:val="32"/>
          <w:szCs w:val="32"/>
        </w:rPr>
      </w:pPr>
      <w:r>
        <w:rPr>
          <w:rFonts w:hint="eastAsia" w:asciiTheme="minorEastAsia" w:hAnsiTheme="minorEastAsia" w:eastAsiaTheme="minorEastAsia"/>
          <w:kern w:val="2"/>
          <w:sz w:val="32"/>
          <w:szCs w:val="32"/>
        </w:rPr>
        <w:t>1</w:t>
      </w:r>
      <w:r>
        <w:rPr>
          <w:rFonts w:asciiTheme="minorEastAsia" w:hAnsiTheme="minorEastAsia" w:eastAsiaTheme="minorEastAsia"/>
          <w:kern w:val="2"/>
          <w:sz w:val="32"/>
          <w:szCs w:val="32"/>
        </w:rPr>
        <w:t>、确定评估对象</w:t>
      </w:r>
      <w:r>
        <w:rPr>
          <w:rFonts w:hint="eastAsia" w:asciiTheme="minorEastAsia" w:hAnsiTheme="minorEastAsia" w:eastAsiaTheme="minorEastAsia"/>
          <w:kern w:val="2"/>
          <w:sz w:val="32"/>
          <w:szCs w:val="32"/>
        </w:rPr>
        <w:t>：</w:t>
      </w:r>
      <w:r>
        <w:rPr>
          <w:rFonts w:hint="eastAsia" w:asciiTheme="minorEastAsia" w:hAnsiTheme="minorEastAsia" w:eastAsiaTheme="minorEastAsia"/>
          <w:sz w:val="32"/>
          <w:szCs w:val="32"/>
        </w:rPr>
        <w:t>社区干部报酬和办公费项目</w:t>
      </w:r>
    </w:p>
    <w:p>
      <w:pPr>
        <w:pStyle w:val="9"/>
        <w:widowControl/>
        <w:spacing w:beforeAutospacing="0" w:afterAutospacing="0" w:line="585" w:lineRule="atLeast"/>
        <w:ind w:firstLine="624" w:firstLineChars="200"/>
        <w:jc w:val="both"/>
        <w:rPr>
          <w:rFonts w:asciiTheme="minorEastAsia" w:hAnsiTheme="minorEastAsia" w:eastAsiaTheme="minorEastAsia"/>
          <w:kern w:val="2"/>
          <w:sz w:val="32"/>
          <w:szCs w:val="32"/>
        </w:rPr>
      </w:pPr>
      <w:r>
        <w:rPr>
          <w:rFonts w:asciiTheme="minorEastAsia" w:hAnsiTheme="minorEastAsia" w:eastAsiaTheme="minorEastAsia"/>
          <w:kern w:val="2"/>
          <w:sz w:val="32"/>
          <w:szCs w:val="32"/>
        </w:rPr>
        <w:t>2、成立评估组织</w:t>
      </w:r>
      <w:r>
        <w:rPr>
          <w:rFonts w:hint="eastAsia" w:asciiTheme="minorEastAsia" w:hAnsiTheme="minorEastAsia" w:eastAsiaTheme="minorEastAsia"/>
          <w:kern w:val="2"/>
          <w:sz w:val="32"/>
          <w:szCs w:val="32"/>
        </w:rPr>
        <w:t>：</w:t>
      </w:r>
      <w:r>
        <w:rPr>
          <w:rFonts w:asciiTheme="minorEastAsia" w:hAnsiTheme="minorEastAsia" w:eastAsiaTheme="minorEastAsia"/>
          <w:kern w:val="2"/>
          <w:sz w:val="32"/>
          <w:szCs w:val="32"/>
        </w:rPr>
        <w:t>评估组</w:t>
      </w:r>
      <w:r>
        <w:rPr>
          <w:rFonts w:hint="eastAsia" w:asciiTheme="minorEastAsia" w:hAnsiTheme="minorEastAsia" w:eastAsiaTheme="minorEastAsia"/>
          <w:kern w:val="2"/>
          <w:sz w:val="32"/>
          <w:szCs w:val="32"/>
        </w:rPr>
        <w:t>由街办</w:t>
      </w:r>
      <w:r>
        <w:rPr>
          <w:rFonts w:asciiTheme="minorEastAsia" w:hAnsiTheme="minorEastAsia" w:eastAsiaTheme="minorEastAsia"/>
          <w:kern w:val="2"/>
          <w:sz w:val="32"/>
          <w:szCs w:val="32"/>
        </w:rPr>
        <w:t>领导、相关业务科室负责人、业务人员</w:t>
      </w:r>
      <w:r>
        <w:rPr>
          <w:rFonts w:hint="eastAsia" w:asciiTheme="minorEastAsia" w:hAnsiTheme="minorEastAsia" w:eastAsiaTheme="minorEastAsia"/>
          <w:kern w:val="2"/>
          <w:sz w:val="32"/>
          <w:szCs w:val="32"/>
        </w:rPr>
        <w:t>组成。</w:t>
      </w:r>
    </w:p>
    <w:p>
      <w:pPr>
        <w:pStyle w:val="9"/>
        <w:widowControl/>
        <w:spacing w:beforeAutospacing="0" w:afterAutospacing="0" w:line="585" w:lineRule="atLeast"/>
        <w:ind w:firstLine="624" w:firstLineChars="200"/>
        <w:jc w:val="both"/>
        <w:rPr>
          <w:rFonts w:asciiTheme="minorEastAsia" w:hAnsiTheme="minorEastAsia" w:eastAsiaTheme="minorEastAsia"/>
          <w:sz w:val="32"/>
          <w:szCs w:val="32"/>
        </w:rPr>
      </w:pPr>
      <w:r>
        <w:rPr>
          <w:rFonts w:hint="eastAsia" w:asciiTheme="minorEastAsia" w:hAnsiTheme="minorEastAsia" w:eastAsiaTheme="minorEastAsia"/>
          <w:kern w:val="2"/>
          <w:sz w:val="32"/>
          <w:szCs w:val="32"/>
        </w:rPr>
        <w:t>3、 启动</w:t>
      </w:r>
      <w:r>
        <w:rPr>
          <w:rFonts w:asciiTheme="minorEastAsia" w:hAnsiTheme="minorEastAsia" w:eastAsiaTheme="minorEastAsia"/>
          <w:kern w:val="2"/>
          <w:sz w:val="32"/>
          <w:szCs w:val="32"/>
        </w:rPr>
        <w:t>评估</w:t>
      </w:r>
      <w:r>
        <w:rPr>
          <w:rFonts w:hint="eastAsia" w:asciiTheme="minorEastAsia" w:hAnsiTheme="minorEastAsia" w:eastAsiaTheme="minorEastAsia"/>
          <w:kern w:val="2"/>
          <w:sz w:val="32"/>
          <w:szCs w:val="32"/>
        </w:rPr>
        <w:t>工作</w:t>
      </w:r>
      <w:r>
        <w:rPr>
          <w:rFonts w:asciiTheme="minorEastAsia" w:hAnsiTheme="minorEastAsia" w:eastAsiaTheme="minorEastAsia"/>
          <w:kern w:val="2"/>
          <w:sz w:val="32"/>
          <w:szCs w:val="32"/>
        </w:rPr>
        <w:t>。</w:t>
      </w:r>
    </w:p>
    <w:p>
      <w:pPr>
        <w:spacing w:line="560" w:lineRule="exact"/>
        <w:ind w:firstLine="624"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（二）评估思路。</w:t>
      </w:r>
    </w:p>
    <w:p>
      <w:pPr>
        <w:spacing w:line="560" w:lineRule="exact"/>
        <w:ind w:firstLine="62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全面梳理街办6个社区人员的报酬和保险、公积金进行评估，估算项目产生的经费，形成绩效目标申报表报区民政局、财政部门审批。</w:t>
      </w:r>
    </w:p>
    <w:p>
      <w:pPr>
        <w:spacing w:line="560" w:lineRule="exact"/>
        <w:ind w:firstLine="624"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（三）评估方式、方法。</w:t>
      </w:r>
    </w:p>
    <w:p>
      <w:pPr>
        <w:spacing w:line="560" w:lineRule="exact"/>
        <w:ind w:firstLine="62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采用对照市、区两级规范性文件要求并召开座谈会方式进行评估。</w:t>
      </w:r>
    </w:p>
    <w:p>
      <w:pPr>
        <w:spacing w:line="560" w:lineRule="exact"/>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三、评估内容和结论</w:t>
      </w:r>
    </w:p>
    <w:p>
      <w:pPr>
        <w:ind w:firstLine="624"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（一）立项必要性。</w:t>
      </w:r>
    </w:p>
    <w:p>
      <w:pPr>
        <w:spacing w:line="560" w:lineRule="exact"/>
        <w:ind w:firstLine="624" w:firstLineChars="200"/>
        <w:rPr>
          <w:rFonts w:asciiTheme="minorEastAsia" w:hAnsiTheme="minorEastAsia" w:eastAsiaTheme="minorEastAsia"/>
          <w:sz w:val="32"/>
          <w:szCs w:val="32"/>
        </w:rPr>
      </w:pPr>
      <w:r>
        <w:rPr>
          <w:rFonts w:asciiTheme="minorEastAsia" w:hAnsiTheme="minorEastAsia" w:eastAsiaTheme="minorEastAsia"/>
          <w:sz w:val="32"/>
          <w:szCs w:val="32"/>
        </w:rPr>
        <w:t>符合新发展理念，</w:t>
      </w:r>
      <w:r>
        <w:rPr>
          <w:rStyle w:val="20"/>
          <w:rFonts w:asciiTheme="minorEastAsia" w:hAnsiTheme="minorEastAsia" w:eastAsiaTheme="minorEastAsia"/>
          <w:sz w:val="32"/>
          <w:szCs w:val="32"/>
        </w:rPr>
        <w:t>加大从优秀社区党组织书记、 居委会主任中定向招录公务员和从优秀社区社会工作者中选拔街道</w:t>
      </w:r>
      <w:r>
        <w:rPr>
          <w:rFonts w:asciiTheme="minorEastAsia" w:hAnsiTheme="minorEastAsia" w:eastAsiaTheme="minorEastAsia"/>
          <w:color w:val="000000"/>
          <w:sz w:val="32"/>
          <w:szCs w:val="32"/>
        </w:rPr>
        <w:br w:type="textWrapping"/>
      </w:r>
      <w:r>
        <w:rPr>
          <w:rStyle w:val="20"/>
          <w:rFonts w:asciiTheme="minorEastAsia" w:hAnsiTheme="minorEastAsia" w:eastAsiaTheme="minorEastAsia"/>
          <w:sz w:val="32"/>
          <w:szCs w:val="32"/>
        </w:rPr>
        <w:t>干部力度</w:t>
      </w:r>
      <w:r>
        <w:rPr>
          <w:rStyle w:val="20"/>
          <w:rFonts w:hint="eastAsia" w:asciiTheme="minorEastAsia" w:hAnsiTheme="minorEastAsia" w:eastAsiaTheme="minorEastAsia"/>
          <w:sz w:val="32"/>
          <w:szCs w:val="32"/>
        </w:rPr>
        <w:t>的</w:t>
      </w:r>
      <w:r>
        <w:rPr>
          <w:rFonts w:asciiTheme="minorEastAsia" w:hAnsiTheme="minorEastAsia" w:eastAsiaTheme="minorEastAsia"/>
          <w:sz w:val="32"/>
          <w:szCs w:val="32"/>
        </w:rPr>
        <w:t>需要。</w:t>
      </w:r>
    </w:p>
    <w:p>
      <w:pPr>
        <w:ind w:firstLine="624" w:firstLineChars="200"/>
        <w:rPr>
          <w:rFonts w:asciiTheme="minorEastAsia" w:hAnsiTheme="minorEastAsia" w:eastAsiaTheme="minorEastAsia"/>
          <w:sz w:val="32"/>
          <w:szCs w:val="32"/>
        </w:rPr>
      </w:pPr>
      <w:r>
        <w:rPr>
          <w:rStyle w:val="20"/>
          <w:rFonts w:asciiTheme="minorEastAsia" w:hAnsiTheme="minorEastAsia" w:eastAsiaTheme="minorEastAsia"/>
          <w:sz w:val="32"/>
          <w:szCs w:val="32"/>
        </w:rPr>
        <w:t>积极推荐符合条件的优秀社区专职工作者担任各级党代表、 人大代表和政协委员等</w:t>
      </w:r>
      <w:r>
        <w:rPr>
          <w:rStyle w:val="20"/>
          <w:rFonts w:hint="eastAsia" w:asciiTheme="minorEastAsia" w:hAnsiTheme="minorEastAsia" w:eastAsiaTheme="minorEastAsia"/>
          <w:sz w:val="32"/>
          <w:szCs w:val="32"/>
        </w:rPr>
        <w:t>。</w:t>
      </w:r>
    </w:p>
    <w:p>
      <w:pPr>
        <w:ind w:firstLine="624"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（二）投入经济性。</w:t>
      </w:r>
    </w:p>
    <w:p>
      <w:pPr>
        <w:pStyle w:val="5"/>
        <w:ind w:firstLine="560"/>
        <w:rPr>
          <w:rFonts w:hint="eastAsia" w:asciiTheme="minorEastAsia" w:hAnsiTheme="minorEastAsia" w:eastAsiaTheme="minorEastAsia"/>
          <w:color w:val="000000"/>
          <w:sz w:val="32"/>
          <w:szCs w:val="32"/>
        </w:rPr>
      </w:pPr>
      <w:r>
        <w:rPr>
          <w:rFonts w:hint="eastAsia" w:asciiTheme="minorEastAsia" w:hAnsiTheme="minorEastAsia" w:eastAsiaTheme="minorEastAsia"/>
          <w:sz w:val="32"/>
          <w:szCs w:val="32"/>
        </w:rPr>
        <w:t>有利于</w:t>
      </w:r>
      <w:r>
        <w:rPr>
          <w:rFonts w:asciiTheme="minorEastAsia" w:hAnsiTheme="minorEastAsia" w:eastAsiaTheme="minorEastAsia"/>
          <w:color w:val="000000"/>
          <w:sz w:val="32"/>
          <w:szCs w:val="32"/>
        </w:rPr>
        <w:t>区委组织部建立社区党组织书记后备干部库， 街道（ 乡镇） 建立“两委”委员后备干部库。 选拔一批基层优秀社工骨干进入后备干部库， 尤其是纳入社区专职工作者的社工应作为社区“两委”委员后备干部人才。 同等条件下优先将有顶岗（ 交叉） 锻炼经历或取得社工师资格证的社工人才、 高校选聘的社会工作专业的毕业生和退役军人纳入后备干部队伍管理。</w:t>
      </w:r>
    </w:p>
    <w:p>
      <w:pPr>
        <w:pStyle w:val="5"/>
        <w:ind w:firstLine="560"/>
        <w:rPr>
          <w:rFonts w:asciiTheme="minorEastAsia" w:hAnsiTheme="minorEastAsia" w:eastAsiaTheme="minorEastAsia"/>
          <w:b/>
          <w:bCs/>
          <w:sz w:val="32"/>
          <w:szCs w:val="32"/>
        </w:rPr>
      </w:pPr>
      <w:r>
        <w:rPr>
          <w:rStyle w:val="20"/>
          <w:rFonts w:hint="eastAsia" w:asciiTheme="minorEastAsia" w:hAnsiTheme="minorEastAsia" w:eastAsiaTheme="minorEastAsia"/>
          <w:sz w:val="32"/>
          <w:szCs w:val="32"/>
        </w:rPr>
        <w:t>有利于</w:t>
      </w:r>
      <w:r>
        <w:rPr>
          <w:rStyle w:val="20"/>
          <w:rFonts w:asciiTheme="minorEastAsia" w:hAnsiTheme="minorEastAsia" w:eastAsiaTheme="minorEastAsia"/>
          <w:sz w:val="32"/>
          <w:szCs w:val="32"/>
        </w:rPr>
        <w:t>推行社区专职工作者</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全岗通</w:t>
      </w:r>
      <w:r>
        <w:rPr>
          <w:rStyle w:val="23"/>
          <w:rFonts w:asciiTheme="minorEastAsia" w:hAnsiTheme="minorEastAsia" w:eastAsiaTheme="minorEastAsia"/>
          <w:sz w:val="32"/>
          <w:szCs w:val="32"/>
        </w:rPr>
        <w:t>”</w:t>
      </w:r>
      <w:r>
        <w:rPr>
          <w:rStyle w:val="20"/>
          <w:rFonts w:asciiTheme="minorEastAsia" w:hAnsiTheme="minorEastAsia" w:eastAsiaTheme="minorEastAsia"/>
          <w:sz w:val="32"/>
          <w:szCs w:val="32"/>
        </w:rPr>
        <w:t>工作机制， 建立首问负责制、 服务承诺制、 限时办结制， 健全预约服务、 延时服务、 代办服务等工作制度， 提升服务群众效率和水平</w:t>
      </w:r>
      <w:r>
        <w:rPr>
          <w:rStyle w:val="20"/>
          <w:rFonts w:hint="eastAsia" w:asciiTheme="minorEastAsia" w:hAnsiTheme="minorEastAsia" w:eastAsiaTheme="minorEastAsia"/>
          <w:sz w:val="32"/>
          <w:szCs w:val="32"/>
        </w:rPr>
        <w:t>。</w:t>
      </w:r>
    </w:p>
    <w:p>
      <w:pPr>
        <w:numPr>
          <w:ilvl w:val="0"/>
          <w:numId w:val="1"/>
        </w:numPr>
        <w:ind w:firstLine="624" w:firstLineChars="200"/>
        <w:rPr>
          <w:rFonts w:hint="eastAsia" w:asciiTheme="minorEastAsia" w:hAnsiTheme="minorEastAsia" w:eastAsiaTheme="minorEastAsia"/>
          <w:b/>
          <w:bCs/>
          <w:sz w:val="32"/>
          <w:szCs w:val="32"/>
        </w:rPr>
      </w:pPr>
      <w:r>
        <w:rPr>
          <w:rFonts w:hint="eastAsia" w:asciiTheme="minorEastAsia" w:hAnsiTheme="minorEastAsia" w:eastAsiaTheme="minorEastAsia"/>
          <w:b/>
          <w:bCs/>
          <w:sz w:val="32"/>
          <w:szCs w:val="32"/>
        </w:rPr>
        <w:t>绩效目标合理性。</w:t>
      </w:r>
    </w:p>
    <w:p>
      <w:pPr>
        <w:pStyle w:val="2"/>
        <w:ind w:firstLine="624" w:firstLineChars="200"/>
        <w:rPr>
          <w:rFonts w:asciiTheme="minorEastAsia" w:hAnsiTheme="minorEastAsia" w:eastAsiaTheme="minorEastAsia"/>
          <w:sz w:val="32"/>
          <w:szCs w:val="32"/>
        </w:rPr>
      </w:pPr>
      <w:r>
        <w:rPr>
          <w:rFonts w:cs="Times New Roman" w:asciiTheme="minorEastAsia" w:hAnsiTheme="minorEastAsia" w:eastAsiaTheme="minorEastAsia"/>
          <w:sz w:val="32"/>
          <w:szCs w:val="32"/>
        </w:rPr>
        <w:t>根据《 中共中央、 国务院关于加强和完善城乡社区治理的意见》 （ 中发〔 201 7〕 1 3 号） 、 《 中共中央办公厅印发〈 关于加强和改进城市基层党的建设工作的意见〉 的通知》 （ 中办发〔 201 9〕 30 号） 、 《 关于进一步加强和完善城乡社区治理的意见》（ 川委发〔 201 8〕 1 1 号）、《 攀枝花市社区专职工作者管理办法（ 试行） 》 （ 攀组通〔 2021 〕 29 号） 、 《 攀枝花市仁和区人民政府办公室关于调整和明确仁和区村（ 社区） 工作人员报酬的通知》 （ 攀仁府办〔 2021 〕 1 05 号） 等文件要求</w:t>
      </w:r>
      <w:r>
        <w:rPr>
          <w:rFonts w:hint="eastAsia" w:cs="Times New Roman" w:asciiTheme="minorEastAsia" w:hAnsiTheme="minorEastAsia" w:eastAsiaTheme="minorEastAsia"/>
          <w:sz w:val="32"/>
          <w:szCs w:val="32"/>
        </w:rPr>
        <w:t>。</w:t>
      </w:r>
    </w:p>
    <w:p>
      <w:pPr>
        <w:ind w:left="404" w:leftChars="200" w:firstLine="312" w:firstLineChars="1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（四）筹资合规性。</w:t>
      </w:r>
    </w:p>
    <w:p>
      <w:pPr>
        <w:ind w:firstLine="624"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项目所需经费列入相应年度的财政预算，按时拨付、确保到位。</w:t>
      </w:r>
    </w:p>
    <w:p>
      <w:pPr>
        <w:numPr>
          <w:ilvl w:val="0"/>
          <w:numId w:val="1"/>
        </w:numPr>
        <w:ind w:firstLine="624" w:firstLineChars="200"/>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总体结论。</w:t>
      </w:r>
    </w:p>
    <w:p>
      <w:pPr>
        <w:spacing w:line="560" w:lineRule="exact"/>
        <w:ind w:firstLine="624"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保障社区正常开展各项工作，为辖区居民群众服务，做好党组织、社会经济、文化、社会保障的收集、管理工作。</w:t>
      </w:r>
    </w:p>
    <w:p>
      <w:pPr>
        <w:spacing w:line="560" w:lineRule="exact"/>
        <w:ind w:firstLine="624"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四、评估的相关建议</w:t>
      </w:r>
    </w:p>
    <w:p>
      <w:pPr>
        <w:spacing w:line="560" w:lineRule="exact"/>
        <w:ind w:firstLine="1242" w:firstLineChars="398"/>
        <w:rPr>
          <w:rFonts w:asciiTheme="minorEastAsia" w:hAnsiTheme="minorEastAsia" w:eastAsiaTheme="minorEastAsia"/>
          <w:sz w:val="32"/>
          <w:szCs w:val="32"/>
        </w:rPr>
      </w:pPr>
      <w:r>
        <w:rPr>
          <w:rFonts w:hint="eastAsia" w:asciiTheme="minorEastAsia" w:hAnsiTheme="minorEastAsia" w:eastAsiaTheme="minorEastAsia"/>
          <w:sz w:val="32"/>
          <w:szCs w:val="32"/>
        </w:rPr>
        <w:t>无</w:t>
      </w:r>
      <w:bookmarkStart w:id="0" w:name="_GoBack"/>
      <w:bookmarkEnd w:id="0"/>
    </w:p>
    <w:p>
      <w:pPr>
        <w:spacing w:line="560" w:lineRule="exact"/>
        <w:ind w:firstLine="624"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五、其他需要说明的问题</w:t>
      </w:r>
    </w:p>
    <w:p>
      <w:pPr>
        <w:spacing w:line="560" w:lineRule="exact"/>
        <w:ind w:firstLine="1242" w:firstLineChars="398"/>
        <w:rPr>
          <w:rFonts w:asciiTheme="minorEastAsia" w:hAnsiTheme="minorEastAsia" w:eastAsiaTheme="minorEastAsia"/>
          <w:sz w:val="32"/>
          <w:szCs w:val="32"/>
        </w:rPr>
      </w:pPr>
      <w:r>
        <w:rPr>
          <w:rFonts w:hint="eastAsia" w:asciiTheme="minorEastAsia" w:hAnsiTheme="minorEastAsia" w:eastAsiaTheme="minorEastAsia"/>
          <w:sz w:val="32"/>
          <w:szCs w:val="32"/>
        </w:rPr>
        <w:t>无。</w:t>
      </w:r>
    </w:p>
    <w:p>
      <w:pPr>
        <w:spacing w:line="560" w:lineRule="exact"/>
        <w:ind w:firstLine="624" w:firstLineChars="200"/>
        <w:rPr>
          <w:rFonts w:hint="eastAsia" w:cs="黑体" w:asciiTheme="minorEastAsia" w:hAnsiTheme="minorEastAsia" w:eastAsiaTheme="minorEastAsia"/>
          <w:sz w:val="32"/>
          <w:szCs w:val="32"/>
        </w:rPr>
      </w:pPr>
      <w:r>
        <w:rPr>
          <w:rFonts w:hint="eastAsia" w:cs="黑体" w:asciiTheme="minorEastAsia" w:hAnsiTheme="minorEastAsia" w:eastAsiaTheme="minorEastAsia"/>
          <w:sz w:val="32"/>
          <w:szCs w:val="32"/>
        </w:rPr>
        <w:t>六、评估人员签名</w:t>
      </w:r>
    </w:p>
    <w:p>
      <w:pPr>
        <w:pStyle w:val="2"/>
        <w:rPr>
          <w:rFonts w:hint="eastAsia"/>
        </w:rPr>
      </w:pPr>
    </w:p>
    <w:p>
      <w:pPr>
        <w:pStyle w:val="2"/>
      </w:pPr>
    </w:p>
    <w:p>
      <w:pPr>
        <w:spacing w:line="560" w:lineRule="exact"/>
        <w:ind w:firstLine="624" w:firstLineChars="200"/>
        <w:rPr>
          <w:rFonts w:cs="黑体" w:asciiTheme="minorEastAsia" w:hAnsiTheme="minorEastAsia" w:eastAsiaTheme="minorEastAsia"/>
          <w:sz w:val="32"/>
          <w:szCs w:val="32"/>
        </w:rPr>
      </w:pPr>
      <w:r>
        <w:rPr>
          <w:rFonts w:hint="eastAsia" w:cs="黑体" w:asciiTheme="minorEastAsia" w:hAnsiTheme="minorEastAsia" w:eastAsiaTheme="minorEastAsia"/>
          <w:sz w:val="32"/>
          <w:szCs w:val="32"/>
        </w:rPr>
        <w:t>七、附件材料</w:t>
      </w:r>
    </w:p>
    <w:p>
      <w:pPr>
        <w:spacing w:line="560" w:lineRule="exact"/>
        <w:ind w:firstLine="1242" w:firstLineChars="398"/>
        <w:rPr>
          <w:rFonts w:asciiTheme="minorEastAsia" w:hAnsiTheme="minorEastAsia" w:eastAsiaTheme="minorEastAsia"/>
          <w:sz w:val="32"/>
          <w:szCs w:val="32"/>
        </w:rPr>
      </w:pPr>
      <w:r>
        <w:rPr>
          <w:rFonts w:hint="eastAsia" w:asciiTheme="minorEastAsia" w:hAnsiTheme="minorEastAsia" w:eastAsiaTheme="minorEastAsia"/>
          <w:sz w:val="32"/>
          <w:szCs w:val="32"/>
        </w:rPr>
        <w:t>无</w:t>
      </w:r>
    </w:p>
    <w:p>
      <w:pPr>
        <w:ind w:firstLine="624"/>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1588" w:gutter="0"/>
      <w:cols w:space="720" w:num="1"/>
      <w:docGrid w:type="linesAndChars" w:linePitch="602"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28001"/>
    </w:sdtPr>
    <w:sdtContent>
      <w:sdt>
        <w:sdtPr>
          <w:id w:val="171357217"/>
        </w:sdtPr>
        <w:sdtContent>
          <w:p>
            <w:pPr>
              <w:pStyle w:val="7"/>
              <w:jc w:val="center"/>
            </w:pPr>
          </w:p>
        </w:sdtContent>
      </w:sdt>
    </w:sdtContent>
  </w:sdt>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fldChar w:fldCharType="begin"/>
    </w:r>
    <w:r>
      <w:rPr>
        <w:rStyle w:val="12"/>
      </w:rPr>
      <w:instrText xml:space="preserve">PAGE  </w:instrTex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516C9"/>
    <w:multiLevelType w:val="singleLevel"/>
    <w:tmpl w:val="B69516C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677414"/>
    <w:rsid w:val="00201E3C"/>
    <w:rsid w:val="00287E96"/>
    <w:rsid w:val="002C76E2"/>
    <w:rsid w:val="00313BE7"/>
    <w:rsid w:val="003469B7"/>
    <w:rsid w:val="004115DB"/>
    <w:rsid w:val="00415AD7"/>
    <w:rsid w:val="0047604A"/>
    <w:rsid w:val="0057006B"/>
    <w:rsid w:val="00677414"/>
    <w:rsid w:val="00690440"/>
    <w:rsid w:val="007C1596"/>
    <w:rsid w:val="009A52CF"/>
    <w:rsid w:val="00C1442F"/>
    <w:rsid w:val="00C7511A"/>
    <w:rsid w:val="00CB71BC"/>
    <w:rsid w:val="00CD3720"/>
    <w:rsid w:val="00DD6C33"/>
    <w:rsid w:val="00E2440E"/>
    <w:rsid w:val="01CA12F6"/>
    <w:rsid w:val="2113295F"/>
    <w:rsid w:val="352A0874"/>
    <w:rsid w:val="5C63040C"/>
    <w:rsid w:val="5E023FC8"/>
    <w:rsid w:val="5F1C6AF3"/>
    <w:rsid w:val="5F390670"/>
    <w:rsid w:val="60573FFE"/>
    <w:rsid w:val="67732618"/>
    <w:rsid w:val="6C9417A7"/>
    <w:rsid w:val="7AC36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after="330" w:line="578" w:lineRule="auto"/>
      <w:ind w:firstLine="640" w:firstLineChars="200"/>
      <w:outlineLvl w:val="0"/>
    </w:pPr>
    <w:rPr>
      <w:rFonts w:ascii="仿宋_GB2312" w:eastAsia="仿宋_GB2312"/>
      <w:b/>
      <w:bCs/>
      <w:kern w:val="44"/>
      <w:sz w:val="44"/>
      <w:szCs w:val="44"/>
    </w:rPr>
  </w:style>
  <w:style w:type="paragraph" w:styleId="4">
    <w:name w:val="heading 2"/>
    <w:basedOn w:val="1"/>
    <w:next w:val="1"/>
    <w:link w:val="16"/>
    <w:qFormat/>
    <w:uiPriority w:val="0"/>
    <w:pPr>
      <w:keepNext/>
      <w:keepLines/>
      <w:jc w:val="center"/>
      <w:outlineLvl w:val="1"/>
    </w:pPr>
    <w:rPr>
      <w:rFonts w:ascii="Cambria" w:hAnsi="Cambria"/>
      <w:b/>
      <w:bCs/>
      <w:sz w:val="36"/>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jc w:val="left"/>
    </w:pPr>
    <w:rPr>
      <w:rFonts w:cs="宋体"/>
      <w:color w:val="000000"/>
      <w:sz w:val="24"/>
    </w:rPr>
  </w:style>
  <w:style w:type="paragraph" w:styleId="5">
    <w:name w:val="Normal Indent"/>
    <w:basedOn w:val="1"/>
    <w:qFormat/>
    <w:uiPriority w:val="0"/>
    <w:pPr>
      <w:ind w:firstLine="420"/>
    </w:pPr>
  </w:style>
  <w:style w:type="paragraph" w:styleId="6">
    <w:name w:val="Balloon Text"/>
    <w:basedOn w:val="1"/>
    <w:link w:val="19"/>
    <w:semiHidden/>
    <w:unhideWhenUsed/>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eastAsia="黑体"/>
      <w:snapToGrid w:val="0"/>
      <w:kern w:val="0"/>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uiPriority w:val="99"/>
    <w:pPr>
      <w:spacing w:beforeAutospacing="1" w:afterAutospacing="1"/>
      <w:jc w:val="left"/>
    </w:pPr>
    <w:rPr>
      <w:kern w:val="0"/>
      <w:sz w:val="24"/>
    </w:rPr>
  </w:style>
  <w:style w:type="character" w:styleId="12">
    <w:name w:val="page number"/>
    <w:basedOn w:val="11"/>
    <w:qFormat/>
    <w:uiPriority w:val="0"/>
  </w:style>
  <w:style w:type="character" w:customStyle="1" w:styleId="13">
    <w:name w:val="标题 1 Char"/>
    <w:basedOn w:val="11"/>
    <w:link w:val="3"/>
    <w:qFormat/>
    <w:uiPriority w:val="0"/>
    <w:rPr>
      <w:rFonts w:ascii="仿宋_GB2312" w:eastAsia="仿宋_GB2312"/>
      <w:b/>
      <w:bCs/>
      <w:kern w:val="44"/>
      <w:sz w:val="44"/>
      <w:szCs w:val="44"/>
    </w:rPr>
  </w:style>
  <w:style w:type="paragraph" w:customStyle="1" w:styleId="14">
    <w:name w:val="样式1"/>
    <w:basedOn w:val="1"/>
    <w:link w:val="15"/>
    <w:qFormat/>
    <w:uiPriority w:val="0"/>
    <w:pPr>
      <w:ind w:left="200" w:leftChars="100" w:right="100" w:rightChars="100"/>
      <w:jc w:val="left"/>
      <w:textAlignment w:val="baseline"/>
    </w:pPr>
    <w:rPr>
      <w:rFonts w:ascii="方正小标宋_GBK" w:hAnsi="方正小标宋简体" w:eastAsia="方正小标宋_GBK"/>
      <w:snapToGrid w:val="0"/>
      <w:color w:val="FF0000"/>
      <w:spacing w:val="-20"/>
      <w:w w:val="90"/>
      <w:kern w:val="21"/>
      <w:sz w:val="72"/>
      <w:szCs w:val="72"/>
    </w:rPr>
  </w:style>
  <w:style w:type="character" w:customStyle="1" w:styleId="15">
    <w:name w:val="样式1 Char"/>
    <w:basedOn w:val="11"/>
    <w:link w:val="14"/>
    <w:qFormat/>
    <w:uiPriority w:val="0"/>
    <w:rPr>
      <w:rFonts w:ascii="方正小标宋_GBK" w:hAnsi="方正小标宋简体" w:eastAsia="方正小标宋_GBK"/>
      <w:snapToGrid w:val="0"/>
      <w:color w:val="FF0000"/>
      <w:spacing w:val="-20"/>
      <w:w w:val="90"/>
      <w:kern w:val="21"/>
      <w:sz w:val="72"/>
      <w:szCs w:val="72"/>
    </w:rPr>
  </w:style>
  <w:style w:type="character" w:customStyle="1" w:styleId="16">
    <w:name w:val="标题 2 Char"/>
    <w:basedOn w:val="11"/>
    <w:link w:val="4"/>
    <w:qFormat/>
    <w:uiPriority w:val="0"/>
    <w:rPr>
      <w:rFonts w:ascii="Cambria" w:hAnsi="Cambria"/>
      <w:b/>
      <w:bCs/>
      <w:kern w:val="2"/>
      <w:sz w:val="36"/>
      <w:szCs w:val="24"/>
    </w:rPr>
  </w:style>
  <w:style w:type="character" w:customStyle="1" w:styleId="17">
    <w:name w:val="页眉 Char"/>
    <w:basedOn w:val="11"/>
    <w:link w:val="8"/>
    <w:qFormat/>
    <w:uiPriority w:val="0"/>
    <w:rPr>
      <w:kern w:val="2"/>
      <w:sz w:val="18"/>
      <w:szCs w:val="18"/>
    </w:rPr>
  </w:style>
  <w:style w:type="character" w:customStyle="1" w:styleId="18">
    <w:name w:val="页脚 Char"/>
    <w:basedOn w:val="11"/>
    <w:link w:val="7"/>
    <w:qFormat/>
    <w:uiPriority w:val="99"/>
    <w:rPr>
      <w:rFonts w:eastAsia="黑体"/>
      <w:snapToGrid w:val="0"/>
      <w:sz w:val="18"/>
      <w:szCs w:val="18"/>
    </w:rPr>
  </w:style>
  <w:style w:type="character" w:customStyle="1" w:styleId="19">
    <w:name w:val="批注框文本 Char"/>
    <w:basedOn w:val="11"/>
    <w:link w:val="6"/>
    <w:semiHidden/>
    <w:qFormat/>
    <w:uiPriority w:val="99"/>
    <w:rPr>
      <w:kern w:val="2"/>
      <w:sz w:val="18"/>
      <w:szCs w:val="18"/>
    </w:rPr>
  </w:style>
  <w:style w:type="character" w:customStyle="1" w:styleId="20">
    <w:name w:val="fontstyle01"/>
    <w:basedOn w:val="11"/>
    <w:qFormat/>
    <w:uiPriority w:val="0"/>
    <w:rPr>
      <w:rFonts w:hint="default" w:ascii="FZFSK--GBK1-0" w:hAnsi="FZFSK--GBK1-0"/>
      <w:color w:val="000000"/>
      <w:sz w:val="34"/>
      <w:szCs w:val="34"/>
    </w:rPr>
  </w:style>
  <w:style w:type="character" w:customStyle="1" w:styleId="21">
    <w:name w:val="fontstyle21"/>
    <w:basedOn w:val="11"/>
    <w:qFormat/>
    <w:uiPriority w:val="0"/>
    <w:rPr>
      <w:rFonts w:hint="eastAsia" w:ascii="仿宋_GB2312" w:eastAsia="仿宋_GB2312"/>
      <w:color w:val="000000"/>
      <w:sz w:val="28"/>
      <w:szCs w:val="28"/>
    </w:rPr>
  </w:style>
  <w:style w:type="character" w:customStyle="1" w:styleId="22">
    <w:name w:val="fontstyle31"/>
    <w:basedOn w:val="11"/>
    <w:qFormat/>
    <w:uiPriority w:val="0"/>
    <w:rPr>
      <w:rFonts w:hint="default" w:ascii="TimesNewRomanPSMT" w:hAnsi="TimesNewRomanPSMT"/>
      <w:color w:val="000000"/>
      <w:sz w:val="28"/>
      <w:szCs w:val="28"/>
    </w:rPr>
  </w:style>
  <w:style w:type="character" w:customStyle="1" w:styleId="23">
    <w:name w:val="fontstyle11"/>
    <w:basedOn w:val="11"/>
    <w:qFormat/>
    <w:uiPriority w:val="0"/>
    <w:rPr>
      <w:rFonts w:hint="default" w:ascii="TimesNewRomanPSMT" w:hAnsi="TimesNewRomanPSMT"/>
      <w:color w:val="000000"/>
      <w:sz w:val="34"/>
      <w:szCs w:val="3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302</Words>
  <Characters>1725</Characters>
  <Lines>14</Lines>
  <Paragraphs>4</Paragraphs>
  <TotalTime>3</TotalTime>
  <ScaleCrop>false</ScaleCrop>
  <LinksUpToDate>false</LinksUpToDate>
  <CharactersWithSpaces>2023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2022-09-27T08:07:00Z</dcterms:created>
  <dc:creator>龙柱洵</dc:creator>
  <cp:lastModifiedBy>WPS_1654674055</cp:lastModifiedBy>
  <cp:lastPrinted>2019-12-12T03:27:00Z</cp:lastPrinted>
  <dcterms:modified xsi:type="dcterms:W3CDTF">2023-08-31T02:10:03Z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C1766711684C41C08808693AE1E6D5A9</vt:lpwstr>
  </property>
</Properties>
</file>