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预算项目支出绩效自评报告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（农村公路车购税资金）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2022年对仁和辖区撤并建制村畅通工程，完成2.2公里路面硬化，投资77.6万元。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完成路面硬化工程，改善交通运输条件，带动经济发展，完成“十四五”现代综合交通运输体系发展规划任务。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楷体_GB2312"/>
          <w:lang w:val="en-US"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仿宋_GB2312" w:hAnsi="宋体"/>
          <w:lang w:val="en-US"/>
        </w:rPr>
      </w:pPr>
      <w:r>
        <w:rPr>
          <w:rFonts w:hint="eastAsia"/>
          <w:kern w:val="0"/>
          <w:sz w:val="32"/>
          <w:szCs w:val="32"/>
          <w:lang w:val="en-US" w:eastAsia="zh-CN"/>
        </w:rPr>
        <w:t>根据攀仁财资经建【2022】4号文件，依据相关文件规定对我单位2022年农村公路建设第一批中央车购税投资计划（太平先锋村及同德马拉所村撤并建制村通硬化路项目）列入预算编报中。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/>
          <w:kern w:val="0"/>
          <w:sz w:val="32"/>
          <w:szCs w:val="32"/>
          <w:lang w:val="en-US" w:eastAsia="zh-CN"/>
        </w:rPr>
        <w:t>根据攀仁财资经建【2022】4号文件，2022年农村公路建设第一批中央车购税投资计划（太平先锋村及同德马拉所村撤并建制村通硬化路项目）依据相关文件规定对列入预算编报中。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财政拨款</w:t>
      </w:r>
      <w:r>
        <w:rPr>
          <w:rFonts w:hint="eastAsia"/>
          <w:kern w:val="0"/>
          <w:sz w:val="32"/>
          <w:szCs w:val="32"/>
          <w:lang w:val="en-US" w:eastAsia="zh-CN"/>
        </w:rPr>
        <w:t>77.6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万元，</w:t>
      </w:r>
      <w:r>
        <w:rPr>
          <w:rFonts w:hint="eastAsia"/>
          <w:kern w:val="0"/>
          <w:sz w:val="32"/>
          <w:szCs w:val="32"/>
          <w:lang w:val="en-US" w:eastAsia="zh-CN"/>
        </w:rPr>
        <w:t>于2022年1月下达资金，资金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全部到位</w:t>
      </w:r>
      <w:r>
        <w:rPr>
          <w:rFonts w:hint="eastAsia"/>
          <w:kern w:val="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我单位在财务管理、项目资金管理制度健全，财务人员严格执行财务管理制度，账务处理及时，会计核算规范，完善单位的内控制度，确保会计工作的完整性、真实性。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eastAsia="楷体_GB2312"/>
          <w:kern w:val="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ascii="Times New Roman" w:hAnsi="Times New Roman" w:eastAsia="仿宋_GB2312"/>
          <w:kern w:val="0"/>
          <w:sz w:val="32"/>
          <w:szCs w:val="32"/>
        </w:rPr>
        <w:t>结合项目特点，总体评价</w:t>
      </w:r>
      <w:r>
        <w:rPr>
          <w:rFonts w:hint="eastAsia"/>
          <w:kern w:val="0"/>
          <w:sz w:val="32"/>
          <w:szCs w:val="32"/>
          <w:lang w:eastAsia="zh-CN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项目实施单位执行相关法律法规及项目管理制度等情况，如招投标、政府采购、项目公示制等相关规定。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ascii="Times New Roman" w:hAnsi="Times New Roman" w:eastAsia="仿宋_GB2312"/>
          <w:kern w:val="0"/>
          <w:sz w:val="32"/>
          <w:szCs w:val="32"/>
        </w:rPr>
        <w:t>项目主管部门为加强项目管理所采取的监管手段、监管程序、监管工作开展情况及实现的效果等。</w:t>
      </w: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宋体"/>
          <w:lang w:val="zh-CN"/>
        </w:rPr>
        <w:t>新建2</w:t>
      </w:r>
      <w:r>
        <w:rPr>
          <w:rFonts w:hint="eastAsia" w:ascii="仿宋_GB2312" w:hAnsi="宋体"/>
          <w:lang w:val="en-US" w:eastAsia="zh-CN"/>
        </w:rPr>
        <w:t>.2</w:t>
      </w:r>
      <w:r>
        <w:rPr>
          <w:rFonts w:hint="eastAsia" w:ascii="仿宋_GB2312" w:hAnsi="宋体"/>
          <w:lang w:val="zh-CN"/>
        </w:rPr>
        <w:t>公里（太平先锋村0.8公里，同德马拉所村1.4公里），</w:t>
      </w:r>
      <w:r>
        <w:rPr>
          <w:rFonts w:hint="eastAsia" w:ascii="仿宋_GB2312" w:hAnsi="宋体"/>
          <w:lang w:val="en-US" w:eastAsia="zh-CN"/>
        </w:rPr>
        <w:t>3</w:t>
      </w:r>
      <w:r>
        <w:rPr>
          <w:rFonts w:hint="eastAsia" w:ascii="仿宋_GB2312" w:hAnsi="宋体"/>
          <w:lang w:val="zh-CN"/>
        </w:rPr>
        <w:t>.5米宽水泥混凝土路面。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根据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要求达到国际性强制性技术标准，路面3.5米宽，抗折4.5兆帕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/>
          <w:kern w:val="0"/>
          <w:sz w:val="32"/>
          <w:szCs w:val="32"/>
          <w:lang w:val="en-US" w:eastAsia="zh-CN"/>
        </w:rPr>
        <w:t>农村公路建设第一批中央车购税投资计划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</w:t>
      </w:r>
      <w:r>
        <w:rPr>
          <w:rFonts w:hint="eastAsia"/>
          <w:kern w:val="0"/>
          <w:sz w:val="32"/>
          <w:szCs w:val="32"/>
          <w:lang w:val="en-US" w:eastAsia="zh-CN"/>
        </w:rPr>
        <w:t>77.6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楷体_GB2312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964" w:firstLineChars="3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为群众出行提供保障，维护一方平安。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群众满意。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（二）相关建议。无</w:t>
      </w:r>
      <w:r>
        <w:rPr>
          <w:rFonts w:hint="eastAsia" w:ascii="仿宋_GB2312" w:hAnsi="宋体"/>
          <w:lang w:val="zh-CN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3"/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年5月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256" w:tblpY="221"/>
        <w:tblOverlap w:val="never"/>
        <w:tblW w:w="534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173"/>
        <w:gridCol w:w="1678"/>
        <w:gridCol w:w="1142"/>
        <w:gridCol w:w="1339"/>
        <w:gridCol w:w="1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5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攀枝花市仁和区交通运输局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攀枝花市仁和区交通运输局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6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77.6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77.6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77.6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6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9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2022年对仁和辖区撤并建制村畅通工程，完成2.2公里路面硬化，投资77.6万元。</w:t>
            </w:r>
          </w:p>
        </w:tc>
        <w:tc>
          <w:tcPr>
            <w:tcW w:w="16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2022年新建2.2公里撤并建制村畅通工程，完成投资77.6万元。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太平先锋村0.8公里，同德马拉所村1.4公里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2.2公里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2.2公里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路面3.5米宽，抗折4.5兆帕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2022年1月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新建水泥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混凝</w:t>
            </w:r>
            <w:bookmarkStart w:id="0" w:name="_GoBack"/>
            <w:bookmarkEnd w:id="0"/>
            <w:r>
              <w:rPr>
                <w:rFonts w:hint="eastAsia"/>
                <w:color w:val="000000"/>
                <w:sz w:val="28"/>
                <w:szCs w:val="28"/>
              </w:rPr>
              <w:t>土路面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77.6万元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改善交通运输条件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拉动经济发展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保障农村公路安全畅通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改善当地群众交通出行条件，降低出行成本，增加沿线村民经济收入。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</w:rPr>
              <w:t>改善通行服务水平群众满意度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90%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达到</w:t>
            </w:r>
          </w:p>
        </w:tc>
      </w:tr>
    </w:tbl>
    <w:p>
      <w:pPr>
        <w:pStyle w:val="3"/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spacing w:line="600" w:lineRule="exact"/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12670EA"/>
    <w:rsid w:val="01757692"/>
    <w:rsid w:val="04996C31"/>
    <w:rsid w:val="070C44B6"/>
    <w:rsid w:val="0EDB478C"/>
    <w:rsid w:val="11DE6108"/>
    <w:rsid w:val="120F5268"/>
    <w:rsid w:val="192B214E"/>
    <w:rsid w:val="1E6A01BF"/>
    <w:rsid w:val="218F0B6C"/>
    <w:rsid w:val="291C455A"/>
    <w:rsid w:val="2DB800CF"/>
    <w:rsid w:val="32765B2B"/>
    <w:rsid w:val="327F64D7"/>
    <w:rsid w:val="352C73D2"/>
    <w:rsid w:val="36926D0C"/>
    <w:rsid w:val="371C6249"/>
    <w:rsid w:val="3F7B68EE"/>
    <w:rsid w:val="3FEB6F5A"/>
    <w:rsid w:val="443A385E"/>
    <w:rsid w:val="45DE30BD"/>
    <w:rsid w:val="46781015"/>
    <w:rsid w:val="497665EB"/>
    <w:rsid w:val="4ABB02AF"/>
    <w:rsid w:val="4C995F8F"/>
    <w:rsid w:val="4DAF2BCF"/>
    <w:rsid w:val="4DDB6F66"/>
    <w:rsid w:val="4FFB55DB"/>
    <w:rsid w:val="55EA0D3A"/>
    <w:rsid w:val="61455F1C"/>
    <w:rsid w:val="6A6F0612"/>
    <w:rsid w:val="6BA418FB"/>
    <w:rsid w:val="71B95857"/>
    <w:rsid w:val="73E3440C"/>
    <w:rsid w:val="792F2AEE"/>
    <w:rsid w:val="7D551D6A"/>
    <w:rsid w:val="7F607225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1318</Words>
  <Characters>1434</Characters>
  <Lines>6</Lines>
  <Paragraphs>1</Paragraphs>
  <TotalTime>4</TotalTime>
  <ScaleCrop>false</ScaleCrop>
  <LinksUpToDate>false</LinksUpToDate>
  <CharactersWithSpaces>1449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代馨莉</cp:lastModifiedBy>
  <dcterms:modified xsi:type="dcterms:W3CDTF">2023-08-24T10:22:05Z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4A03795409E249AD824D426AAA0E9A66</vt:lpwstr>
  </property>
</Properties>
</file>