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rPr>
        <w:t>202</w:t>
      </w:r>
      <w:r>
        <w:rPr>
          <w:rFonts w:hint="eastAsia" w:ascii="方正小标宋简体" w:hAnsi="宋体" w:eastAsia="方正小标宋简体"/>
          <w:sz w:val="44"/>
          <w:szCs w:val="44"/>
          <w:lang w:val="en-US" w:eastAsia="zh-CN"/>
        </w:rPr>
        <w:t>2</w:t>
      </w:r>
      <w:r>
        <w:rPr>
          <w:rFonts w:hint="eastAsia" w:ascii="方正小标宋简体" w:hAnsi="宋体" w:eastAsia="方正小标宋简体"/>
          <w:sz w:val="44"/>
          <w:szCs w:val="44"/>
          <w:lang w:val="en-US"/>
        </w:rPr>
        <w:t>年</w:t>
      </w:r>
      <w:r>
        <w:rPr>
          <w:rFonts w:hint="eastAsia" w:ascii="方正小标宋简体" w:hAnsi="宋体" w:eastAsia="方正小标宋简体"/>
          <w:sz w:val="44"/>
          <w:szCs w:val="44"/>
        </w:rPr>
        <w:t>专项预算项目支出绩效自评</w:t>
      </w:r>
    </w:p>
    <w:p>
      <w:pPr>
        <w:pStyle w:val="2"/>
        <w:keepNext w:val="0"/>
        <w:keepLines w:val="0"/>
        <w:pageBreakBefore w:val="0"/>
        <w:widowControl w:val="0"/>
        <w:kinsoku/>
        <w:wordWrap/>
        <w:overflowPunct/>
        <w:topLinePunct w:val="0"/>
        <w:autoSpaceDE/>
        <w:autoSpaceDN/>
        <w:bidi w:val="0"/>
        <w:adjustRightInd/>
        <w:snapToGrid/>
        <w:spacing w:after="0" w:line="15" w:lineRule="auto"/>
        <w:ind w:left="0" w:leftChars="0" w:firstLine="640" w:firstLineChars="0"/>
        <w:jc w:val="center"/>
        <w:textAlignment w:val="auto"/>
        <w:rPr>
          <w:rFonts w:ascii="仿宋_GB2312" w:hAnsi="宋体" w:eastAsia="仿宋_GB2312"/>
          <w:color w:val="auto"/>
          <w:kern w:val="2"/>
          <w:sz w:val="32"/>
          <w:szCs w:val="32"/>
        </w:rPr>
      </w:pPr>
      <w:r>
        <w:rPr>
          <w:rFonts w:hint="eastAsia" w:ascii="仿宋_GB2312" w:hAnsi="宋体" w:eastAsia="仿宋_GB2312"/>
          <w:color w:val="auto"/>
          <w:kern w:val="2"/>
          <w:sz w:val="32"/>
          <w:szCs w:val="32"/>
        </w:rPr>
        <w:t>（</w:t>
      </w:r>
      <w:r>
        <w:rPr>
          <w:rFonts w:hint="eastAsia" w:ascii="仿宋" w:hAnsi="仿宋" w:eastAsia="仿宋" w:cs="仿宋"/>
          <w:b w:val="0"/>
          <w:kern w:val="2"/>
          <w:sz w:val="32"/>
          <w:szCs w:val="32"/>
          <w:lang w:val="en-US" w:eastAsia="zh-CN" w:bidi="ar-SA"/>
        </w:rPr>
        <w:t>微型显微镜高精度三维位移平台</w:t>
      </w:r>
      <w:r>
        <w:rPr>
          <w:rFonts w:hint="eastAsia" w:ascii="仿宋_GB2312" w:hAnsi="宋体" w:eastAsia="仿宋_GB2312"/>
          <w:color w:val="auto"/>
          <w:kern w:val="2"/>
          <w:sz w:val="32"/>
          <w:szCs w:val="32"/>
        </w:rPr>
        <w:t>）</w:t>
      </w:r>
    </w:p>
    <w:p>
      <w:pPr>
        <w:pStyle w:val="7"/>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keepNext w:val="0"/>
        <w:keepLines w:val="0"/>
        <w:pageBreakBefore w:val="0"/>
        <w:widowControl w:val="0"/>
        <w:kinsoku/>
        <w:wordWrap/>
        <w:overflowPunct/>
        <w:topLinePunct w:val="0"/>
        <w:autoSpaceDE/>
        <w:autoSpaceDN/>
        <w:bidi w:val="0"/>
        <w:adjustRightInd w:val="0"/>
        <w:snapToGrid w:val="0"/>
        <w:spacing w:line="520" w:lineRule="exact"/>
        <w:ind w:firstLine="720"/>
        <w:textAlignment w:val="auto"/>
        <w:rPr>
          <w:rFonts w:hint="eastAsia" w:ascii="楷体_GB2312" w:hAnsi="宋体" w:eastAsia="楷体_GB2312"/>
          <w:b/>
          <w:lang w:val="zh-CN"/>
        </w:rPr>
      </w:pPr>
      <w:r>
        <w:rPr>
          <w:rFonts w:hint="eastAsia" w:ascii="楷体_GB2312" w:hAnsi="宋体" w:eastAsia="楷体_GB2312"/>
          <w:b/>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20" w:lineRule="exact"/>
        <w:ind w:firstLine="720"/>
        <w:textAlignment w:val="auto"/>
        <w:rPr>
          <w:rFonts w:hint="eastAsia" w:ascii="仿宋_GB2312" w:hAnsi="宋体"/>
          <w:lang w:val="zh-CN"/>
        </w:rPr>
      </w:pPr>
      <w:r>
        <w:rPr>
          <w:rFonts w:hint="eastAsia" w:ascii="仿宋_GB2312" w:hAnsi="宋体"/>
          <w:lang w:val="zh-CN"/>
        </w:rPr>
        <w:t>该项目于</w:t>
      </w:r>
      <w:r>
        <w:rPr>
          <w:rFonts w:hint="eastAsia" w:ascii="仿宋_GB2312" w:hAnsi="宋体"/>
          <w:lang w:val="en-US" w:eastAsia="zh-CN"/>
        </w:rPr>
        <w:t>2022年经四川省科技厅批准立项，</w:t>
      </w:r>
      <w:r>
        <w:rPr>
          <w:rFonts w:hint="eastAsia" w:ascii="仿宋_GB2312" w:hAnsi="宋体"/>
          <w:lang w:val="zh-CN"/>
        </w:rPr>
        <w:t>攀枝花市财政局《关于下达2022年第一批省级科技计划项目专项资金预算的通知》（攀财资教[2022]19号），下达该项目预算资金100万元。</w:t>
      </w:r>
    </w:p>
    <w:p>
      <w:pPr>
        <w:keepNext w:val="0"/>
        <w:keepLines w:val="0"/>
        <w:pageBreakBefore w:val="0"/>
        <w:widowControl w:val="0"/>
        <w:kinsoku/>
        <w:wordWrap/>
        <w:overflowPunct/>
        <w:topLinePunct w:val="0"/>
        <w:autoSpaceDE/>
        <w:autoSpaceDN/>
        <w:bidi w:val="0"/>
        <w:adjustRightInd w:val="0"/>
        <w:snapToGrid w:val="0"/>
        <w:spacing w:line="520" w:lineRule="exact"/>
        <w:ind w:firstLine="720"/>
        <w:textAlignment w:val="auto"/>
        <w:rPr>
          <w:rFonts w:hint="eastAsia" w:ascii="仿宋" w:hAnsi="仿宋" w:eastAsia="仿宋" w:cs="仿宋"/>
          <w:b w:val="0"/>
          <w:bCs/>
          <w:szCs w:val="32"/>
          <w:lang w:val="zh-CN"/>
        </w:rPr>
      </w:pPr>
      <w:r>
        <w:rPr>
          <w:rFonts w:hint="eastAsia" w:ascii="楷体_GB2312" w:hAnsi="宋体" w:eastAsia="楷体_GB2312"/>
          <w:b/>
          <w:lang w:val="zh-CN"/>
        </w:rPr>
        <w:t>（二）项目绩效目标。</w:t>
      </w:r>
    </w:p>
    <w:p>
      <w:pPr>
        <w:keepNext w:val="0"/>
        <w:keepLines w:val="0"/>
        <w:widowControl/>
        <w:numPr>
          <w:ilvl w:val="0"/>
          <w:numId w:val="1"/>
        </w:numPr>
        <w:suppressLineNumbers w:val="0"/>
        <w:ind w:left="-2" w:leftChars="0" w:firstLine="632"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产品尺寸65mm*40mm*10mm。</w:t>
      </w:r>
    </w:p>
    <w:p>
      <w:pPr>
        <w:keepNext w:val="0"/>
        <w:keepLines w:val="0"/>
        <w:widowControl/>
        <w:numPr>
          <w:ilvl w:val="0"/>
          <w:numId w:val="1"/>
        </w:numPr>
        <w:suppressLineNumbers w:val="0"/>
        <w:ind w:left="-2" w:leftChars="0" w:firstLine="632"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速度10mm/s。</w:t>
      </w:r>
    </w:p>
    <w:p>
      <w:pPr>
        <w:keepNext w:val="0"/>
        <w:keepLines w:val="0"/>
        <w:widowControl/>
        <w:numPr>
          <w:ilvl w:val="0"/>
          <w:numId w:val="1"/>
        </w:numPr>
        <w:suppressLineNumbers w:val="0"/>
        <w:ind w:left="-2" w:leftChars="0" w:firstLine="632"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输出力≥15g。</w:t>
      </w:r>
    </w:p>
    <w:p>
      <w:pPr>
        <w:keepNext w:val="0"/>
        <w:keepLines w:val="0"/>
        <w:widowControl/>
        <w:numPr>
          <w:ilvl w:val="0"/>
          <w:numId w:val="1"/>
        </w:numPr>
        <w:suppressLineNumbers w:val="0"/>
        <w:ind w:left="-2" w:leftChars="0" w:firstLine="632"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位置精度≤0.5μm。</w:t>
      </w:r>
    </w:p>
    <w:p>
      <w:pPr>
        <w:keepNext w:val="0"/>
        <w:keepLines w:val="0"/>
        <w:widowControl/>
        <w:numPr>
          <w:ilvl w:val="0"/>
          <w:numId w:val="1"/>
        </w:numPr>
        <w:suppressLineNumbers w:val="0"/>
        <w:ind w:left="-2" w:leftChars="0" w:firstLine="632"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功耗≤360mW。</w:t>
      </w:r>
    </w:p>
    <w:p>
      <w:pPr>
        <w:keepNext w:val="0"/>
        <w:keepLines w:val="0"/>
        <w:widowControl/>
        <w:numPr>
          <w:ilvl w:val="0"/>
          <w:numId w:val="1"/>
        </w:numPr>
        <w:suppressLineNumbers w:val="0"/>
        <w:ind w:left="-2" w:leftChars="0" w:firstLine="632"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额定行程x和y轴≥500μm。</w:t>
      </w:r>
    </w:p>
    <w:p>
      <w:pPr>
        <w:keepNext w:val="0"/>
        <w:keepLines w:val="0"/>
        <w:widowControl/>
        <w:numPr>
          <w:ilvl w:val="0"/>
          <w:numId w:val="1"/>
        </w:numPr>
        <w:suppressLineNumbers w:val="0"/>
        <w:ind w:left="-2" w:leftChars="0" w:firstLine="632"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额定行程z轴≥300μm。</w:t>
      </w:r>
    </w:p>
    <w:p>
      <w:pPr>
        <w:keepNext w:val="0"/>
        <w:keepLines w:val="0"/>
        <w:widowControl/>
        <w:numPr>
          <w:ilvl w:val="0"/>
          <w:numId w:val="1"/>
        </w:numPr>
        <w:suppressLineNumbers w:val="0"/>
        <w:ind w:left="-2" w:leftChars="0" w:firstLine="632" w:firstLineChars="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线性误差≤±30μm。</w:t>
      </w:r>
    </w:p>
    <w:p>
      <w:pPr>
        <w:keepNext w:val="0"/>
        <w:keepLines w:val="0"/>
        <w:widowControl/>
        <w:numPr>
          <w:ilvl w:val="0"/>
          <w:numId w:val="1"/>
        </w:numPr>
        <w:suppressLineNumbers w:val="0"/>
        <w:ind w:left="-2" w:leftChars="0" w:firstLine="632" w:firstLineChars="0"/>
        <w:jc w:val="left"/>
        <w:rPr>
          <w:rFonts w:hint="eastAsia" w:ascii="楷体_GB2312" w:hAnsi="宋体" w:eastAsia="楷体_GB2312"/>
          <w:b/>
          <w:lang w:val="zh-CN"/>
        </w:rPr>
      </w:pPr>
      <w:r>
        <w:rPr>
          <w:rFonts w:hint="eastAsia" w:ascii="仿宋" w:hAnsi="仿宋" w:eastAsia="仿宋" w:cs="仿宋"/>
          <w:sz w:val="32"/>
          <w:szCs w:val="32"/>
          <w:lang w:val="en-US" w:eastAsia="zh-CN"/>
        </w:rPr>
        <w:t>培养专业人才5名。</w:t>
      </w:r>
    </w:p>
    <w:p>
      <w:pPr>
        <w:keepNext w:val="0"/>
        <w:keepLines w:val="0"/>
        <w:widowControl/>
        <w:numPr>
          <w:ilvl w:val="0"/>
          <w:numId w:val="1"/>
        </w:numPr>
        <w:suppressLineNumbers w:val="0"/>
        <w:ind w:left="-2" w:leftChars="0" w:firstLine="632" w:firstLineChars="0"/>
        <w:jc w:val="left"/>
        <w:rPr>
          <w:rFonts w:hint="eastAsia" w:ascii="楷体_GB2312" w:hAnsi="宋体" w:eastAsia="楷体_GB2312"/>
          <w:b/>
          <w:lang w:val="zh-CN"/>
        </w:rPr>
      </w:pPr>
      <w:r>
        <w:rPr>
          <w:rFonts w:hint="eastAsia" w:ascii="仿宋" w:hAnsi="仿宋" w:eastAsia="仿宋" w:cs="仿宋"/>
          <w:sz w:val="32"/>
          <w:szCs w:val="32"/>
          <w:lang w:val="en-US" w:eastAsia="zh-CN"/>
        </w:rPr>
        <w:t>申请发明专利3件。</w:t>
      </w:r>
    </w:p>
    <w:p>
      <w:pPr>
        <w:keepNext w:val="0"/>
        <w:keepLines w:val="0"/>
        <w:widowControl/>
        <w:numPr>
          <w:ilvl w:val="0"/>
          <w:numId w:val="0"/>
        </w:numPr>
        <w:suppressLineNumbers w:val="0"/>
        <w:ind w:left="630" w:leftChars="0"/>
        <w:jc w:val="left"/>
        <w:rPr>
          <w:rFonts w:hint="eastAsia" w:ascii="楷体_GB2312" w:hAnsi="宋体" w:eastAsia="楷体_GB2312"/>
          <w:b/>
          <w:lang w:val="zh-CN"/>
        </w:rPr>
      </w:pPr>
      <w:r>
        <w:rPr>
          <w:rFonts w:hint="eastAsia" w:ascii="楷体_GB2312" w:hAnsi="宋体" w:eastAsia="楷体_GB2312"/>
          <w:b/>
          <w:lang w:val="zh-CN"/>
        </w:rPr>
        <w:t>（三）项目资金申报相符性。</w:t>
      </w:r>
    </w:p>
    <w:p>
      <w:pPr>
        <w:numPr>
          <w:ilvl w:val="0"/>
          <w:numId w:val="0"/>
        </w:numPr>
        <w:adjustRightInd w:val="0"/>
        <w:snapToGrid w:val="0"/>
        <w:spacing w:line="560" w:lineRule="exact"/>
        <w:ind w:firstLine="640" w:firstLineChars="200"/>
        <w:rPr>
          <w:rFonts w:ascii="仿宋_GB2312" w:hAnsi="宋体"/>
          <w:lang w:val="zh-CN"/>
        </w:rPr>
      </w:pPr>
      <w:r>
        <w:rPr>
          <w:rFonts w:hint="eastAsia" w:ascii="仿宋_GB2312" w:hAnsi="宋体"/>
          <w:lang w:val="zh-CN"/>
        </w:rPr>
        <w:t>该项目申报内容与具体实施内容相符、申报目标合理可行。</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numPr>
          <w:ilvl w:val="0"/>
          <w:numId w:val="2"/>
        </w:numPr>
        <w:adjustRightInd w:val="0"/>
        <w:snapToGrid w:val="0"/>
        <w:spacing w:line="560" w:lineRule="exact"/>
        <w:ind w:firstLine="720"/>
        <w:rPr>
          <w:rFonts w:hint="eastAsia" w:ascii="仿宋_GB2312" w:hAnsi="宋体"/>
          <w:lang w:val="zh-CN"/>
        </w:rPr>
      </w:pPr>
      <w:r>
        <w:rPr>
          <w:rFonts w:hint="eastAsia" w:ascii="楷体_GB2312" w:hAnsi="宋体" w:eastAsia="楷体_GB2312"/>
          <w:lang w:val="zh-CN"/>
        </w:rPr>
        <w:t>资金计划及到位。</w:t>
      </w:r>
      <w:r>
        <w:rPr>
          <w:rFonts w:hint="eastAsia" w:ascii="仿宋_GB2312" w:hAnsi="宋体"/>
          <w:lang w:val="zh-CN"/>
        </w:rPr>
        <w:t>截</w:t>
      </w:r>
      <w:r>
        <w:rPr>
          <w:rFonts w:hint="eastAsia" w:ascii="仿宋_GB2312" w:hAnsi="宋体"/>
          <w:lang w:val="zh-CN" w:eastAsia="zh-CN"/>
        </w:rPr>
        <w:t>至</w:t>
      </w:r>
      <w:bookmarkStart w:id="0" w:name="_GoBack"/>
      <w:bookmarkEnd w:id="0"/>
      <w:r>
        <w:rPr>
          <w:rFonts w:hint="eastAsia" w:ascii="仿宋_GB2312" w:hAnsi="宋体"/>
          <w:lang w:val="zh-CN"/>
        </w:rPr>
        <w:t>目前，单位自筹经费300万元已全部到位，到位率100%；2022年4月21日，攀枝花市财政局《关于下达2022年第一批省级科技计划项目专项资金预算的通知》（攀财资教[2022]19号），下达该项目预算资金100万元，实际拨付到项目实施单位40万元。</w:t>
      </w:r>
    </w:p>
    <w:p>
      <w:pPr>
        <w:numPr>
          <w:ilvl w:val="0"/>
          <w:numId w:val="0"/>
        </w:numPr>
        <w:adjustRightInd w:val="0"/>
        <w:snapToGrid w:val="0"/>
        <w:spacing w:line="560" w:lineRule="exact"/>
        <w:ind w:firstLine="640" w:firstLineChars="200"/>
        <w:rPr>
          <w:rFonts w:ascii="仿宋_GB2312" w:hAnsi="宋体"/>
          <w:lang w:val="zh-CN"/>
        </w:rPr>
      </w:pPr>
      <w:r>
        <w:rPr>
          <w:rFonts w:hint="eastAsia" w:ascii="楷体_GB2312" w:hAnsi="宋体" w:eastAsia="楷体_GB2312"/>
          <w:lang w:val="zh-CN"/>
        </w:rPr>
        <w:t>2．资金使用。</w:t>
      </w:r>
      <w:r>
        <w:rPr>
          <w:rFonts w:hint="eastAsia" w:ascii="仿宋_GB2312" w:hAnsi="宋体"/>
          <w:lang w:val="zh-CN"/>
        </w:rPr>
        <w:t>2023年资金到账40万元，使用设备费4.65万元，材料费25.13万元，差旅费3.3万元，知识产权事务费1万元，绩效支出5.92万元，合计40万元，符合项目任务预算支出内容。</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hint="eastAsia" w:ascii="仿宋_GB2312" w:hAnsi="宋体"/>
          <w:lang w:val="zh-CN"/>
        </w:rPr>
      </w:pPr>
      <w:r>
        <w:rPr>
          <w:rFonts w:hint="eastAsia" w:ascii="仿宋_GB2312" w:hAnsi="宋体"/>
          <w:lang w:val="zh-CN"/>
        </w:rPr>
        <w:t>项目实施单位睿恩光电有限责任公司按照国家财经法规及科研经费管理制度和规定建立了财务管理制度，主要制度为《睿恩光电有限责任公司财务管理制度》，设置专业财务人员，对项目经费的管理、核算及支出审批等实施内部控制，严格按照财务管理制度实施经费开支审批程序，并完善相关手续，账务处理及时，会计核算规范。</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hint="eastAsia" w:ascii="仿宋_GB2312" w:hAnsi="宋体"/>
          <w:lang w:val="zh-CN"/>
        </w:rPr>
      </w:pPr>
      <w:r>
        <w:rPr>
          <w:rFonts w:hint="eastAsia" w:ascii="仿宋_GB2312" w:hAnsi="宋体"/>
          <w:lang w:val="zh-CN"/>
        </w:rPr>
        <w:t>（一）项目组织架构及实施流程。</w:t>
      </w:r>
    </w:p>
    <w:p>
      <w:pPr>
        <w:adjustRightInd w:val="0"/>
        <w:snapToGrid w:val="0"/>
        <w:spacing w:line="560" w:lineRule="exact"/>
        <w:ind w:firstLine="720"/>
        <w:rPr>
          <w:rFonts w:hint="eastAsia" w:ascii="仿宋_GB2312" w:hAnsi="宋体"/>
          <w:lang w:val="zh-CN"/>
        </w:rPr>
      </w:pPr>
      <w:r>
        <w:rPr>
          <w:rFonts w:hint="eastAsia" w:ascii="仿宋_GB2312" w:hAnsi="宋体"/>
          <w:lang w:val="zh-CN"/>
        </w:rPr>
        <w:t>项目实施单位成立了“微型显微镜高精度三维位移平台”项目组，以项目负责人为项目小组组长，与公司相关人员共同参与项目实施，严格要求项目要求，执行相关保障措施。</w:t>
      </w:r>
    </w:p>
    <w:p>
      <w:pPr>
        <w:adjustRightInd w:val="0"/>
        <w:snapToGrid w:val="0"/>
        <w:spacing w:line="560" w:lineRule="exact"/>
        <w:ind w:firstLine="720"/>
        <w:rPr>
          <w:rFonts w:hint="eastAsia" w:ascii="仿宋_GB2312" w:hAnsi="宋体"/>
          <w:lang w:val="zh-CN"/>
        </w:rPr>
      </w:pPr>
      <w:r>
        <w:rPr>
          <w:rFonts w:hint="eastAsia" w:ascii="仿宋_GB2312" w:hAnsi="宋体"/>
          <w:lang w:val="zh-CN"/>
        </w:rPr>
        <w:t>（二）项目管理情况。</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仿宋_GB2312" w:hAnsi="宋体"/>
          <w:lang w:val="zh-CN"/>
        </w:rPr>
      </w:pPr>
      <w:r>
        <w:rPr>
          <w:rFonts w:hint="eastAsia" w:ascii="仿宋_GB2312" w:hAnsi="宋体"/>
          <w:lang w:val="zh-CN"/>
        </w:rPr>
        <w:t>项目实施单位睿恩光电有限责任公司建立有《睿恩光电有限责任公司财务管理制度》《睿恩光电有限责任公司科技工作管理办法》等相关管理办法，项目组定期组织召开项目总结会，由项目负责人对项目实施、完成情况进行全面监督和负责。</w:t>
      </w:r>
    </w:p>
    <w:p>
      <w:pPr>
        <w:adjustRightInd w:val="0"/>
        <w:snapToGrid w:val="0"/>
        <w:spacing w:line="560" w:lineRule="exact"/>
        <w:ind w:firstLine="720"/>
        <w:rPr>
          <w:rFonts w:hint="eastAsia" w:ascii="仿宋_GB2312" w:hAnsi="宋体"/>
          <w:lang w:val="zh-CN"/>
        </w:rPr>
      </w:pPr>
      <w:r>
        <w:rPr>
          <w:rFonts w:hint="eastAsia" w:ascii="仿宋_GB2312" w:hAnsi="宋体"/>
          <w:lang w:val="zh-CN"/>
        </w:rPr>
        <w:t>（三）项目监管情况。</w:t>
      </w:r>
    </w:p>
    <w:p>
      <w:pPr>
        <w:adjustRightInd w:val="0"/>
        <w:snapToGrid w:val="0"/>
        <w:spacing w:line="560" w:lineRule="exact"/>
        <w:ind w:firstLine="720"/>
        <w:rPr>
          <w:rFonts w:hint="eastAsia" w:ascii="仿宋_GB2312" w:hAnsi="宋体"/>
          <w:lang w:val="zh-CN"/>
        </w:rPr>
      </w:pPr>
      <w:r>
        <w:rPr>
          <w:rFonts w:hint="eastAsia" w:ascii="仿宋_GB2312" w:hAnsi="宋体"/>
          <w:lang w:val="zh-CN"/>
        </w:rPr>
        <w:t>项目主管部门加强对项目的管理，督促指导项目按照法律、法规、项目管理办法和计划书任务进度实施项目。加强项目经费管理工作，按照国家财经法规及科研经费管理制度和规定建立了财务管理制度，经费使用严格按照四川省科技计划项目专项资金管理办法执行。</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hint="eastAsia" w:ascii="仿宋_GB2312" w:hAnsi="宋体"/>
          <w:lang w:val="zh-CN"/>
        </w:rPr>
      </w:pPr>
      <w:r>
        <w:rPr>
          <w:rFonts w:hint="eastAsia" w:ascii="仿宋_GB2312" w:hAnsi="宋体"/>
          <w:lang w:val="zh-CN"/>
        </w:rPr>
        <w:t>（一）项目完成情况。</w:t>
      </w:r>
    </w:p>
    <w:p>
      <w:pPr>
        <w:adjustRightInd w:val="0"/>
        <w:snapToGrid w:val="0"/>
        <w:spacing w:line="560" w:lineRule="exact"/>
        <w:ind w:firstLine="720"/>
        <w:rPr>
          <w:rFonts w:hint="eastAsia" w:ascii="仿宋_GB2312" w:hAnsi="宋体"/>
          <w:lang w:val="zh-CN"/>
        </w:rPr>
      </w:pPr>
      <w:r>
        <w:rPr>
          <w:rFonts w:hint="eastAsia" w:ascii="仿宋_GB2312" w:hAnsi="宋体"/>
          <w:lang w:val="zh-CN"/>
        </w:rPr>
        <w:t>现阶段已完成情况：</w:t>
      </w:r>
    </w:p>
    <w:p>
      <w:pPr>
        <w:adjustRightInd w:val="0"/>
        <w:snapToGrid w:val="0"/>
        <w:spacing w:line="560" w:lineRule="exact"/>
        <w:ind w:firstLine="720"/>
        <w:rPr>
          <w:rFonts w:hint="eastAsia" w:ascii="仿宋_GB2312" w:hAnsi="宋体"/>
          <w:lang w:val="zh-CN"/>
        </w:rPr>
      </w:pPr>
      <w:r>
        <w:rPr>
          <w:rFonts w:hint="eastAsia" w:ascii="仿宋_GB2312" w:hAnsi="宋体"/>
          <w:lang w:val="zh-CN"/>
        </w:rPr>
        <w:t>1、产品尺寸65mm*40mm*10mm。现产品尺寸65mm*40mm*10mm。</w:t>
      </w:r>
    </w:p>
    <w:p>
      <w:pPr>
        <w:adjustRightInd w:val="0"/>
        <w:snapToGrid w:val="0"/>
        <w:spacing w:line="560" w:lineRule="exact"/>
        <w:ind w:firstLine="720"/>
        <w:rPr>
          <w:rFonts w:hint="eastAsia" w:ascii="仿宋_GB2312" w:hAnsi="宋体"/>
          <w:lang w:val="zh-CN"/>
        </w:rPr>
      </w:pPr>
      <w:r>
        <w:rPr>
          <w:rFonts w:hint="eastAsia" w:ascii="仿宋_GB2312" w:hAnsi="宋体"/>
          <w:lang w:val="zh-CN"/>
        </w:rPr>
        <w:t>2、速度10mm/s。现产品响应速度10mm/s。</w:t>
      </w:r>
    </w:p>
    <w:p>
      <w:pPr>
        <w:adjustRightInd w:val="0"/>
        <w:snapToGrid w:val="0"/>
        <w:spacing w:line="560" w:lineRule="exact"/>
        <w:ind w:firstLine="720"/>
        <w:rPr>
          <w:rFonts w:hint="eastAsia" w:ascii="仿宋_GB2312" w:hAnsi="宋体"/>
          <w:lang w:val="zh-CN"/>
        </w:rPr>
      </w:pPr>
      <w:r>
        <w:rPr>
          <w:rFonts w:hint="eastAsia" w:ascii="仿宋_GB2312" w:hAnsi="宋体"/>
          <w:lang w:val="zh-CN"/>
        </w:rPr>
        <w:t>3、输出力≥15g。现产品输出力≥15g。</w:t>
      </w:r>
    </w:p>
    <w:p>
      <w:pPr>
        <w:adjustRightInd w:val="0"/>
        <w:snapToGrid w:val="0"/>
        <w:spacing w:line="560" w:lineRule="exact"/>
        <w:ind w:firstLine="720"/>
        <w:rPr>
          <w:rFonts w:hint="eastAsia" w:ascii="仿宋_GB2312" w:hAnsi="宋体"/>
          <w:lang w:val="zh-CN"/>
        </w:rPr>
      </w:pPr>
      <w:r>
        <w:rPr>
          <w:rFonts w:hint="eastAsia" w:ascii="仿宋_GB2312" w:hAnsi="宋体"/>
          <w:lang w:val="zh-CN"/>
        </w:rPr>
        <w:t>4、位置精度≤0.5μm。现产品位置精度≤0.5μm。</w:t>
      </w:r>
    </w:p>
    <w:p>
      <w:pPr>
        <w:adjustRightInd w:val="0"/>
        <w:snapToGrid w:val="0"/>
        <w:spacing w:line="560" w:lineRule="exact"/>
        <w:ind w:firstLine="720"/>
        <w:rPr>
          <w:rFonts w:hint="eastAsia" w:ascii="仿宋_GB2312" w:hAnsi="宋体"/>
          <w:lang w:val="zh-CN"/>
        </w:rPr>
      </w:pPr>
      <w:r>
        <w:rPr>
          <w:rFonts w:hint="eastAsia" w:ascii="仿宋_GB2312" w:hAnsi="宋体"/>
          <w:lang w:val="zh-CN"/>
        </w:rPr>
        <w:t>5、功耗≤360mW。现产品功耗功耗≤360mW。</w:t>
      </w:r>
    </w:p>
    <w:p>
      <w:pPr>
        <w:adjustRightInd w:val="0"/>
        <w:snapToGrid w:val="0"/>
        <w:spacing w:line="560" w:lineRule="exact"/>
        <w:ind w:firstLine="720"/>
        <w:rPr>
          <w:rFonts w:hint="eastAsia" w:ascii="仿宋_GB2312" w:hAnsi="宋体"/>
          <w:lang w:val="zh-CN"/>
        </w:rPr>
      </w:pPr>
      <w:r>
        <w:rPr>
          <w:rFonts w:hint="eastAsia" w:ascii="仿宋_GB2312" w:hAnsi="宋体"/>
          <w:lang w:val="zh-CN"/>
        </w:rPr>
        <w:t>6、额定行程x和y轴≥500μm。现产品额定行程x和y轴≥500μm。</w:t>
      </w:r>
    </w:p>
    <w:p>
      <w:pPr>
        <w:adjustRightInd w:val="0"/>
        <w:snapToGrid w:val="0"/>
        <w:spacing w:line="560" w:lineRule="exact"/>
        <w:ind w:firstLine="720"/>
        <w:rPr>
          <w:rFonts w:hint="eastAsia" w:ascii="仿宋_GB2312" w:hAnsi="宋体"/>
          <w:lang w:val="zh-CN"/>
        </w:rPr>
      </w:pPr>
      <w:r>
        <w:rPr>
          <w:rFonts w:hint="eastAsia" w:ascii="仿宋_GB2312" w:hAnsi="宋体"/>
          <w:lang w:val="zh-CN"/>
        </w:rPr>
        <w:t>7、额定行程z轴≥300μm。现产品额定行程z轴≥300μm。</w:t>
      </w:r>
    </w:p>
    <w:p>
      <w:pPr>
        <w:adjustRightInd w:val="0"/>
        <w:snapToGrid w:val="0"/>
        <w:spacing w:line="560" w:lineRule="exact"/>
        <w:ind w:firstLine="720"/>
        <w:rPr>
          <w:rFonts w:hint="eastAsia" w:ascii="仿宋_GB2312" w:hAnsi="宋体"/>
          <w:lang w:val="zh-CN"/>
        </w:rPr>
      </w:pPr>
      <w:r>
        <w:rPr>
          <w:rFonts w:hint="eastAsia" w:ascii="仿宋_GB2312" w:hAnsi="宋体"/>
          <w:lang w:val="zh-CN"/>
        </w:rPr>
        <w:t>8、线性误差≤±30μm。现产品线性误差≤±30μm。</w:t>
      </w:r>
    </w:p>
    <w:p>
      <w:pPr>
        <w:adjustRightInd w:val="0"/>
        <w:snapToGrid w:val="0"/>
        <w:spacing w:line="560" w:lineRule="exact"/>
        <w:ind w:firstLine="720"/>
        <w:rPr>
          <w:rFonts w:hint="eastAsia" w:ascii="仿宋_GB2312" w:hAnsi="宋体"/>
          <w:lang w:val="zh-CN"/>
        </w:rPr>
      </w:pPr>
      <w:r>
        <w:rPr>
          <w:rFonts w:hint="eastAsia" w:ascii="仿宋_GB2312" w:hAnsi="宋体"/>
          <w:lang w:val="zh-CN"/>
        </w:rPr>
        <w:t>9、培养专业人才5名。现已培养2名。</w:t>
      </w:r>
    </w:p>
    <w:p>
      <w:pPr>
        <w:adjustRightInd w:val="0"/>
        <w:snapToGrid w:val="0"/>
        <w:spacing w:line="560" w:lineRule="exact"/>
        <w:ind w:firstLine="720"/>
        <w:rPr>
          <w:rFonts w:hint="eastAsia" w:ascii="仿宋_GB2312" w:hAnsi="宋体"/>
          <w:lang w:val="zh-CN"/>
        </w:rPr>
      </w:pPr>
      <w:r>
        <w:rPr>
          <w:rFonts w:hint="eastAsia" w:ascii="仿宋_GB2312" w:hAnsi="宋体"/>
          <w:lang w:val="zh-CN"/>
        </w:rPr>
        <w:t>10、申请发明专利3件。现已申请2件。</w:t>
      </w:r>
    </w:p>
    <w:p>
      <w:pPr>
        <w:adjustRightInd w:val="0"/>
        <w:snapToGrid w:val="0"/>
        <w:spacing w:line="560" w:lineRule="exact"/>
        <w:ind w:firstLine="720"/>
        <w:rPr>
          <w:rFonts w:hint="eastAsia" w:ascii="仿宋_GB2312" w:hAnsi="宋体"/>
          <w:lang w:val="zh-CN"/>
        </w:rPr>
      </w:pPr>
      <w:r>
        <w:rPr>
          <w:rFonts w:hint="eastAsia" w:ascii="仿宋_GB2312" w:hAnsi="宋体"/>
          <w:lang w:val="zh-CN"/>
        </w:rPr>
        <w:t>按照项目计划任务书，睿恩光电有限责任公司已完成产品设计研发，计划进入产线设置及小批量产阶段。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textAlignment w:val="auto"/>
        <w:rPr>
          <w:rFonts w:hint="eastAsia" w:ascii="楷体_GB2312" w:hAnsi="宋体" w:eastAsia="楷体_GB2312"/>
          <w:b/>
          <w:lang w:val="zh-CN"/>
        </w:rPr>
      </w:pPr>
      <w:r>
        <w:rPr>
          <w:rFonts w:hint="eastAsia" w:ascii="楷体_GB2312" w:hAnsi="宋体" w:eastAsia="楷体_GB2312"/>
          <w:b/>
          <w:lang w:val="zh-CN"/>
        </w:rPr>
        <w:t>（二）项目效益情况。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（1）社会效益</w:t>
      </w:r>
    </w:p>
    <w:p>
      <w:pPr>
        <w:keepNext w:val="0"/>
        <w:keepLines w:val="0"/>
        <w:pageBreakBefore w:val="0"/>
        <w:widowControl w:val="0"/>
        <w:kinsoku/>
        <w:wordWrap/>
        <w:overflowPunct/>
        <w:topLinePunct w:val="0"/>
        <w:autoSpaceDE/>
        <w:autoSpaceDN/>
        <w:bidi w:val="0"/>
        <w:adjustRightInd w:val="0"/>
        <w:snapToGrid w:val="0"/>
        <w:spacing w:line="540" w:lineRule="exact"/>
        <w:ind w:firstLine="72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项目样品已研制成功，并通过产品性能检测，可将一台智能手机轻松转变为一台野外高倍显微镜，用于科学兴趣或者科学研究。待后期产品正式量产，在行距和步进分辨率上达到国内一流、赶上国际先进水平，市场价值巨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（2）经济效益</w:t>
      </w:r>
    </w:p>
    <w:p>
      <w:pPr>
        <w:adjustRightInd w:val="0"/>
        <w:snapToGrid w:val="0"/>
        <w:spacing w:line="56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项目建成并推广应用后，将形成巨大的直接经济效益，产生直接销售额超过2000万元，创造240万/年利润，上缴税收16万/年。</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pStyle w:val="2"/>
        <w:rPr>
          <w:rStyle w:val="8"/>
          <w:rFonts w:hint="eastAsia"/>
          <w:lang w:val="en-US" w:eastAsia="zh-CN"/>
        </w:rPr>
      </w:pPr>
      <w:r>
        <w:rPr>
          <w:rFonts w:hint="eastAsia" w:ascii="楷体_GB2312" w:hAnsi="宋体" w:eastAsia="楷体_GB2312"/>
          <w:b/>
          <w:lang w:val="en-US" w:eastAsia="zh-CN"/>
        </w:rPr>
        <w:t xml:space="preserve">    </w:t>
      </w:r>
      <w:r>
        <w:rPr>
          <w:rStyle w:val="8"/>
          <w:rFonts w:hint="eastAsia"/>
          <w:lang w:val="en-US" w:eastAsia="zh-CN"/>
        </w:rPr>
        <w:t>财政资金到位率低，前期全靠项目实施单位自有资金实施。</w:t>
      </w:r>
    </w:p>
    <w:p>
      <w:pPr>
        <w:adjustRightInd w:val="0"/>
        <w:snapToGrid w:val="0"/>
        <w:spacing w:line="560" w:lineRule="exact"/>
        <w:ind w:firstLine="720"/>
        <w:rPr>
          <w:rFonts w:hint="eastAsia" w:ascii="仿宋_GB2312" w:hAnsi="宋体"/>
          <w:lang w:val="zh-CN"/>
        </w:rPr>
      </w:pPr>
      <w:r>
        <w:rPr>
          <w:rFonts w:hint="eastAsia" w:ascii="楷体_GB2312" w:hAnsi="宋体" w:eastAsia="楷体_GB2312"/>
          <w:b/>
          <w:lang w:val="zh-CN"/>
        </w:rPr>
        <w:t>（二）相关建议。</w:t>
      </w:r>
      <w:r>
        <w:rPr>
          <w:rFonts w:hint="eastAsia" w:ascii="仿宋_GB2312" w:hAnsi="宋体"/>
          <w:lang w:val="zh-CN"/>
        </w:rPr>
        <w:t>各级财政及时拨付项目资金，便于项目顺利实施。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5B4915"/>
    <w:multiLevelType w:val="singleLevel"/>
    <w:tmpl w:val="645B4915"/>
    <w:lvl w:ilvl="0" w:tentative="0">
      <w:start w:val="1"/>
      <w:numFmt w:val="decimal"/>
      <w:suff w:val="nothing"/>
      <w:lvlText w:val="%1．"/>
      <w:lvlJc w:val="left"/>
    </w:lvl>
  </w:abstractNum>
  <w:abstractNum w:abstractNumId="1">
    <w:nsid w:val="702F56E3"/>
    <w:multiLevelType w:val="singleLevel"/>
    <w:tmpl w:val="702F56E3"/>
    <w:lvl w:ilvl="0" w:tentative="0">
      <w:start w:val="1"/>
      <w:numFmt w:val="decimal"/>
      <w:suff w:val="nothing"/>
      <w:lvlText w:val="%1、"/>
      <w:lvlJc w:val="left"/>
      <w:pPr>
        <w:ind w:left="-2"/>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Yjc0Y2JjOTZjZjcyOWI2NDFhYzk2NWNlYWYxY2YifQ=="/>
  </w:docVars>
  <w:rsids>
    <w:rsidRoot w:val="1B3217E1"/>
    <w:rsid w:val="1B3217E1"/>
    <w:rsid w:val="1E9355F8"/>
    <w:rsid w:val="45D847A4"/>
    <w:rsid w:val="4AFE45A4"/>
    <w:rsid w:val="694D0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uiPriority w:val="0"/>
  </w:style>
  <w:style w:type="paragraph" w:styleId="3">
    <w:name w:val="Body Text"/>
    <w:basedOn w:val="1"/>
    <w:next w:val="4"/>
    <w:link w:val="8"/>
    <w:uiPriority w:val="0"/>
    <w:pPr>
      <w:spacing w:after="120"/>
    </w:pPr>
  </w:style>
  <w:style w:type="paragraph" w:customStyle="1" w:styleId="4">
    <w:name w:val="Default"/>
    <w:basedOn w:val="1"/>
    <w:qFormat/>
    <w:uiPriority w:val="99"/>
    <w:pPr>
      <w:autoSpaceDE w:val="0"/>
      <w:autoSpaceDN w:val="0"/>
      <w:adjustRightInd w:val="0"/>
      <w:jc w:val="left"/>
    </w:pPr>
    <w:rPr>
      <w:rFonts w:ascii="仿宋_GB2312" w:hAnsi="Calibri" w:eastAsia="仿宋_GB2312"/>
      <w:color w:val="000000"/>
      <w:kern w:val="0"/>
      <w:sz w:val="24"/>
      <w:szCs w:val="24"/>
    </w:rPr>
  </w:style>
  <w:style w:type="paragraph" w:customStyle="1" w:styleId="7">
    <w:name w:val="四号正文"/>
    <w:basedOn w:val="1"/>
    <w:qFormat/>
    <w:uiPriority w:val="0"/>
    <w:pPr>
      <w:spacing w:line="360" w:lineRule="auto"/>
    </w:pPr>
    <w:rPr>
      <w:rFonts w:ascii="??" w:hAnsi="??" w:eastAsia="宋体"/>
      <w:color w:val="000000"/>
      <w:kern w:val="0"/>
      <w:sz w:val="28"/>
      <w:szCs w:val="21"/>
      <w:lang w:val="zh-CN"/>
    </w:rPr>
  </w:style>
  <w:style w:type="character" w:customStyle="1" w:styleId="8">
    <w:name w:val="正文文本 Char"/>
    <w:link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1487</Words>
  <Characters>1671</Characters>
  <Lines>0</Lines>
  <Paragraphs>0</Paragraphs>
  <TotalTime>0</TotalTime>
  <ScaleCrop>false</ScaleCrop>
  <LinksUpToDate>false</LinksUpToDate>
  <CharactersWithSpaces>1677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2023-05-10T02:30:00Z</dcterms:created>
  <dc:creator>黄琳</dc:creator>
  <cp:lastModifiedBy>Administrator</cp:lastModifiedBy>
  <dcterms:modified xsi:type="dcterms:W3CDTF">2023-08-04T01:11:38Z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100EE569C6B243F39CF26ACA49B6A516_12</vt:lpwstr>
  </property>
</Properties>
</file>