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3-4</w:t>
      </w:r>
    </w:p>
    <w:p>
      <w:pPr>
        <w:pStyle w:val="8"/>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US"/>
        </w:rPr>
        <w:t>202</w:t>
      </w:r>
      <w:r>
        <w:rPr>
          <w:rFonts w:hint="eastAsia" w:ascii="黑体" w:hAnsi="黑体" w:eastAsia="黑体" w:cs="黑体"/>
          <w:sz w:val="44"/>
          <w:szCs w:val="44"/>
          <w:lang w:val="en-US" w:eastAsia="zh-CN"/>
        </w:rPr>
        <w:t>2</w:t>
      </w:r>
      <w:r>
        <w:rPr>
          <w:rFonts w:hint="eastAsia" w:ascii="黑体" w:hAnsi="黑体" w:eastAsia="黑体" w:cs="黑体"/>
          <w:sz w:val="44"/>
          <w:szCs w:val="44"/>
          <w:lang w:val="en-US"/>
        </w:rPr>
        <w:t>年</w:t>
      </w:r>
      <w:r>
        <w:rPr>
          <w:rFonts w:hint="eastAsia" w:ascii="黑体" w:hAnsi="黑体" w:eastAsia="黑体" w:cs="黑体"/>
          <w:sz w:val="44"/>
          <w:szCs w:val="44"/>
        </w:rPr>
        <w:t>专项预算项目支出绩效</w:t>
      </w:r>
    </w:p>
    <w:p>
      <w:pPr>
        <w:pStyle w:val="8"/>
        <w:spacing w:line="560" w:lineRule="exact"/>
        <w:jc w:val="center"/>
        <w:rPr>
          <w:rFonts w:hint="eastAsia" w:ascii="黑体" w:hAnsi="黑体" w:eastAsia="黑体" w:cs="黑体"/>
          <w:sz w:val="44"/>
          <w:szCs w:val="44"/>
        </w:rPr>
      </w:pPr>
      <w:r>
        <w:rPr>
          <w:rFonts w:hint="eastAsia" w:ascii="黑体" w:hAnsi="黑体" w:eastAsia="黑体" w:cs="黑体"/>
          <w:sz w:val="44"/>
          <w:szCs w:val="44"/>
        </w:rPr>
        <w:t>自评报告</w:t>
      </w:r>
    </w:p>
    <w:p>
      <w:pPr>
        <w:pStyle w:val="8"/>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新并入基本公共卫生服务中央</w:t>
      </w:r>
      <w:r>
        <w:rPr>
          <w:rFonts w:hint="eastAsia" w:ascii="仿宋" w:hAnsi="仿宋" w:eastAsia="仿宋" w:cs="仿宋"/>
          <w:i w:val="0"/>
          <w:iCs w:val="0"/>
          <w:caps w:val="0"/>
          <w:color w:val="000000"/>
          <w:spacing w:val="0"/>
          <w:sz w:val="32"/>
          <w:szCs w:val="32"/>
        </w:rPr>
        <w:t>补助</w:t>
      </w:r>
      <w:r>
        <w:rPr>
          <w:rFonts w:hint="eastAsia" w:ascii="仿宋_GB2312" w:hAnsi="宋体" w:eastAsia="仿宋_GB2312"/>
          <w:color w:val="auto"/>
          <w:kern w:val="2"/>
          <w:sz w:val="32"/>
          <w:szCs w:val="32"/>
          <w:lang w:val="en-US" w:eastAsia="zh-CN"/>
        </w:rPr>
        <w:t>资金</w:t>
      </w:r>
      <w:r>
        <w:rPr>
          <w:rFonts w:hint="eastAsia" w:ascii="仿宋_GB2312" w:hAnsi="宋体" w:eastAsia="仿宋_GB2312"/>
          <w:color w:val="auto"/>
          <w:kern w:val="2"/>
          <w:sz w:val="32"/>
          <w:szCs w:val="32"/>
        </w:rPr>
        <w:t>）</w:t>
      </w:r>
    </w:p>
    <w:p>
      <w:pPr>
        <w:adjustRightInd w:val="0"/>
        <w:snapToGrid w:val="0"/>
        <w:spacing w:line="560" w:lineRule="exact"/>
        <w:ind w:firstLine="960" w:firstLineChars="30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i w:val="0"/>
          <w:iCs w:val="0"/>
          <w:caps w:val="0"/>
          <w:color w:val="000000"/>
          <w:spacing w:val="0"/>
          <w:sz w:val="32"/>
          <w:szCs w:val="32"/>
        </w:rPr>
        <w:t>攀枝花市财政局 攀枝花市卫生健康委员会</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关于下达2022年基本公共卫生服务（新并入基本公共卫生服务项目）中央补助资金的通知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 xml:space="preserve"> 攀财资社〔2022〕28号</w:t>
      </w:r>
      <w:r>
        <w:rPr>
          <w:rFonts w:hint="eastAsia" w:ascii="仿宋" w:hAnsi="仿宋" w:eastAsia="仿宋" w:cs="仿宋"/>
          <w:i w:val="0"/>
          <w:iCs w:val="0"/>
          <w:caps w:val="0"/>
          <w:color w:val="000000"/>
          <w:spacing w:val="0"/>
          <w:sz w:val="32"/>
          <w:szCs w:val="32"/>
          <w:lang w:val="en-US" w:eastAsia="zh-CN"/>
        </w:rPr>
        <w:t>文件，安排2022年</w:t>
      </w:r>
      <w:r>
        <w:rPr>
          <w:rFonts w:hint="eastAsia" w:ascii="仿宋" w:hAnsi="仿宋" w:eastAsia="仿宋" w:cs="仿宋"/>
          <w:i w:val="0"/>
          <w:iCs w:val="0"/>
          <w:caps w:val="0"/>
          <w:color w:val="000000"/>
          <w:spacing w:val="0"/>
          <w:sz w:val="32"/>
          <w:szCs w:val="32"/>
        </w:rPr>
        <w:t>新并入基本公共卫生服务项目中央补助资金</w:t>
      </w:r>
      <w:r>
        <w:rPr>
          <w:rFonts w:hint="eastAsia" w:ascii="仿宋" w:hAnsi="仿宋" w:eastAsia="仿宋" w:cs="仿宋"/>
          <w:i w:val="0"/>
          <w:iCs w:val="0"/>
          <w:caps w:val="0"/>
          <w:color w:val="000000"/>
          <w:spacing w:val="0"/>
          <w:sz w:val="32"/>
          <w:szCs w:val="32"/>
          <w:lang w:val="en-US" w:eastAsia="zh-CN"/>
        </w:rPr>
        <w:t>73.005万，市级调整收回其中重大疾病与健康危害因素监测部分资金34.135万，2022年仁和区疾病预防控制中心实际收到项目下达资金38.87万元。</w:t>
      </w:r>
    </w:p>
    <w:p>
      <w:pPr>
        <w:numPr>
          <w:ilvl w:val="0"/>
          <w:numId w:val="1"/>
        </w:numPr>
        <w:adjustRightInd w:val="0"/>
        <w:snapToGrid w:val="0"/>
        <w:spacing w:line="560" w:lineRule="exact"/>
        <w:ind w:left="24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rPr>
      </w:pPr>
      <w:r>
        <w:rPr>
          <w:rFonts w:hint="eastAsia" w:ascii="仿宋" w:hAnsi="仿宋" w:eastAsia="仿宋" w:cs="仿宋"/>
          <w:b w:val="0"/>
          <w:bCs/>
          <w:sz w:val="32"/>
          <w:szCs w:val="32"/>
          <w:lang w:val="en-US" w:eastAsia="zh-CN"/>
        </w:rPr>
        <w:t>项目实施总体目标是开</w:t>
      </w:r>
      <w:r>
        <w:rPr>
          <w:rFonts w:hint="eastAsia" w:ascii="仿宋" w:hAnsi="仿宋" w:eastAsia="仿宋" w:cs="仿宋"/>
          <w:b w:val="0"/>
          <w:bCs/>
          <w:sz w:val="32"/>
          <w:szCs w:val="32"/>
          <w:lang w:val="zh-CN"/>
        </w:rPr>
        <w:t>展</w:t>
      </w:r>
      <w:r>
        <w:rPr>
          <w:rFonts w:hint="eastAsia" w:ascii="仿宋" w:hAnsi="仿宋" w:eastAsia="仿宋" w:cs="仿宋"/>
          <w:b w:val="0"/>
          <w:bCs/>
          <w:sz w:val="32"/>
          <w:szCs w:val="32"/>
          <w:lang w:val="en-US" w:eastAsia="zh-CN"/>
        </w:rPr>
        <w:t>鼠疫防治</w:t>
      </w:r>
      <w:r>
        <w:rPr>
          <w:rFonts w:hint="eastAsia" w:ascii="仿宋" w:hAnsi="仿宋" w:eastAsia="仿宋" w:cs="仿宋"/>
          <w:b w:val="0"/>
          <w:bCs/>
          <w:sz w:val="32"/>
          <w:szCs w:val="32"/>
          <w:lang w:val="zh-CN"/>
        </w:rPr>
        <w:t>监测，有效控制疾病流行，为制定相关政策提供科学依据。保持重点地方疾病防治措施全面落实。开展职业病监测，最大限度地保护放射工作人员、患者和公众的健康权益。</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1．资金计划及到位。</w:t>
      </w:r>
      <w:r>
        <w:rPr>
          <w:rFonts w:hint="eastAsia" w:ascii="仿宋" w:hAnsi="仿宋" w:eastAsia="仿宋" w:cs="仿宋"/>
          <w:i w:val="0"/>
          <w:iCs w:val="0"/>
          <w:caps w:val="0"/>
          <w:color w:val="000000"/>
          <w:spacing w:val="0"/>
          <w:sz w:val="32"/>
          <w:szCs w:val="32"/>
          <w:lang w:val="en-US" w:eastAsia="zh-CN"/>
        </w:rPr>
        <w:t>仁和区疾病预防控制中心2022年7月收到仁和区财政局下达项目资金38.87万元，主要包括重点地方病防治资金13.4万元、职业病防治资金9.47万元、鼠疫防治监测14万元、食品安全与营养健康2万元。</w:t>
      </w:r>
      <w:r>
        <w:rPr>
          <w:rFonts w:hint="eastAsia" w:ascii="仿宋" w:hAnsi="仿宋" w:eastAsia="仿宋" w:cs="仿宋"/>
          <w:sz w:val="32"/>
          <w:szCs w:val="32"/>
          <w:lang w:val="en-US" w:eastAsia="zh-CN"/>
        </w:rPr>
        <w:t>资金到位率100%。</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2．资金使用。</w:t>
      </w:r>
    </w:p>
    <w:p>
      <w:pPr>
        <w:adjustRightInd w:val="0"/>
        <w:snapToGrid w:val="0"/>
        <w:spacing w:line="560" w:lineRule="exact"/>
        <w:ind w:firstLine="720"/>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截止2022年12月31日按照项目实施方案开展项目工作，已经发生的支出合计38.78万元，实际完成支付8.24万元，由于财政资金紧张还有</w:t>
      </w:r>
      <w:r>
        <w:rPr>
          <w:rFonts w:hint="eastAsia" w:ascii="仿宋" w:hAnsi="仿宋" w:eastAsia="仿宋" w:cs="仿宋"/>
          <w:color w:val="000000"/>
          <w:sz w:val="32"/>
          <w:szCs w:val="32"/>
          <w:lang w:val="en-US" w:eastAsia="zh-CN"/>
        </w:rPr>
        <w:t>由于财政资金紧张还有30.54万已发生支出财政还未确认支付</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按照上级主管部门制定的</w:t>
      </w:r>
      <w:r>
        <w:rPr>
          <w:rFonts w:hint="eastAsia" w:ascii="仿宋" w:hAnsi="仿宋" w:eastAsia="仿宋"/>
          <w:kern w:val="0"/>
          <w:sz w:val="32"/>
          <w:szCs w:val="32"/>
          <w:lang w:val="en-US" w:eastAsia="zh-CN"/>
        </w:rPr>
        <w:t>项目</w:t>
      </w:r>
      <w:r>
        <w:rPr>
          <w:rFonts w:ascii="仿宋" w:hAnsi="仿宋" w:eastAsia="仿宋"/>
          <w:kern w:val="0"/>
          <w:sz w:val="32"/>
          <w:szCs w:val="32"/>
        </w:rPr>
        <w:t>工作方案</w:t>
      </w:r>
      <w:r>
        <w:rPr>
          <w:rFonts w:hint="eastAsia" w:ascii="仿宋" w:hAnsi="仿宋" w:eastAsia="仿宋"/>
          <w:kern w:val="0"/>
          <w:sz w:val="32"/>
          <w:szCs w:val="32"/>
          <w:lang w:val="en-US" w:eastAsia="zh-CN"/>
        </w:rPr>
        <w:t>开展基本公共卫生服务</w:t>
      </w:r>
      <w:r>
        <w:rPr>
          <w:rFonts w:ascii="仿宋" w:hAnsi="仿宋" w:eastAsia="仿宋"/>
          <w:kern w:val="0"/>
          <w:sz w:val="32"/>
          <w:szCs w:val="32"/>
        </w:rPr>
        <w:t>相关工作，</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仁和区疾病预防控制中心按照上级业务部门下达的项目实施方案、</w:t>
      </w:r>
      <w:r>
        <w:rPr>
          <w:rFonts w:hint="eastAsia" w:ascii="仿宋" w:hAnsi="仿宋" w:eastAsia="仿宋" w:cs="仿宋"/>
          <w:sz w:val="32"/>
          <w:szCs w:val="32"/>
          <w:lang w:val="zh-CN"/>
        </w:rPr>
        <w:t>年初制定的绩效目标和各项工作指标开展各项工作，</w:t>
      </w:r>
      <w:r>
        <w:rPr>
          <w:rFonts w:hint="eastAsia" w:ascii="仿宋" w:hAnsi="仿宋" w:eastAsia="仿宋" w:cs="仿宋"/>
          <w:sz w:val="32"/>
          <w:szCs w:val="32"/>
          <w:lang w:val="en-US" w:eastAsia="zh-CN"/>
        </w:rPr>
        <w:t>将具体指标分解到具体承担业务工作的相关业务科室确保各项工作顺利推进。</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bidi w:val="0"/>
        <w:ind w:firstLine="640" w:firstLineChars="200"/>
        <w:rPr>
          <w:rFonts w:hint="eastAsia" w:ascii="仿宋" w:hAnsi="仿宋" w:eastAsia="仿宋" w:cs="仿宋"/>
          <w:sz w:val="32"/>
          <w:szCs w:val="32"/>
          <w:lang w:val="en-US"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w:t>
      </w:r>
      <w:r>
        <w:rPr>
          <w:rFonts w:hint="eastAsia" w:ascii="仿宋_GB2312" w:hAnsi="仿宋_GB2312" w:cs="仿宋_GB2312"/>
          <w:color w:val="auto"/>
          <w:sz w:val="32"/>
          <w:szCs w:val="32"/>
          <w:lang w:val="en-US" w:eastAsia="zh-CN"/>
        </w:rPr>
        <w:t>项目工作方案</w:t>
      </w:r>
      <w:r>
        <w:rPr>
          <w:rFonts w:hint="eastAsia" w:ascii="仿宋_GB2312" w:hAnsi="仿宋_GB2312" w:eastAsia="仿宋_GB2312" w:cs="仿宋_GB2312"/>
          <w:color w:val="auto"/>
          <w:sz w:val="32"/>
          <w:szCs w:val="32"/>
        </w:rPr>
        <w:t>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w:t>
      </w:r>
      <w:r>
        <w:rPr>
          <w:rFonts w:hint="eastAsia" w:ascii="仿宋" w:hAnsi="仿宋" w:eastAsia="仿宋" w:cs="仿宋"/>
          <w:sz w:val="32"/>
          <w:szCs w:val="32"/>
          <w:lang w:val="en-US" w:eastAsia="zh-CN"/>
        </w:rPr>
        <w:t>2022年12月31日各项考核指标任务达到上级要求。</w:t>
      </w:r>
    </w:p>
    <w:p>
      <w:pPr>
        <w:numPr>
          <w:ilvl w:val="0"/>
          <w:numId w:val="2"/>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重点地方病防治工作</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克山病、碘缺乏病继续保持消除水平。主动搜索发现5例疑似克山病病例，对9例慢型克山病患者进行了免费诊治，完成36例患者随访。采集五个乡镇儿童尿样、碘盐各200份，孕妇尿样、碘盐各100份，尿碘盐碘检测均达到碘盐适宜水平。地氟病维持在国家控制水平。采集病区乡8个村8份水样进行检测,氟含量均小于1mg/L，对病区学校8-12岁524名学生进行氟斑牙检诊发现氟斑牙49人，氟斑牙患病率9.35%，低于地氟病病区村氟斑牙患病率30%的控制标准；  </w:t>
      </w:r>
    </w:p>
    <w:p>
      <w:pPr>
        <w:numPr>
          <w:ilvl w:val="0"/>
          <w:numId w:val="2"/>
        </w:numPr>
        <w:bidi w:val="0"/>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职业病防治，在四川省职业病防治综合管理信息系统内，审核职业健康检查个案报告5182条。完成20家工作场所职业病危害因素监测工作。对71名尘肺病患者开展随访工作。</w:t>
      </w:r>
    </w:p>
    <w:p>
      <w:pPr>
        <w:numPr>
          <w:ilvl w:val="0"/>
          <w:numId w:val="0"/>
        </w:numPr>
        <w:bidi w:val="0"/>
        <w:ind w:firstLine="640" w:firstLineChars="200"/>
        <w:rPr>
          <w:rFonts w:ascii="楷体_GB2312" w:hAnsi="宋体" w:eastAsia="楷体_GB2312"/>
          <w:b/>
          <w:lang w:val="zh-CN"/>
        </w:rPr>
      </w:pPr>
      <w:r>
        <w:rPr>
          <w:rFonts w:hint="eastAsia" w:ascii="仿宋" w:hAnsi="仿宋" w:eastAsia="仿宋" w:cs="仿宋"/>
          <w:sz w:val="32"/>
          <w:szCs w:val="32"/>
          <w:lang w:val="en-US" w:eastAsia="zh-CN"/>
        </w:rPr>
        <w:t>3、鼠疫防治，在4个乡镇开展鼠疫监测，捕获啮齿类动物178只，鼠疫F1抗体结果阴性。</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pStyle w:val="2"/>
        <w:ind w:left="0" w:leftChars="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通过项目实施逐年缩小</w:t>
      </w:r>
      <w:r>
        <w:rPr>
          <w:rFonts w:hint="eastAsia" w:ascii="仿宋" w:hAnsi="仿宋" w:eastAsia="仿宋" w:cs="仿宋"/>
          <w:b w:val="0"/>
          <w:bCs/>
          <w:i w:val="0"/>
          <w:iCs w:val="0"/>
          <w:color w:val="000000"/>
          <w:kern w:val="0"/>
          <w:sz w:val="32"/>
          <w:szCs w:val="32"/>
          <w:u w:val="none"/>
          <w:lang w:val="en-US" w:eastAsia="zh-CN" w:bidi="ar"/>
        </w:rPr>
        <w:t>城乡居民公共卫生差距，提升基本公共卫生服务水平，提高居民健康素养水平</w:t>
      </w:r>
    </w:p>
    <w:p>
      <w:pPr>
        <w:adjustRightInd w:val="0"/>
        <w:snapToGrid w:val="0"/>
        <w:spacing w:line="560" w:lineRule="exact"/>
        <w:ind w:firstLine="640" w:firstLineChars="200"/>
        <w:rPr>
          <w:rFonts w:ascii="黑体" w:hAnsi="宋体" w:eastAsia="黑体"/>
        </w:rPr>
      </w:pPr>
      <w:r>
        <w:rPr>
          <w:rFonts w:hint="eastAsia" w:ascii="黑体" w:hAnsi="宋体" w:eastAsia="黑体"/>
        </w:rPr>
        <w:t>四、问题及建议</w:t>
      </w:r>
    </w:p>
    <w:p>
      <w:pPr>
        <w:adjustRightInd w:val="0"/>
        <w:snapToGrid w:val="0"/>
        <w:spacing w:line="560" w:lineRule="exact"/>
        <w:ind w:firstLine="321" w:firstLineChars="100"/>
        <w:rPr>
          <w:rFonts w:hint="eastAsia" w:ascii="楷体_GB2312" w:hAnsi="宋体" w:eastAsia="楷体_GB2312"/>
          <w:b/>
          <w:lang w:val="zh-CN"/>
        </w:rPr>
      </w:pPr>
      <w:r>
        <w:rPr>
          <w:rFonts w:hint="eastAsia" w:ascii="楷体_GB2312" w:hAnsi="宋体" w:eastAsia="楷体_GB2312"/>
          <w:b/>
          <w:lang w:val="zh-CN"/>
        </w:rPr>
        <w:t>（一）存在的问题。</w:t>
      </w:r>
    </w:p>
    <w:p>
      <w:pPr>
        <w:pStyle w:val="2"/>
        <w:ind w:left="0" w:leftChars="0" w:firstLine="960" w:firstLineChars="3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由于财政资金紧张，财政资金不能全额支付已经发生的项目工作费用，致使项目资金执行进度未达到预期及上级要求。</w:t>
      </w:r>
    </w:p>
    <w:p>
      <w:pPr>
        <w:widowControl/>
        <w:adjustRightInd w:val="0"/>
        <w:snapToGrid w:val="0"/>
        <w:spacing w:line="580" w:lineRule="exact"/>
        <w:contextualSpacing/>
        <w:jc w:val="left"/>
        <w:rPr>
          <w:rFonts w:hint="eastAsia" w:ascii="仿宋_GB2312" w:hAnsi="宋体"/>
          <w:lang w:val="zh-CN"/>
        </w:rPr>
      </w:pPr>
    </w:p>
    <w:p>
      <w:pPr>
        <w:widowControl/>
        <w:adjustRightInd w:val="0"/>
        <w:snapToGrid w:val="0"/>
        <w:spacing w:line="580" w:lineRule="exact"/>
        <w:contextualSpacing/>
        <w:jc w:val="left"/>
        <w:rPr>
          <w:color w:val="000000"/>
          <w:kern w:val="0"/>
          <w:szCs w:val="32"/>
          <w:shd w:val="clear" w:color="auto" w:fill="FFFFFF"/>
          <w:lang w:val="zh-CN"/>
        </w:rPr>
      </w:pP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6"/>
        <w:tblpPr w:leftFromText="180" w:rightFromText="180" w:vertAnchor="text" w:horzAnchor="page" w:tblpX="1256" w:tblpY="221"/>
        <w:tblOverlap w:val="never"/>
        <w:tblW w:w="5633" w:type="pct"/>
        <w:tblInd w:w="0" w:type="dxa"/>
        <w:tblLayout w:type="autofit"/>
        <w:tblCellMar>
          <w:top w:w="0" w:type="dxa"/>
          <w:left w:w="108" w:type="dxa"/>
          <w:bottom w:w="0" w:type="dxa"/>
          <w:right w:w="108" w:type="dxa"/>
        </w:tblCellMar>
      </w:tblPr>
      <w:tblGrid>
        <w:gridCol w:w="703"/>
        <w:gridCol w:w="718"/>
        <w:gridCol w:w="1217"/>
        <w:gridCol w:w="1194"/>
        <w:gridCol w:w="2202"/>
        <w:gridCol w:w="3332"/>
        <w:gridCol w:w="235"/>
      </w:tblGrid>
      <w:tr>
        <w:tblPrEx>
          <w:tblCellMar>
            <w:top w:w="0" w:type="dxa"/>
            <w:left w:w="108" w:type="dxa"/>
            <w:bottom w:w="0" w:type="dxa"/>
            <w:right w:w="108" w:type="dxa"/>
          </w:tblCellMar>
        </w:tblPrEx>
        <w:trPr>
          <w:trHeight w:val="675" w:hRule="atLeast"/>
        </w:trPr>
        <w:tc>
          <w:tcPr>
            <w:tcW w:w="4877"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p>
            <w:pPr>
              <w:widowControl/>
              <w:jc w:val="center"/>
              <w:textAlignment w:val="center"/>
              <w:rPr>
                <w:rFonts w:hint="eastAsia" w:eastAsia="宋体"/>
                <w:b/>
                <w:color w:val="000000"/>
                <w:szCs w:val="32"/>
                <w:lang w:val="en-US" w:eastAsia="zh-CN"/>
              </w:rPr>
            </w:pPr>
            <w:r>
              <w:rPr>
                <w:rFonts w:hint="eastAsia" w:eastAsia="宋体"/>
                <w:b/>
                <w:color w:val="000000"/>
                <w:szCs w:val="32"/>
                <w:lang w:eastAsia="zh-CN"/>
              </w:rPr>
              <w:t>（</w:t>
            </w:r>
            <w:r>
              <w:rPr>
                <w:rFonts w:hint="eastAsia" w:eastAsia="宋体"/>
                <w:b/>
                <w:color w:val="000000"/>
                <w:szCs w:val="32"/>
                <w:lang w:val="en-US" w:eastAsia="zh-CN"/>
              </w:rPr>
              <w:t>2022年基本公共卫生服务（新并入基本公共卫生服务）</w:t>
            </w:r>
          </w:p>
          <w:p>
            <w:pPr>
              <w:widowControl/>
              <w:jc w:val="center"/>
              <w:textAlignment w:val="center"/>
              <w:rPr>
                <w:rFonts w:hint="eastAsia" w:eastAsia="宋体"/>
                <w:b/>
                <w:color w:val="000000"/>
                <w:szCs w:val="32"/>
                <w:lang w:eastAsia="zh-CN"/>
              </w:rPr>
            </w:pPr>
            <w:r>
              <w:rPr>
                <w:rFonts w:hint="eastAsia" w:eastAsia="宋体"/>
                <w:b/>
                <w:color w:val="000000"/>
                <w:szCs w:val="32"/>
                <w:lang w:val="en-US" w:eastAsia="zh-CN"/>
              </w:rPr>
              <w:t>中央财政补助资金</w:t>
            </w:r>
            <w:r>
              <w:rPr>
                <w:rFonts w:hint="eastAsia" w:eastAsia="宋体"/>
                <w:b/>
                <w:color w:val="000000"/>
                <w:szCs w:val="32"/>
                <w:lang w:eastAsia="zh-CN"/>
              </w:rPr>
              <w:t>）</w:t>
            </w:r>
          </w:p>
        </w:tc>
        <w:tc>
          <w:tcPr>
            <w:tcW w:w="122"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22" w:type="pct"/>
          <w:trHeight w:val="254" w:hRule="atLeast"/>
        </w:trPr>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仁和区疾病预防控制中心</w:t>
            </w:r>
          </w:p>
        </w:tc>
      </w:tr>
      <w:tr>
        <w:tblPrEx>
          <w:tblCellMar>
            <w:top w:w="0" w:type="dxa"/>
            <w:left w:w="108" w:type="dxa"/>
            <w:bottom w:w="0" w:type="dxa"/>
            <w:right w:w="108" w:type="dxa"/>
          </w:tblCellMar>
        </w:tblPrEx>
        <w:trPr>
          <w:gridAfter w:val="1"/>
          <w:wAfter w:w="122" w:type="pct"/>
          <w:trHeight w:val="341" w:hRule="atLeast"/>
        </w:trPr>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预算数：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38.87</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执行数：</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8.24</w:t>
            </w:r>
          </w:p>
        </w:tc>
      </w:tr>
      <w:tr>
        <w:tblPrEx>
          <w:tblCellMar>
            <w:top w:w="0" w:type="dxa"/>
            <w:left w:w="108" w:type="dxa"/>
            <w:bottom w:w="0" w:type="dxa"/>
            <w:right w:w="108" w:type="dxa"/>
          </w:tblCellMar>
        </w:tblPrEx>
        <w:trPr>
          <w:gridAfter w:val="1"/>
          <w:wAfter w:w="122" w:type="pct"/>
          <w:trHeight w:val="577" w:hRule="atLeast"/>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color w:val="000000"/>
                <w:kern w:val="0"/>
                <w:sz w:val="24"/>
                <w:lang w:bidi="ar"/>
              </w:rPr>
            </w:pPr>
            <w:r>
              <w:rPr>
                <w:color w:val="000000"/>
                <w:kern w:val="0"/>
                <w:sz w:val="24"/>
                <w:lang w:bidi="ar"/>
              </w:rPr>
              <w:t>其中：</w:t>
            </w:r>
          </w:p>
          <w:p>
            <w:pPr>
              <w:widowControl/>
              <w:spacing w:line="320" w:lineRule="exact"/>
              <w:jc w:val="both"/>
              <w:textAlignment w:val="center"/>
              <w:rPr>
                <w:color w:val="000000"/>
                <w:sz w:val="24"/>
              </w:rPr>
            </w:pPr>
            <w:r>
              <w:rPr>
                <w:rFonts w:hint="eastAsia"/>
                <w:color w:val="000000"/>
                <w:kern w:val="0"/>
                <w:sz w:val="24"/>
                <w:lang w:val="en-US" w:eastAsia="zh-CN" w:bidi="ar"/>
              </w:rPr>
              <w:t>财</w:t>
            </w:r>
            <w:r>
              <w:rPr>
                <w:color w:val="000000"/>
                <w:kern w:val="0"/>
                <w:sz w:val="24"/>
                <w:lang w:bidi="ar"/>
              </w:rPr>
              <w:t>政拨款</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38.87</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其中：</w:t>
            </w:r>
          </w:p>
          <w:p>
            <w:pPr>
              <w:widowControl/>
              <w:spacing w:line="320" w:lineRule="exact"/>
              <w:jc w:val="center"/>
              <w:textAlignment w:val="center"/>
              <w:rPr>
                <w:color w:val="000000"/>
                <w:sz w:val="24"/>
              </w:rPr>
            </w:pPr>
            <w:r>
              <w:rPr>
                <w:color w:val="000000"/>
                <w:kern w:val="0"/>
                <w:sz w:val="24"/>
                <w:lang w:bidi="ar"/>
              </w:rPr>
              <w:t>财政拨款</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8.24</w:t>
            </w:r>
          </w:p>
        </w:tc>
      </w:tr>
      <w:tr>
        <w:tblPrEx>
          <w:tblCellMar>
            <w:top w:w="0" w:type="dxa"/>
            <w:left w:w="108" w:type="dxa"/>
            <w:bottom w:w="0" w:type="dxa"/>
            <w:right w:w="108" w:type="dxa"/>
          </w:tblCellMar>
        </w:tblPrEx>
        <w:trPr>
          <w:gridAfter w:val="1"/>
          <w:wAfter w:w="122" w:type="pct"/>
          <w:trHeight w:val="341" w:hRule="atLeast"/>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其他资金</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其他资金</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2" w:type="pct"/>
          <w:trHeight w:val="217"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16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28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22" w:type="pct"/>
          <w:trHeight w:val="1297"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1630"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color w:val="000000"/>
                <w:sz w:val="21"/>
                <w:szCs w:val="21"/>
              </w:rPr>
            </w:pPr>
            <w:r>
              <w:rPr>
                <w:rFonts w:hint="eastAsia"/>
                <w:color w:val="000000"/>
                <w:sz w:val="21"/>
                <w:szCs w:val="21"/>
              </w:rPr>
              <w:t>开展对重点疾病及危害因素监测，有效控制疾病流行，为制定相关政策提供科学依据。保持重点地方疾病防治措施全面落实。开展职业病监测，最大限度地保护放射工作人员、患者和公众的健康权益。</w:t>
            </w:r>
          </w:p>
        </w:tc>
        <w:tc>
          <w:tcPr>
            <w:tcW w:w="2880"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color w:val="000000"/>
                <w:sz w:val="21"/>
                <w:szCs w:val="21"/>
              </w:rPr>
            </w:pPr>
            <w:r>
              <w:rPr>
                <w:rFonts w:hint="eastAsia"/>
                <w:color w:val="000000"/>
                <w:sz w:val="21"/>
                <w:szCs w:val="21"/>
              </w:rPr>
              <w:t>截止2022年12月31</w:t>
            </w:r>
            <w:r>
              <w:rPr>
                <w:rFonts w:hint="eastAsia"/>
                <w:color w:val="000000"/>
                <w:sz w:val="21"/>
                <w:szCs w:val="21"/>
                <w:lang w:eastAsia="zh-CN"/>
              </w:rPr>
              <w:t>，</w:t>
            </w:r>
            <w:r>
              <w:rPr>
                <w:rFonts w:hint="eastAsia"/>
                <w:color w:val="000000"/>
                <w:sz w:val="21"/>
                <w:szCs w:val="21"/>
              </w:rPr>
              <w:t>1、克山病、碘缺乏病继续保持消除水平。主动搜索发现5例疑似克山病病例，对9例慢型克山病患者进行了免费诊治，完成36例患者随访。采集五个乡镇儿童尿样、碘盐各200份，孕妇尿样、碘盐各100份，尿碘盐碘检测均达到碘盐适宜水平。2、地氟病维持在国家控制水平。采集病区乡8个村8份水样进行检测,氟含量均小于1mg/L，对病区学校8-12岁524名学生进行氟斑牙检诊发现氟斑牙49人，氟斑牙患病率9.35%，低于地氟病病区村氟斑牙患病率30%的控制标准；3、职业病防治，在四川省职业病防治综合管理信息系统内，审核职业健康检查个案报告5182条。完成20家工作场所职业病危害因素监测工作。对71名尘肺病患者开展随访工作。4、鼠疫防治，在4个乡镇开展鼠疫监测，捕获啮齿类动物178只，鼠疫F1抗体结果阴性。</w:t>
            </w:r>
          </w:p>
        </w:tc>
      </w:tr>
      <w:tr>
        <w:tblPrEx>
          <w:tblCellMar>
            <w:top w:w="0" w:type="dxa"/>
            <w:left w:w="108" w:type="dxa"/>
            <w:bottom w:w="0" w:type="dxa"/>
            <w:right w:w="108" w:type="dxa"/>
          </w:tblCellMar>
        </w:tblPrEx>
        <w:trPr>
          <w:gridAfter w:val="1"/>
          <w:wAfter w:w="122" w:type="pct"/>
          <w:trHeight w:val="738" w:hRule="atLeast"/>
        </w:trPr>
        <w:tc>
          <w:tcPr>
            <w:tcW w:w="36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374"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634"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碘缺乏病监测</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抽查五个乡镇孕妇、儿童8-10尿碘盐碘检测</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采集五个乡镇儿童尿样、碘盐各200份，孕妇尿样、碘盐各100份，尿碘盐碘检测均达到碘盐适宜水平。完成率：100%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克山病监测</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在辖区医疗机构主动搜索克山病病例。</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主动搜索发现5例疑似克山病病例。完成率：100%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饮水型地方性氟中毒监测</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5个病区乡的8个村8-12岁儿童氟斑牙筛查，8个村生活饮用水采集水样做水氟含量监测。</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采集病区乡8个村8份水样进行检测,氟含量均小1mg/L，对病区学校8-12岁524名学生进行氟斑牙检诊发现氟斑牙49人，氟斑牙患病率9.35%，低于地氟病病区村氟斑牙患病率30%的</w:t>
            </w:r>
            <w:bookmarkStart w:id="0" w:name="_GoBack"/>
            <w:bookmarkEnd w:id="0"/>
            <w:r>
              <w:rPr>
                <w:rFonts w:hint="eastAsia" w:ascii="仿宋" w:hAnsi="仿宋" w:eastAsia="仿宋" w:cs="仿宋"/>
                <w:i w:val="0"/>
                <w:iCs w:val="0"/>
                <w:color w:val="000000"/>
                <w:kern w:val="0"/>
                <w:sz w:val="21"/>
                <w:szCs w:val="21"/>
                <w:u w:val="none"/>
                <w:lang w:val="en-US" w:eastAsia="zh-CN" w:bidi="ar"/>
              </w:rPr>
              <w:t>控制标准。完成率：100%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克山病人治疗</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对克山病慢克患者开展治疗，克山病患者随访体检。</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对9例慢型克山病患者进行了免费诊治，完成36例患者随访。完成率100%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职业健康核心指标监测区县覆盖率</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≥92%</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鼠疫防治工作</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在4个乡镇开展鼠疫监测，捕获啮齿类动物178只，鼠疫F1抗体结果阴性。</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克山病监测及治疗、碘缺乏病监测</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任务完成率100%</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职业病防治</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按照省、市级监测工作方案要求，抽取20家涉及职业危害的企业开展工作场所职业病危害因素监测工作。完成现场调查、实验室委托监测、数据上报。</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鼠疫监测</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在4个乡镇开展鼠疫监测，捕获啮齿类动物178只，鼠疫F1抗体结果阴性。</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rFonts w:hint="eastAsia"/>
                <w:color w:val="000000"/>
                <w:sz w:val="21"/>
                <w:szCs w:val="21"/>
              </w:rPr>
              <w:t>2022年1月至2022年12月</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rFonts w:hint="eastAsia"/>
                <w:color w:val="000000"/>
                <w:sz w:val="21"/>
                <w:szCs w:val="21"/>
              </w:rPr>
              <w:t>落实工作措施，12月底各项考核指标任务达到上级要求</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rFonts w:hint="eastAsia"/>
                <w:color w:val="000000"/>
                <w:sz w:val="21"/>
                <w:szCs w:val="21"/>
              </w:rPr>
              <w:t>2022年12月31日各项考核指标任务达到上级要求</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职业病、重点地方病及鼠疫防治工作</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38.87万元</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实际完成支付8.24万元，由于财政资金紧张还有30.54万已发生支出财政还未确认支付</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经济效益指标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rPr>
            </w:pP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rPr>
            </w:pP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城乡居民公共卫生差距</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不断缩小</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逐年缩小</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居民健康素养水平</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不断提高</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逐年提高</w:t>
            </w:r>
          </w:p>
        </w:tc>
      </w:tr>
      <w:tr>
        <w:tblPrEx>
          <w:tblCellMar>
            <w:top w:w="0" w:type="dxa"/>
            <w:left w:w="108" w:type="dxa"/>
            <w:bottom w:w="0" w:type="dxa"/>
            <w:right w:w="108" w:type="dxa"/>
          </w:tblCellMar>
        </w:tblPrEx>
        <w:trPr>
          <w:gridAfter w:val="1"/>
          <w:wAfter w:w="122" w:type="pct"/>
          <w:trHeight w:val="577"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生态效益指标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rPr>
            </w:pP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21"/>
                <w:szCs w:val="21"/>
              </w:rPr>
            </w:pP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kern w:val="0"/>
                <w:sz w:val="28"/>
                <w:szCs w:val="28"/>
                <w:lang w:val="en-US" w:eastAsia="zh-CN" w:bidi="ar"/>
              </w:rPr>
              <w:t>可持续</w:t>
            </w:r>
            <w:r>
              <w:rPr>
                <w:color w:val="000000"/>
                <w:kern w:val="0"/>
                <w:sz w:val="28"/>
                <w:szCs w:val="28"/>
                <w:lang w:bidi="ar"/>
              </w:rPr>
              <w:t>影响 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基本公共卫生服务水平</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不断提高</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逐年提高</w:t>
            </w:r>
          </w:p>
        </w:tc>
      </w:tr>
      <w:tr>
        <w:tblPrEx>
          <w:tblCellMar>
            <w:top w:w="0" w:type="dxa"/>
            <w:left w:w="108" w:type="dxa"/>
            <w:bottom w:w="0" w:type="dxa"/>
            <w:right w:w="108" w:type="dxa"/>
          </w:tblCellMar>
        </w:tblPrEx>
        <w:trPr>
          <w:gridAfter w:val="1"/>
          <w:wAfter w:w="122" w:type="pct"/>
          <w:trHeight w:val="480" w:hRule="atLeast"/>
        </w:trPr>
        <w:tc>
          <w:tcPr>
            <w:tcW w:w="366"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重点人群满意度</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抽样调查满意度达到95%及以上</w:t>
            </w:r>
          </w:p>
        </w:tc>
        <w:tc>
          <w:tcPr>
            <w:tcW w:w="1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抽样调查满意度达到95%</w:t>
            </w:r>
          </w:p>
        </w:tc>
      </w:tr>
    </w:tbl>
    <w:p>
      <w:pPr>
        <w:widowControl/>
        <w:adjustRightInd w:val="0"/>
        <w:snapToGrid w:val="0"/>
        <w:spacing w:line="580" w:lineRule="exact"/>
        <w:contextualSpacing/>
        <w:jc w:val="left"/>
        <w:rPr>
          <w:color w:val="000000"/>
          <w:kern w:val="0"/>
          <w:sz w:val="21"/>
          <w:szCs w:val="21"/>
          <w:shd w:val="clear" w:color="auto" w:fill="FFFFFF"/>
        </w:rPr>
      </w:pPr>
      <w:r>
        <w:rPr>
          <w:color w:val="000000"/>
          <w:kern w:val="0"/>
          <w:sz w:val="21"/>
          <w:szCs w:val="21"/>
          <w:shd w:val="clear" w:color="auto" w:fill="FFFFFF"/>
        </w:rPr>
        <w:t>（注：有两个及以上50万元以上（含）特定目标类部门预算项目的，需分别开展绩效目标自评并填写附表）</w:t>
      </w:r>
    </w:p>
    <w:p/>
    <w:p>
      <w:pPr>
        <w:adjustRightInd w:val="0"/>
        <w:snapToGrid w:val="0"/>
        <w:spacing w:line="560" w:lineRule="exact"/>
        <w:ind w:firstLine="7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D7733"/>
    <w:multiLevelType w:val="singleLevel"/>
    <w:tmpl w:val="103D7733"/>
    <w:lvl w:ilvl="0" w:tentative="0">
      <w:start w:val="1"/>
      <w:numFmt w:val="decimal"/>
      <w:suff w:val="nothing"/>
      <w:lvlText w:val="%1、"/>
      <w:lvlJc w:val="left"/>
    </w:lvl>
  </w:abstractNum>
  <w:abstractNum w:abstractNumId="1">
    <w:nsid w:val="10FF40CB"/>
    <w:multiLevelType w:val="singleLevel"/>
    <w:tmpl w:val="10FF40CB"/>
    <w:lvl w:ilvl="0" w:tentative="0">
      <w:start w:val="2"/>
      <w:numFmt w:val="chineseCounting"/>
      <w:suff w:val="nothing"/>
      <w:lvlText w:val="（%1）"/>
      <w:lvlJc w:val="left"/>
      <w:pPr>
        <w:ind w:left="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EDB478C"/>
    <w:rsid w:val="11BC67A9"/>
    <w:rsid w:val="15650B3D"/>
    <w:rsid w:val="16622D01"/>
    <w:rsid w:val="21DD1D2A"/>
    <w:rsid w:val="291C455A"/>
    <w:rsid w:val="314B4899"/>
    <w:rsid w:val="36926D0C"/>
    <w:rsid w:val="37335F00"/>
    <w:rsid w:val="39AC76B0"/>
    <w:rsid w:val="3E3602EE"/>
    <w:rsid w:val="3FC456AD"/>
    <w:rsid w:val="424F1E9C"/>
    <w:rsid w:val="427C1F26"/>
    <w:rsid w:val="4DAF2BCF"/>
    <w:rsid w:val="4DDB6F66"/>
    <w:rsid w:val="52C87FAA"/>
    <w:rsid w:val="586E490B"/>
    <w:rsid w:val="59853AE4"/>
    <w:rsid w:val="5AAB14CE"/>
    <w:rsid w:val="72C34C62"/>
    <w:rsid w:val="76FE4E09"/>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left="420" w:leftChars="200"/>
    </w:pPr>
  </w:style>
  <w:style w:type="paragraph" w:styleId="4">
    <w:name w:val="footer"/>
    <w:basedOn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2023-04-19T07:41:00Z</dcterms:created>
  <dc:creator>admin</dc:creator>
  <cp:lastModifiedBy>陶筱萱</cp:lastModifiedBy>
  <dcterms:modified xsi:type="dcterms:W3CDTF">2023-07-27T00:56:29Z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0437883BCDA74478A1E40FC996A7C4D1</vt:lpwstr>
  </property>
</Properties>
</file>