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D15EE" w:rsidRPr="00CD15EE" w:rsidRDefault="00CD15EE" w:rsidP="00CD15EE">
      <w:pPr>
        <w:spacing w:line="560" w:lineRule="exact"/>
        <w:ind w:firstLineChars="200" w:firstLine="880"/>
        <w:jc w:val="center"/>
        <w:rPr>
          <w:rFonts w:ascii="方正小标宋_GBK" w:eastAsia="方正小标宋_GBK" w:hint="eastAsia"/>
          <w:color w:val="000000" w:themeColor="text1"/>
          <w:sz w:val="44"/>
          <w:szCs w:val="44"/>
        </w:rPr>
      </w:pPr>
      <w:bookmarkStart w:id="0" w:name="_GoBack"/>
      <w:r w:rsidRPr="00CD15EE">
        <w:rPr>
          <w:rFonts w:ascii="方正小标宋_GBK" w:eastAsia="方正小标宋_GBK" w:hint="eastAsia"/>
          <w:color w:val="000000" w:themeColor="text1"/>
          <w:sz w:val="44"/>
          <w:szCs w:val="44"/>
        </w:rPr>
        <w:t>名词解释</w:t>
      </w:r>
    </w:p>
    <w:p w:rsidR="00CD15EE" w:rsidRPr="0052099D" w:rsidRDefault="00CD15EE" w:rsidP="00CD15EE">
      <w:pPr>
        <w:pStyle w:val="a6"/>
        <w:shd w:val="clear" w:color="auto" w:fill="FFFFFF"/>
        <w:spacing w:before="150" w:beforeAutospacing="0" w:after="150" w:afterAutospacing="0" w:line="540" w:lineRule="exact"/>
        <w:ind w:firstLineChars="200" w:firstLine="643"/>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1.财政拨款收入：</w:t>
      </w:r>
      <w:r w:rsidRPr="0052099D">
        <w:rPr>
          <w:rFonts w:ascii="仿宋_GB2312" w:eastAsia="仿宋_GB2312" w:hAnsi="Times New Roman" w:cs="Times New Roman" w:hint="eastAsia"/>
          <w:color w:val="000000"/>
          <w:sz w:val="32"/>
          <w:szCs w:val="32"/>
        </w:rPr>
        <w:t>指财政当年拨付的资金。</w:t>
      </w:r>
    </w:p>
    <w:p w:rsidR="00CD15EE" w:rsidRPr="0052099D" w:rsidRDefault="00CD15EE" w:rsidP="00CD15EE">
      <w:pPr>
        <w:pStyle w:val="a6"/>
        <w:shd w:val="clear" w:color="auto" w:fill="FFFFFF"/>
        <w:spacing w:before="150" w:beforeAutospacing="0" w:after="150" w:afterAutospacing="0" w:line="540" w:lineRule="exact"/>
        <w:ind w:firstLineChars="200" w:firstLine="643"/>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2.事业收入：</w:t>
      </w:r>
      <w:r w:rsidRPr="0052099D">
        <w:rPr>
          <w:rFonts w:ascii="仿宋_GB2312" w:eastAsia="仿宋_GB2312" w:hAnsi="Times New Roman" w:cs="Times New Roman" w:hint="eastAsia"/>
          <w:color w:val="000000"/>
          <w:sz w:val="32"/>
          <w:szCs w:val="32"/>
        </w:rPr>
        <w:t>指事业单位开展专业业务活动及辅助活动所取得的收入。</w:t>
      </w:r>
    </w:p>
    <w:p w:rsidR="00CD15EE" w:rsidRPr="0052099D" w:rsidRDefault="00CD15EE" w:rsidP="00CD15EE">
      <w:pPr>
        <w:pStyle w:val="a6"/>
        <w:shd w:val="clear" w:color="auto" w:fill="FFFFFF"/>
        <w:spacing w:before="150" w:beforeAutospacing="0" w:after="150" w:afterAutospacing="0" w:line="540" w:lineRule="exact"/>
        <w:ind w:firstLine="645"/>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3.经营收入：</w:t>
      </w:r>
      <w:r w:rsidRPr="0052099D">
        <w:rPr>
          <w:rFonts w:ascii="仿宋_GB2312" w:eastAsia="仿宋_GB2312" w:hAnsi="Times New Roman" w:cs="Times New Roman" w:hint="eastAsia"/>
          <w:color w:val="000000"/>
          <w:sz w:val="32"/>
          <w:szCs w:val="32"/>
        </w:rPr>
        <w:t>指事业单位在专业业务活动及其辅助活动之外开展非独立核算经营活动取得的收入。</w:t>
      </w:r>
    </w:p>
    <w:p w:rsidR="00CD15EE" w:rsidRPr="0052099D" w:rsidRDefault="00CD15EE" w:rsidP="00CD15EE">
      <w:pPr>
        <w:pStyle w:val="a6"/>
        <w:shd w:val="clear" w:color="auto" w:fill="FFFFFF"/>
        <w:spacing w:before="150" w:beforeAutospacing="0" w:after="150" w:afterAutospacing="0" w:line="540" w:lineRule="exact"/>
        <w:ind w:firstLine="645"/>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b/>
          <w:color w:val="000000"/>
          <w:sz w:val="32"/>
          <w:szCs w:val="32"/>
        </w:rPr>
        <w:t>4.其他收入：</w:t>
      </w:r>
      <w:r w:rsidRPr="0052099D">
        <w:rPr>
          <w:rFonts w:ascii="仿宋_GB2312" w:eastAsia="仿宋_GB2312" w:hAnsi="Times New Roman" w:cs="Times New Roman" w:hint="eastAsia"/>
          <w:color w:val="000000"/>
          <w:sz w:val="32"/>
          <w:szCs w:val="32"/>
        </w:rPr>
        <w:t>指除上述“财政拨款收入”、“事业收入”、“经营收入”等以外的收入。</w:t>
      </w:r>
    </w:p>
    <w:p w:rsidR="00CD15EE" w:rsidRPr="0052099D" w:rsidRDefault="00CD15EE" w:rsidP="00CD15EE">
      <w:pPr>
        <w:pStyle w:val="a6"/>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5.用事业基金弥补收支差额：</w:t>
      </w:r>
      <w:r w:rsidRPr="0052099D">
        <w:rPr>
          <w:rFonts w:ascii="仿宋_GB2312" w:eastAsia="仿宋_GB2312" w:hAnsi="Times New Roman" w:cs="Times New Roman" w:hint="eastAsia"/>
          <w:color w:val="000000"/>
          <w:sz w:val="32"/>
          <w:szCs w:val="32"/>
        </w:rPr>
        <w:t>指事业单位在当年的“财政拨款收入”、“事业收入”、“经营收入”、“其他收入”不足以安排当年支出的情况下，使用以前年度积累的事业基金（事业单位当年收支相抵后按国家规定提取、用于弥补以后年度收支差额的基金）弥补本年度收支缺口的资金。</w:t>
      </w:r>
    </w:p>
    <w:p w:rsidR="00CD15EE" w:rsidRPr="0052099D" w:rsidRDefault="00CD15EE" w:rsidP="00CD15EE">
      <w:pPr>
        <w:pStyle w:val="a6"/>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6.年初结转和结余：</w:t>
      </w:r>
      <w:r w:rsidRPr="0052099D">
        <w:rPr>
          <w:rFonts w:ascii="仿宋_GB2312" w:eastAsia="仿宋_GB2312" w:hAnsi="Times New Roman" w:cs="Times New Roman" w:hint="eastAsia"/>
          <w:color w:val="000000"/>
          <w:sz w:val="32"/>
          <w:szCs w:val="32"/>
        </w:rPr>
        <w:t>指以前年度尚未完成、结转到本年按有关规定继续使用的资金。</w:t>
      </w:r>
    </w:p>
    <w:p w:rsidR="00CD15EE" w:rsidRPr="0052099D" w:rsidRDefault="00CD15EE" w:rsidP="00CD15EE">
      <w:pPr>
        <w:pStyle w:val="a6"/>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7.结余分配：</w:t>
      </w:r>
      <w:r w:rsidRPr="0052099D">
        <w:rPr>
          <w:rFonts w:ascii="仿宋_GB2312" w:eastAsia="仿宋_GB2312" w:hAnsi="Times New Roman" w:cs="Times New Roman" w:hint="eastAsia"/>
          <w:color w:val="000000"/>
          <w:sz w:val="32"/>
          <w:szCs w:val="32"/>
        </w:rPr>
        <w:t>指事业单位按规定提取的职工福利基金、事业基金和缴纳的所得税，以及建设单位按规定应交回的基本建设竣工项目结余资金。</w:t>
      </w:r>
    </w:p>
    <w:p w:rsidR="00CD15EE" w:rsidRPr="0052099D" w:rsidRDefault="00CD15EE" w:rsidP="00CD15EE">
      <w:pPr>
        <w:pStyle w:val="a6"/>
        <w:shd w:val="clear" w:color="auto" w:fill="FFFFFF"/>
        <w:spacing w:before="150" w:beforeAutospacing="0" w:after="150" w:afterAutospacing="0" w:line="540" w:lineRule="exact"/>
        <w:rPr>
          <w:rFonts w:ascii="仿宋_GB2312" w:eastAsia="仿宋_GB2312" w:hAnsi="Times New Roman" w:cs="Times New Roman" w:hint="eastAsia"/>
          <w:color w:val="000000"/>
          <w:sz w:val="32"/>
          <w:szCs w:val="32"/>
        </w:rPr>
      </w:pPr>
      <w:r w:rsidRPr="0052099D">
        <w:rPr>
          <w:rFonts w:ascii="仿宋_GB2312" w:eastAsia="仿宋_GB2312" w:hAnsi="Times New Roman" w:cs="Times New Roman" w:hint="eastAsia"/>
          <w:color w:val="000000"/>
          <w:sz w:val="32"/>
          <w:szCs w:val="32"/>
        </w:rPr>
        <w:t xml:space="preserve">　　</w:t>
      </w:r>
      <w:r w:rsidRPr="0052099D">
        <w:rPr>
          <w:rFonts w:ascii="仿宋_GB2312" w:eastAsia="仿宋_GB2312" w:hAnsi="Times New Roman" w:cs="Times New Roman" w:hint="eastAsia"/>
          <w:b/>
          <w:color w:val="000000"/>
          <w:sz w:val="32"/>
          <w:szCs w:val="32"/>
        </w:rPr>
        <w:t>8.年末结转和结余：</w:t>
      </w:r>
      <w:r w:rsidRPr="0052099D">
        <w:rPr>
          <w:rFonts w:ascii="仿宋_GB2312" w:eastAsia="仿宋_GB2312" w:hAnsi="Times New Roman" w:cs="Times New Roman" w:hint="eastAsia"/>
          <w:color w:val="000000"/>
          <w:sz w:val="32"/>
          <w:szCs w:val="32"/>
        </w:rPr>
        <w:t>指本年度或以前年度预算安排、因客观条件发生变化无法按原计划实施，需延迟到以后年度按有关规定继续使用的资金。</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hint="eastAsia"/>
          <w:b/>
          <w:color w:val="000000"/>
          <w:sz w:val="32"/>
          <w:szCs w:val="32"/>
        </w:rPr>
        <w:t>9</w:t>
      </w:r>
      <w:r>
        <w:rPr>
          <w:rFonts w:eastAsia="仿宋_GB2312"/>
          <w:b/>
          <w:color w:val="000000"/>
          <w:sz w:val="32"/>
          <w:szCs w:val="32"/>
        </w:rPr>
        <w:t>.</w:t>
      </w:r>
      <w:r>
        <w:rPr>
          <w:rFonts w:eastAsia="仿宋_GB2312"/>
          <w:b/>
          <w:color w:val="000000"/>
          <w:sz w:val="32"/>
          <w:szCs w:val="32"/>
        </w:rPr>
        <w:t>一般公共服务（类）政府办公厅〔室〕及相关机构事务（款）行政运行（项）：</w:t>
      </w:r>
      <w:r>
        <w:rPr>
          <w:rFonts w:eastAsia="仿宋_GB2312"/>
          <w:snapToGrid w:val="0"/>
          <w:kern w:val="0"/>
          <w:sz w:val="32"/>
          <w:szCs w:val="32"/>
        </w:rPr>
        <w:t>反映行政单位（包括实行公务员</w:t>
      </w:r>
      <w:r>
        <w:rPr>
          <w:rFonts w:eastAsia="仿宋_GB2312"/>
          <w:snapToGrid w:val="0"/>
          <w:kern w:val="0"/>
          <w:sz w:val="32"/>
          <w:szCs w:val="32"/>
        </w:rPr>
        <w:lastRenderedPageBreak/>
        <w:t>管理的事业单位）的基本支出。</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hint="eastAsia"/>
          <w:b/>
          <w:color w:val="000000"/>
          <w:sz w:val="32"/>
          <w:szCs w:val="32"/>
        </w:rPr>
        <w:t>10</w:t>
      </w:r>
      <w:r>
        <w:rPr>
          <w:rFonts w:eastAsia="仿宋_GB2312"/>
          <w:b/>
          <w:color w:val="000000"/>
          <w:sz w:val="32"/>
          <w:szCs w:val="32"/>
        </w:rPr>
        <w:t>.</w:t>
      </w:r>
      <w:r>
        <w:rPr>
          <w:rFonts w:eastAsia="仿宋_GB2312"/>
          <w:b/>
          <w:color w:val="000000"/>
          <w:sz w:val="32"/>
          <w:szCs w:val="32"/>
        </w:rPr>
        <w:t>一般公共服务（类）政府办公厅〔室〕及相关机构事务（款）一般行政管理事务（项）：</w:t>
      </w:r>
      <w:r>
        <w:rPr>
          <w:rFonts w:eastAsia="仿宋_GB2312"/>
          <w:snapToGrid w:val="0"/>
          <w:kern w:val="0"/>
          <w:sz w:val="32"/>
          <w:szCs w:val="32"/>
        </w:rPr>
        <w:t>反映行政单位（包括实行公务员管理的事业单位）未单独设置项级科目的其他项目支出。</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hint="eastAsia"/>
          <w:b/>
          <w:color w:val="000000"/>
          <w:sz w:val="32"/>
          <w:szCs w:val="32"/>
        </w:rPr>
        <w:t>11</w:t>
      </w:r>
      <w:r>
        <w:rPr>
          <w:rFonts w:eastAsia="仿宋_GB2312"/>
          <w:b/>
          <w:color w:val="000000"/>
          <w:sz w:val="32"/>
          <w:szCs w:val="32"/>
        </w:rPr>
        <w:t>.</w:t>
      </w:r>
      <w:r>
        <w:rPr>
          <w:rFonts w:eastAsia="仿宋_GB2312"/>
          <w:b/>
          <w:color w:val="000000"/>
          <w:sz w:val="32"/>
          <w:szCs w:val="32"/>
        </w:rPr>
        <w:t>一般公共服务（类）政府办公厅〔室〕及相关机构事务（款）事业运行（项）：</w:t>
      </w:r>
      <w:r>
        <w:rPr>
          <w:rFonts w:eastAsia="仿宋_GB2312"/>
          <w:snapToGrid w:val="0"/>
          <w:kern w:val="0"/>
          <w:sz w:val="32"/>
          <w:szCs w:val="32"/>
        </w:rPr>
        <w:t>反映事业单位的基本支出，不包括行政单位（包括实行公务员管理的事业单位）后勤服务中心、医务室等附属事业单位。</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hint="eastAsia"/>
          <w:b/>
          <w:color w:val="000000"/>
          <w:sz w:val="32"/>
          <w:szCs w:val="32"/>
        </w:rPr>
        <w:t>12</w:t>
      </w:r>
      <w:r>
        <w:rPr>
          <w:rFonts w:eastAsia="仿宋_GB2312"/>
          <w:b/>
          <w:color w:val="000000"/>
          <w:sz w:val="32"/>
          <w:szCs w:val="32"/>
        </w:rPr>
        <w:t>.</w:t>
      </w:r>
      <w:r>
        <w:rPr>
          <w:rFonts w:eastAsia="仿宋_GB2312"/>
          <w:b/>
          <w:color w:val="000000"/>
          <w:sz w:val="32"/>
          <w:szCs w:val="32"/>
        </w:rPr>
        <w:t>社会保障和就业支出（类）行政事业单位养老支出（款）行政单位离退休（项）：</w:t>
      </w:r>
      <w:r>
        <w:rPr>
          <w:rFonts w:eastAsia="仿宋_GB2312"/>
          <w:snapToGrid w:val="0"/>
          <w:kern w:val="0"/>
          <w:sz w:val="32"/>
          <w:szCs w:val="32"/>
        </w:rPr>
        <w:t>反映行政单位（包括实行公务员管理的事业单位）开支的离退休经费。</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hint="eastAsia"/>
          <w:b/>
          <w:color w:val="000000"/>
          <w:sz w:val="32"/>
          <w:szCs w:val="32"/>
        </w:rPr>
        <w:t>13</w:t>
      </w:r>
      <w:r>
        <w:rPr>
          <w:rFonts w:eastAsia="仿宋_GB2312"/>
          <w:b/>
          <w:color w:val="000000"/>
          <w:sz w:val="32"/>
          <w:szCs w:val="32"/>
        </w:rPr>
        <w:t>.</w:t>
      </w:r>
      <w:r>
        <w:rPr>
          <w:rFonts w:eastAsia="仿宋_GB2312"/>
          <w:b/>
          <w:color w:val="000000"/>
          <w:sz w:val="32"/>
          <w:szCs w:val="32"/>
        </w:rPr>
        <w:t>社会保障和就业支出（类）行政事业单位养老支出（款）机关事业单位基本养老保险缴费支出（项）：</w:t>
      </w:r>
      <w:r>
        <w:rPr>
          <w:rFonts w:eastAsia="仿宋_GB2312"/>
          <w:snapToGrid w:val="0"/>
          <w:kern w:val="0"/>
          <w:sz w:val="32"/>
          <w:szCs w:val="32"/>
        </w:rPr>
        <w:t>反映机关事业单位实施养老保险制度由单位缴纳的基本养老保险费支出。</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hint="eastAsia"/>
          <w:b/>
          <w:color w:val="000000"/>
          <w:sz w:val="32"/>
          <w:szCs w:val="32"/>
        </w:rPr>
        <w:t>14</w:t>
      </w:r>
      <w:r>
        <w:rPr>
          <w:rFonts w:eastAsia="仿宋_GB2312"/>
          <w:b/>
          <w:color w:val="000000"/>
          <w:sz w:val="32"/>
          <w:szCs w:val="32"/>
        </w:rPr>
        <w:t>.</w:t>
      </w:r>
      <w:r>
        <w:rPr>
          <w:rFonts w:eastAsia="仿宋_GB2312"/>
          <w:b/>
          <w:color w:val="000000"/>
          <w:sz w:val="32"/>
          <w:szCs w:val="32"/>
        </w:rPr>
        <w:t>社会保障和就业支出（类）行政事业单位养老支出（款）机关事业单位职业年金缴费支出（项）：</w:t>
      </w:r>
      <w:r>
        <w:rPr>
          <w:rFonts w:eastAsia="仿宋_GB2312"/>
          <w:snapToGrid w:val="0"/>
          <w:kern w:val="0"/>
          <w:sz w:val="32"/>
          <w:szCs w:val="32"/>
        </w:rPr>
        <w:t>反映机关事业单位实施养老保险制度由单位实际缴纳的职业年金支出。</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hint="eastAsia"/>
          <w:b/>
          <w:color w:val="000000"/>
          <w:sz w:val="32"/>
          <w:szCs w:val="32"/>
        </w:rPr>
        <w:t>15</w:t>
      </w:r>
      <w:r>
        <w:rPr>
          <w:rFonts w:eastAsia="仿宋_GB2312"/>
          <w:b/>
          <w:color w:val="000000"/>
          <w:sz w:val="32"/>
          <w:szCs w:val="32"/>
        </w:rPr>
        <w:t>.</w:t>
      </w:r>
      <w:r>
        <w:rPr>
          <w:rFonts w:eastAsia="仿宋_GB2312"/>
          <w:b/>
          <w:color w:val="000000"/>
          <w:sz w:val="32"/>
          <w:szCs w:val="32"/>
        </w:rPr>
        <w:t>住房保障支出（类）住房改革支出（款）住房公积金（项）：</w:t>
      </w:r>
      <w:r>
        <w:rPr>
          <w:rFonts w:eastAsia="仿宋_GB2312"/>
          <w:snapToGrid w:val="0"/>
          <w:kern w:val="0"/>
          <w:sz w:val="32"/>
          <w:szCs w:val="32"/>
        </w:rPr>
        <w:t>反映行政事业单位按人力资源和社会保障部、财政部规定的基本工资和津贴补贴以及规定比例为职工缴纳的住房公积金。</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hint="eastAsia"/>
          <w:b/>
          <w:color w:val="000000"/>
          <w:sz w:val="32"/>
          <w:szCs w:val="32"/>
        </w:rPr>
        <w:t>16</w:t>
      </w:r>
      <w:r>
        <w:rPr>
          <w:rFonts w:eastAsia="仿宋_GB2312"/>
          <w:b/>
          <w:color w:val="000000"/>
          <w:sz w:val="32"/>
          <w:szCs w:val="32"/>
        </w:rPr>
        <w:t>.</w:t>
      </w:r>
      <w:r>
        <w:rPr>
          <w:rFonts w:eastAsia="仿宋_GB2312"/>
          <w:b/>
          <w:color w:val="000000"/>
          <w:sz w:val="32"/>
          <w:szCs w:val="32"/>
        </w:rPr>
        <w:t>基本支出：</w:t>
      </w:r>
      <w:r>
        <w:rPr>
          <w:rFonts w:eastAsia="仿宋_GB2312"/>
          <w:snapToGrid w:val="0"/>
          <w:kern w:val="0"/>
          <w:sz w:val="32"/>
          <w:szCs w:val="32"/>
        </w:rPr>
        <w:t>指为保证机构正常运转，完成日常工作任务而发生的人员支出和公用支出。</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b/>
          <w:color w:val="000000"/>
          <w:sz w:val="32"/>
          <w:szCs w:val="32"/>
        </w:rPr>
        <w:lastRenderedPageBreak/>
        <w:t>1</w:t>
      </w:r>
      <w:r>
        <w:rPr>
          <w:rFonts w:eastAsia="仿宋_GB2312" w:hint="eastAsia"/>
          <w:b/>
          <w:color w:val="000000"/>
          <w:sz w:val="32"/>
          <w:szCs w:val="32"/>
        </w:rPr>
        <w:t>7</w:t>
      </w:r>
      <w:r>
        <w:rPr>
          <w:rFonts w:eastAsia="仿宋_GB2312"/>
          <w:b/>
          <w:color w:val="000000"/>
          <w:sz w:val="32"/>
          <w:szCs w:val="32"/>
        </w:rPr>
        <w:t>.</w:t>
      </w:r>
      <w:r>
        <w:rPr>
          <w:rFonts w:eastAsia="仿宋_GB2312"/>
          <w:b/>
          <w:color w:val="000000"/>
          <w:sz w:val="32"/>
          <w:szCs w:val="32"/>
        </w:rPr>
        <w:t>项目支出：</w:t>
      </w:r>
      <w:r>
        <w:rPr>
          <w:rFonts w:eastAsia="仿宋_GB2312"/>
          <w:snapToGrid w:val="0"/>
          <w:kern w:val="0"/>
          <w:sz w:val="32"/>
          <w:szCs w:val="32"/>
        </w:rPr>
        <w:t>指在基本支出之外为完成特定行政任务和事业发展目标所发生的支出。</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b/>
          <w:color w:val="000000"/>
          <w:sz w:val="32"/>
          <w:szCs w:val="32"/>
        </w:rPr>
        <w:t>1</w:t>
      </w:r>
      <w:r>
        <w:rPr>
          <w:rFonts w:eastAsia="仿宋_GB2312" w:hint="eastAsia"/>
          <w:b/>
          <w:color w:val="000000"/>
          <w:sz w:val="32"/>
          <w:szCs w:val="32"/>
        </w:rPr>
        <w:t>8</w:t>
      </w:r>
      <w:r>
        <w:rPr>
          <w:rFonts w:eastAsia="仿宋_GB2312"/>
          <w:b/>
          <w:color w:val="000000"/>
          <w:sz w:val="32"/>
          <w:szCs w:val="32"/>
        </w:rPr>
        <w:t>.“</w:t>
      </w:r>
      <w:r>
        <w:rPr>
          <w:rFonts w:eastAsia="仿宋_GB2312"/>
          <w:b/>
          <w:color w:val="000000"/>
          <w:sz w:val="32"/>
          <w:szCs w:val="32"/>
        </w:rPr>
        <w:t>三公</w:t>
      </w:r>
      <w:r>
        <w:rPr>
          <w:rFonts w:eastAsia="仿宋_GB2312"/>
          <w:b/>
          <w:color w:val="000000"/>
          <w:sz w:val="32"/>
          <w:szCs w:val="32"/>
        </w:rPr>
        <w:t>”</w:t>
      </w:r>
      <w:r>
        <w:rPr>
          <w:rFonts w:eastAsia="仿宋_GB2312"/>
          <w:b/>
          <w:color w:val="000000"/>
          <w:sz w:val="32"/>
          <w:szCs w:val="32"/>
        </w:rPr>
        <w:t>经费：</w:t>
      </w:r>
      <w:r>
        <w:rPr>
          <w:rFonts w:eastAsia="仿宋_GB2312"/>
          <w:snapToGrid w:val="0"/>
          <w:kern w:val="0"/>
          <w:sz w:val="32"/>
          <w:szCs w:val="32"/>
        </w:rPr>
        <w:t>纳入预决算管理的</w:t>
      </w:r>
      <w:r>
        <w:rPr>
          <w:rFonts w:eastAsia="仿宋_GB2312"/>
          <w:snapToGrid w:val="0"/>
          <w:kern w:val="0"/>
          <w:sz w:val="32"/>
          <w:szCs w:val="32"/>
        </w:rPr>
        <w:t>“</w:t>
      </w:r>
      <w:r>
        <w:rPr>
          <w:rFonts w:eastAsia="仿宋_GB2312"/>
          <w:snapToGrid w:val="0"/>
          <w:kern w:val="0"/>
          <w:sz w:val="32"/>
          <w:szCs w:val="32"/>
        </w:rPr>
        <w:t>三公</w:t>
      </w:r>
      <w:r>
        <w:rPr>
          <w:rFonts w:eastAsia="仿宋_GB2312"/>
          <w:snapToGrid w:val="0"/>
          <w:kern w:val="0"/>
          <w:sz w:val="32"/>
          <w:szCs w:val="32"/>
        </w:rPr>
        <w:t>”</w:t>
      </w:r>
      <w:r>
        <w:rPr>
          <w:rFonts w:eastAsia="仿宋_GB2312"/>
          <w:snapToGrid w:val="0"/>
          <w:kern w:val="0"/>
          <w:sz w:val="32"/>
          <w:szCs w:val="32"/>
        </w:rPr>
        <w:t>经费，是指部门用财政拨款安排的因公出国（境）费、公务用车购置及运行费和公务接待费。其中，因公出国（境）费反映单位公务出国（境）的国际旅费、国外城市间交通费、住宿费、伙食费、培训费、公杂费等支出；公务用车购置及运行费反映单位公务用车车辆购置支出（含车辆购置税）及租用费、燃料费、维修费、过路过桥费、保险费等支出；公务接待费反映单位按规定开支的各类公务接待（含外宾接待）支出。</w:t>
      </w:r>
    </w:p>
    <w:p w:rsidR="00CD15EE" w:rsidRDefault="00CD15EE" w:rsidP="00CD15EE">
      <w:pPr>
        <w:adjustRightInd w:val="0"/>
        <w:snapToGrid w:val="0"/>
        <w:spacing w:line="560" w:lineRule="exact"/>
        <w:ind w:firstLineChars="200" w:firstLine="643"/>
        <w:rPr>
          <w:rFonts w:eastAsia="仿宋_GB2312"/>
          <w:snapToGrid w:val="0"/>
          <w:kern w:val="0"/>
          <w:sz w:val="32"/>
          <w:szCs w:val="32"/>
        </w:rPr>
      </w:pPr>
      <w:r>
        <w:rPr>
          <w:rFonts w:eastAsia="仿宋_GB2312"/>
          <w:b/>
          <w:color w:val="000000"/>
          <w:sz w:val="32"/>
          <w:szCs w:val="32"/>
        </w:rPr>
        <w:t>1</w:t>
      </w:r>
      <w:r>
        <w:rPr>
          <w:rFonts w:eastAsia="仿宋_GB2312" w:hint="eastAsia"/>
          <w:b/>
          <w:color w:val="000000"/>
          <w:sz w:val="32"/>
          <w:szCs w:val="32"/>
        </w:rPr>
        <w:t>9</w:t>
      </w:r>
      <w:r>
        <w:rPr>
          <w:rFonts w:eastAsia="仿宋_GB2312"/>
          <w:b/>
          <w:color w:val="000000"/>
          <w:sz w:val="32"/>
          <w:szCs w:val="32"/>
        </w:rPr>
        <w:t>.</w:t>
      </w:r>
      <w:r>
        <w:rPr>
          <w:rFonts w:eastAsia="仿宋_GB2312"/>
          <w:b/>
          <w:color w:val="000000"/>
          <w:sz w:val="32"/>
          <w:szCs w:val="32"/>
        </w:rPr>
        <w:t>机关运行经费：</w:t>
      </w:r>
      <w:r>
        <w:rPr>
          <w:rFonts w:eastAsia="仿宋_GB2312"/>
          <w:color w:val="000000"/>
          <w:sz w:val="32"/>
          <w:szCs w:val="32"/>
        </w:rPr>
        <w:t>为保障行政单位（含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bookmarkEnd w:id="0"/>
    <w:p w:rsidR="005201EE" w:rsidRPr="00CD15EE" w:rsidRDefault="005201EE"/>
    <w:sectPr w:rsidR="005201EE" w:rsidRPr="00CD15EE">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5201EE" w:rsidRDefault="005201EE" w:rsidP="00CD15EE">
      <w:r>
        <w:separator/>
      </w:r>
    </w:p>
  </w:endnote>
  <w:endnote w:type="continuationSeparator" w:id="1">
    <w:p w:rsidR="005201EE" w:rsidRDefault="005201EE" w:rsidP="00CD15EE">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_GBK">
    <w:panose1 w:val="03000509000000000000"/>
    <w:charset w:val="86"/>
    <w:family w:val="script"/>
    <w:pitch w:val="fixed"/>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5201EE" w:rsidRDefault="005201EE" w:rsidP="00CD15EE">
      <w:r>
        <w:separator/>
      </w:r>
    </w:p>
  </w:footnote>
  <w:footnote w:type="continuationSeparator" w:id="1">
    <w:p w:rsidR="005201EE" w:rsidRDefault="005201EE" w:rsidP="00CD15EE">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307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15EE"/>
    <w:rsid w:val="005201EE"/>
    <w:rsid w:val="00CD15EE"/>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a0"/>
    <w:qFormat/>
    <w:rsid w:val="00CD15EE"/>
    <w:pPr>
      <w:widowControl w:val="0"/>
      <w:jc w:val="both"/>
    </w:pPr>
    <w:rPr>
      <w:rFonts w:ascii="Times New Roman" w:eastAsia="宋体" w:hAnsi="Times New Roman" w:cs="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CD15EE"/>
    <w:pPr>
      <w:pBdr>
        <w:bottom w:val="single" w:sz="6" w:space="1" w:color="auto"/>
      </w:pBdr>
      <w:tabs>
        <w:tab w:val="center" w:pos="4153"/>
        <w:tab w:val="right" w:pos="8306"/>
      </w:tabs>
      <w:snapToGrid w:val="0"/>
      <w:jc w:val="center"/>
    </w:pPr>
    <w:rPr>
      <w:rFonts w:asciiTheme="minorHAnsi" w:eastAsiaTheme="minorEastAsia" w:hAnsiTheme="minorHAnsi" w:cstheme="minorBidi"/>
      <w:sz w:val="18"/>
      <w:szCs w:val="18"/>
    </w:rPr>
  </w:style>
  <w:style w:type="character" w:customStyle="1" w:styleId="Char">
    <w:name w:val="页眉 Char"/>
    <w:basedOn w:val="a1"/>
    <w:link w:val="a4"/>
    <w:uiPriority w:val="99"/>
    <w:semiHidden/>
    <w:rsid w:val="00CD15EE"/>
    <w:rPr>
      <w:sz w:val="18"/>
      <w:szCs w:val="18"/>
    </w:rPr>
  </w:style>
  <w:style w:type="paragraph" w:styleId="a5">
    <w:name w:val="footer"/>
    <w:basedOn w:val="a"/>
    <w:link w:val="Char0"/>
    <w:uiPriority w:val="99"/>
    <w:semiHidden/>
    <w:unhideWhenUsed/>
    <w:rsid w:val="00CD15EE"/>
    <w:pPr>
      <w:tabs>
        <w:tab w:val="center" w:pos="4153"/>
        <w:tab w:val="right" w:pos="8306"/>
      </w:tabs>
      <w:snapToGrid w:val="0"/>
      <w:jc w:val="left"/>
    </w:pPr>
    <w:rPr>
      <w:rFonts w:asciiTheme="minorHAnsi" w:eastAsiaTheme="minorEastAsia" w:hAnsiTheme="minorHAnsi" w:cstheme="minorBidi"/>
      <w:sz w:val="18"/>
      <w:szCs w:val="18"/>
    </w:rPr>
  </w:style>
  <w:style w:type="character" w:customStyle="1" w:styleId="Char0">
    <w:name w:val="页脚 Char"/>
    <w:basedOn w:val="a1"/>
    <w:link w:val="a5"/>
    <w:uiPriority w:val="99"/>
    <w:semiHidden/>
    <w:rsid w:val="00CD15EE"/>
    <w:rPr>
      <w:sz w:val="18"/>
      <w:szCs w:val="18"/>
    </w:rPr>
  </w:style>
  <w:style w:type="paragraph" w:styleId="a0">
    <w:name w:val="Salutation"/>
    <w:basedOn w:val="a"/>
    <w:next w:val="a"/>
    <w:link w:val="Char1"/>
    <w:uiPriority w:val="99"/>
    <w:semiHidden/>
    <w:unhideWhenUsed/>
    <w:rsid w:val="00CD15EE"/>
  </w:style>
  <w:style w:type="character" w:customStyle="1" w:styleId="Char1">
    <w:name w:val="称呼 Char"/>
    <w:basedOn w:val="a1"/>
    <w:link w:val="a0"/>
    <w:uiPriority w:val="99"/>
    <w:semiHidden/>
    <w:rsid w:val="00CD15EE"/>
    <w:rPr>
      <w:rFonts w:ascii="Times New Roman" w:eastAsia="宋体" w:hAnsi="Times New Roman" w:cs="Times New Roman"/>
      <w:szCs w:val="24"/>
    </w:rPr>
  </w:style>
  <w:style w:type="paragraph" w:styleId="a6">
    <w:name w:val="Normal (Web)"/>
    <w:basedOn w:val="a"/>
    <w:uiPriority w:val="99"/>
    <w:unhideWhenUsed/>
    <w:rsid w:val="00CD15EE"/>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3</Pages>
  <Words>213</Words>
  <Characters>1219</Characters>
  <Application>Microsoft Office Word</Application>
  <DocSecurity>0</DocSecurity>
  <Lines>10</Lines>
  <Paragraphs>2</Paragraphs>
  <ScaleCrop>false</ScaleCrop>
  <Company>china</Company>
  <LinksUpToDate>false</LinksUpToDate>
  <CharactersWithSpaces>1430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AutoBVT</dc:creator>
  <cp:keywords/>
  <dc:description/>
  <cp:lastModifiedBy>AutoBVT</cp:lastModifiedBy>
  <cp:revision>2</cp:revision>
  <dcterms:created xsi:type="dcterms:W3CDTF">2023-07-24T08:54:00Z</dcterms:created>
  <dcterms:modified xsi:type="dcterms:W3CDTF">2023-07-24T08:56:00Z</dcterms:modified>
</cp:coreProperties>
</file>