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40"/>
        </w:tabs>
        <w:spacing w:line="560" w:lineRule="exact"/>
        <w:jc w:val="center"/>
        <w:rPr>
          <w:rFonts w:hint="eastAsia" w:ascii="宋体" w:hAnsi="宋体" w:eastAsia="宋体"/>
          <w:sz w:val="30"/>
          <w:szCs w:val="30"/>
          <w:lang w:val="en-US" w:eastAsia="zh-CN"/>
        </w:rPr>
      </w:pPr>
      <w:r>
        <w:rPr>
          <w:rFonts w:hint="eastAsia" w:ascii="方正小标宋简体" w:hAnsi="宋体" w:eastAsia="方正小标宋简体" w:cs="Times New Roman"/>
          <w:color w:val="000000"/>
          <w:kern w:val="0"/>
          <w:sz w:val="44"/>
          <w:szCs w:val="44"/>
          <w:lang w:val="en-US" w:eastAsia="zh-CN" w:bidi="ar-SA"/>
        </w:rPr>
        <w:t>攀枝花市仁和区住房和城乡建设局</w:t>
      </w:r>
    </w:p>
    <w:p>
      <w:pPr>
        <w:pStyle w:val="5"/>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val="en-US"/>
        </w:rPr>
        <w:t>202</w:t>
      </w:r>
      <w:r>
        <w:rPr>
          <w:rFonts w:hint="eastAsia" w:ascii="方正小标宋简体" w:hAnsi="宋体" w:eastAsia="方正小标宋简体"/>
          <w:sz w:val="44"/>
          <w:szCs w:val="44"/>
          <w:lang w:val="en-US" w:eastAsia="zh-CN"/>
        </w:rPr>
        <w:t>2</w:t>
      </w:r>
      <w:r>
        <w:rPr>
          <w:rFonts w:hint="eastAsia" w:ascii="方正小标宋简体" w:hAnsi="宋体" w:eastAsia="方正小标宋简体"/>
          <w:sz w:val="44"/>
          <w:szCs w:val="44"/>
          <w:lang w:val="en-US"/>
        </w:rPr>
        <w:t>年</w:t>
      </w:r>
      <w:r>
        <w:rPr>
          <w:rFonts w:hint="eastAsia" w:ascii="方正小标宋简体" w:hAnsi="宋体" w:eastAsia="方正小标宋简体"/>
          <w:sz w:val="44"/>
          <w:szCs w:val="44"/>
        </w:rPr>
        <w:t>专项预算项目支出绩效自评报告</w:t>
      </w:r>
    </w:p>
    <w:p>
      <w:pPr>
        <w:adjustRightInd w:val="0"/>
        <w:snapToGrid w:val="0"/>
        <w:spacing w:line="560" w:lineRule="exact"/>
        <w:jc w:val="center"/>
        <w:rPr>
          <w:rFonts w:hint="eastAsia" w:ascii="仿宋_GB2312" w:hAnsi="宋体"/>
          <w:lang w:val="en-US" w:eastAsia="zh-CN"/>
        </w:rPr>
      </w:pPr>
      <w:r>
        <w:rPr>
          <w:rFonts w:hint="eastAsia" w:ascii="仿宋_GB2312" w:hAnsi="宋体"/>
          <w:lang w:val="en-US" w:eastAsia="zh-CN"/>
        </w:rPr>
        <w:t>（</w:t>
      </w:r>
      <w:r>
        <w:rPr>
          <w:rFonts w:hint="eastAsia" w:ascii="仿宋_GB2312" w:hAnsi="宋体"/>
          <w:lang w:val="zh-CN" w:eastAsia="zh-CN"/>
        </w:rPr>
        <w:t>前进镇五摩路（交警一大队至水库组安置房）沿线老旧小区改造项目</w:t>
      </w:r>
      <w:r>
        <w:rPr>
          <w:rFonts w:hint="eastAsia" w:ascii="仿宋_GB2312" w:hAnsi="宋体"/>
          <w:lang w:val="en-US" w:eastAsia="zh-CN"/>
        </w:rPr>
        <w:t>）</w:t>
      </w:r>
    </w:p>
    <w:p>
      <w:pPr>
        <w:pStyle w:val="5"/>
        <w:spacing w:line="560" w:lineRule="exact"/>
        <w:ind w:firstLine="640"/>
        <w:jc w:val="center"/>
        <w:rPr>
          <w:rFonts w:ascii="宋体" w:hAnsi="宋体"/>
          <w:color w:val="auto"/>
          <w:kern w:val="2"/>
          <w:sz w:val="32"/>
          <w:szCs w:val="32"/>
        </w:rPr>
      </w:pPr>
    </w:p>
    <w:p>
      <w:pPr>
        <w:adjustRightInd w:val="0"/>
        <w:snapToGrid w:val="0"/>
        <w:spacing w:line="560" w:lineRule="exact"/>
        <w:ind w:firstLine="720"/>
        <w:rPr>
          <w:rFonts w:ascii="黑体" w:hAnsi="宋体" w:eastAsia="黑体"/>
          <w:lang w:val="zh-CN"/>
        </w:rPr>
      </w:pPr>
      <w:r>
        <w:rPr>
          <w:rFonts w:hint="eastAsia" w:ascii="黑体" w:hAnsi="宋体" w:eastAsia="黑体"/>
        </w:rPr>
        <w:t>一、</w:t>
      </w:r>
      <w:r>
        <w:rPr>
          <w:rFonts w:hint="eastAsia" w:ascii="黑体" w:hAnsi="宋体" w:eastAsia="黑体"/>
          <w:lang w:val="zh-CN"/>
        </w:rPr>
        <w:t>项目概况</w:t>
      </w:r>
    </w:p>
    <w:p>
      <w:pPr>
        <w:adjustRightInd w:val="0"/>
        <w:snapToGrid w:val="0"/>
        <w:spacing w:line="560" w:lineRule="exact"/>
        <w:ind w:firstLine="720"/>
        <w:rPr>
          <w:rFonts w:ascii="仿宋_GB2312" w:hAnsi="宋体"/>
          <w:lang w:val="zh-CN"/>
        </w:rPr>
      </w:pPr>
      <w:r>
        <w:rPr>
          <w:rFonts w:hint="eastAsia" w:ascii="仿宋_GB2312" w:hAnsi="宋体"/>
          <w:lang w:val="en-US" w:eastAsia="zh-CN"/>
        </w:rPr>
        <w:t>该项目改造范围主要涉及道路、停车场，强弱电管线下地、建筑立面安全隐患整治、改造路灯照明、绿化改造、环卫设施，新增停车位，便民休闲场所等，人行道树木修枝，增设社区文化宣传栏设施等。该项目立项金额3777.18万元，目前项目已完工，该项目有关情况如下</w:t>
      </w:r>
      <w:r>
        <w:rPr>
          <w:rFonts w:hint="eastAsia" w:ascii="仿宋_GB2312" w:hAnsi="宋体"/>
          <w:lang w:val="zh-CN"/>
        </w:rPr>
        <w:t>：</w:t>
      </w:r>
    </w:p>
    <w:p>
      <w:pPr>
        <w:numPr>
          <w:ilvl w:val="0"/>
          <w:numId w:val="1"/>
        </w:numPr>
        <w:adjustRightInd w:val="0"/>
        <w:snapToGrid w:val="0"/>
        <w:spacing w:line="560" w:lineRule="exact"/>
        <w:ind w:firstLine="720"/>
        <w:rPr>
          <w:rFonts w:hint="eastAsia" w:ascii="楷体_GB2312" w:hAnsi="宋体" w:eastAsia="楷体_GB2312"/>
          <w:b/>
          <w:lang w:val="zh-CN"/>
        </w:rPr>
      </w:pPr>
      <w:r>
        <w:rPr>
          <w:rFonts w:hint="eastAsia" w:ascii="楷体_GB2312" w:hAnsi="宋体" w:eastAsia="楷体_GB2312"/>
          <w:b/>
          <w:lang w:val="zh-CN"/>
        </w:rPr>
        <w:t>项目资金申报及批复情况。</w:t>
      </w:r>
    </w:p>
    <w:p>
      <w:pPr>
        <w:numPr>
          <w:ilvl w:val="0"/>
          <w:numId w:val="0"/>
        </w:numPr>
        <w:adjustRightInd w:val="0"/>
        <w:snapToGrid w:val="0"/>
        <w:spacing w:line="560" w:lineRule="exact"/>
        <w:ind w:firstLine="640" w:firstLineChars="200"/>
        <w:rPr>
          <w:rFonts w:ascii="仿宋_GB2312" w:hAnsi="宋体"/>
          <w:lang w:val="zh-CN"/>
        </w:rPr>
      </w:pPr>
      <w:r>
        <w:rPr>
          <w:rFonts w:hint="eastAsia" w:ascii="仿宋_GB2312" w:hAnsi="宋体"/>
          <w:lang w:val="en-US" w:eastAsia="zh-CN"/>
        </w:rPr>
        <w:t>2022年度，该项目申请专项债券资金1000万元，下达专项债券资金1000万元，</w:t>
      </w:r>
      <w:r>
        <w:rPr>
          <w:rFonts w:hint="eastAsia" w:ascii="仿宋_GB2312" w:hAnsi="宋体"/>
          <w:lang w:val="zh-CN"/>
        </w:rPr>
        <w:t>符合资金管理办法等相关规定。</w:t>
      </w:r>
    </w:p>
    <w:p>
      <w:pPr>
        <w:numPr>
          <w:ilvl w:val="0"/>
          <w:numId w:val="1"/>
        </w:numPr>
        <w:adjustRightInd w:val="0"/>
        <w:snapToGrid w:val="0"/>
        <w:spacing w:line="560" w:lineRule="exact"/>
        <w:ind w:firstLine="720"/>
        <w:rPr>
          <w:rFonts w:hint="eastAsia" w:ascii="楷体_GB2312" w:hAnsi="宋体" w:eastAsia="楷体_GB2312"/>
          <w:b/>
          <w:lang w:val="zh-CN"/>
        </w:rPr>
      </w:pPr>
      <w:r>
        <w:rPr>
          <w:rFonts w:hint="eastAsia" w:ascii="楷体_GB2312" w:hAnsi="宋体" w:eastAsia="楷体_GB2312"/>
          <w:b/>
          <w:lang w:val="zh-CN"/>
        </w:rPr>
        <w:t>项目绩效目标。</w:t>
      </w:r>
    </w:p>
    <w:p>
      <w:pPr>
        <w:numPr>
          <w:ilvl w:val="0"/>
          <w:numId w:val="0"/>
        </w:numPr>
        <w:adjustRightInd w:val="0"/>
        <w:snapToGrid w:val="0"/>
        <w:spacing w:line="560" w:lineRule="exact"/>
        <w:ind w:firstLine="640" w:firstLineChars="200"/>
        <w:rPr>
          <w:rFonts w:hint="default" w:ascii="仿宋_GB2312" w:hAnsi="宋体" w:eastAsia="仿宋_GB2312"/>
          <w:lang w:val="en-US" w:eastAsia="zh-CN"/>
        </w:rPr>
      </w:pPr>
      <w:r>
        <w:rPr>
          <w:rFonts w:hint="eastAsia" w:ascii="仿宋_GB2312" w:hAnsi="宋体"/>
          <w:lang w:val="zh-CN"/>
        </w:rPr>
        <w:t>前进镇五摩路（交警一大队至水库组安置房）沿线老旧小区改造项目为我区2021年度目标任务，该项目涉及改造道路、停车场，强弱电管线下地、建筑立面安全隐患整治、改造路灯照明、绿化改造、环卫设施，新增停车位，便民休闲场所等，人行道树木修枝，增设社区文化宣传栏设施等。</w:t>
      </w:r>
    </w:p>
    <w:p>
      <w:pPr>
        <w:numPr>
          <w:ilvl w:val="0"/>
          <w:numId w:val="1"/>
        </w:numPr>
        <w:adjustRightInd w:val="0"/>
        <w:snapToGrid w:val="0"/>
        <w:spacing w:line="560" w:lineRule="exact"/>
        <w:ind w:left="0" w:leftChars="0" w:firstLine="720" w:firstLineChars="0"/>
        <w:rPr>
          <w:rFonts w:hint="eastAsia" w:ascii="楷体_GB2312" w:hAnsi="宋体" w:eastAsia="楷体_GB2312"/>
          <w:b/>
          <w:lang w:val="zh-CN"/>
        </w:rPr>
      </w:pPr>
      <w:r>
        <w:rPr>
          <w:rFonts w:hint="eastAsia" w:ascii="楷体_GB2312" w:hAnsi="宋体" w:eastAsia="楷体_GB2312"/>
          <w:b/>
          <w:lang w:val="zh-CN"/>
        </w:rPr>
        <w:t>项目资金申报相符性。</w:t>
      </w:r>
    </w:p>
    <w:p>
      <w:pPr>
        <w:numPr>
          <w:ilvl w:val="0"/>
          <w:numId w:val="0"/>
        </w:numPr>
        <w:adjustRightInd w:val="0"/>
        <w:snapToGrid w:val="0"/>
        <w:spacing w:line="560" w:lineRule="exact"/>
        <w:ind w:firstLine="640" w:firstLineChars="200"/>
        <w:rPr>
          <w:rFonts w:hint="eastAsia" w:ascii="仿宋_GB2312" w:hAnsi="宋体"/>
          <w:lang w:val="zh-CN"/>
        </w:rPr>
      </w:pPr>
      <w:r>
        <w:rPr>
          <w:rFonts w:hint="eastAsia" w:ascii="仿宋_GB2312" w:hAnsi="宋体"/>
          <w:lang w:val="zh-CN"/>
        </w:rPr>
        <w:t>该项目可行性研究报告及批复内容与合同约定实施内容、实际实施内容相符，因此申报资金内容与具体实施内容相符、申报目标合理可行。</w:t>
      </w:r>
    </w:p>
    <w:p>
      <w:pPr>
        <w:adjustRightInd w:val="0"/>
        <w:snapToGrid w:val="0"/>
        <w:spacing w:line="560" w:lineRule="exact"/>
        <w:ind w:firstLine="720"/>
        <w:rPr>
          <w:rFonts w:ascii="黑体" w:hAnsi="宋体" w:eastAsia="黑体"/>
        </w:rPr>
      </w:pPr>
      <w:r>
        <w:rPr>
          <w:rFonts w:hint="eastAsia" w:ascii="黑体" w:hAnsi="宋体" w:eastAsia="黑体"/>
        </w:rPr>
        <w:t>二、项目实施及管理情况</w:t>
      </w:r>
    </w:p>
    <w:p>
      <w:pPr>
        <w:adjustRightInd w:val="0"/>
        <w:snapToGrid w:val="0"/>
        <w:spacing w:line="560" w:lineRule="exact"/>
        <w:ind w:firstLine="720"/>
        <w:rPr>
          <w:rFonts w:ascii="楷体_GB2312" w:hAnsi="宋体" w:eastAsia="楷体_GB2312"/>
          <w:b/>
          <w:lang w:val="zh-CN"/>
        </w:rPr>
      </w:pPr>
      <w:r>
        <w:rPr>
          <w:rFonts w:hint="eastAsia" w:ascii="仿宋_GB2312" w:hAnsi="宋体"/>
          <w:lang w:val="zh-CN"/>
        </w:rPr>
        <w:tab/>
      </w:r>
      <w:r>
        <w:rPr>
          <w:rFonts w:hint="eastAsia" w:ascii="楷体_GB2312" w:hAnsi="宋体" w:eastAsia="楷体_GB2312"/>
          <w:b/>
          <w:lang w:val="zh-CN"/>
        </w:rPr>
        <w:t>（一）资金计划、到位及使用情况。</w:t>
      </w:r>
    </w:p>
    <w:p>
      <w:pPr>
        <w:adjustRightInd w:val="0"/>
        <w:snapToGrid w:val="0"/>
        <w:spacing w:line="560" w:lineRule="exact"/>
        <w:ind w:firstLine="720"/>
        <w:rPr>
          <w:rFonts w:hint="eastAsia" w:ascii="楷体_GB2312" w:hAnsi="宋体" w:eastAsia="楷体_GB2312"/>
          <w:lang w:val="zh-CN"/>
        </w:rPr>
      </w:pPr>
      <w:r>
        <w:rPr>
          <w:rFonts w:hint="eastAsia" w:ascii="楷体_GB2312" w:hAnsi="宋体" w:eastAsia="楷体_GB2312"/>
          <w:lang w:val="zh-CN"/>
        </w:rPr>
        <w:t>1．资金计划及到位。</w:t>
      </w:r>
    </w:p>
    <w:p>
      <w:pPr>
        <w:adjustRightInd w:val="0"/>
        <w:snapToGrid w:val="0"/>
        <w:spacing w:line="560" w:lineRule="exact"/>
        <w:ind w:firstLine="720"/>
        <w:rPr>
          <w:rFonts w:hint="eastAsia" w:ascii="仿宋_GB2312" w:hAnsi="宋体"/>
          <w:lang w:val="zh-CN"/>
        </w:rPr>
      </w:pPr>
      <w:r>
        <w:rPr>
          <w:rFonts w:hint="eastAsia" w:ascii="仿宋_GB2312" w:hAnsi="宋体"/>
          <w:lang w:val="zh-CN"/>
        </w:rPr>
        <w:t>202</w:t>
      </w:r>
      <w:r>
        <w:rPr>
          <w:rFonts w:hint="eastAsia" w:ascii="仿宋_GB2312" w:hAnsi="宋体"/>
          <w:lang w:val="en-US" w:eastAsia="zh-CN"/>
        </w:rPr>
        <w:t>2</w:t>
      </w:r>
      <w:r>
        <w:rPr>
          <w:rFonts w:hint="eastAsia" w:ascii="仿宋_GB2312" w:hAnsi="宋体"/>
          <w:lang w:val="zh-CN"/>
        </w:rPr>
        <w:t>年度，该项目申请专项债券资金</w:t>
      </w:r>
      <w:r>
        <w:rPr>
          <w:rFonts w:hint="eastAsia" w:ascii="仿宋_GB2312" w:hAnsi="宋体"/>
          <w:lang w:val="en-US" w:eastAsia="zh-CN"/>
        </w:rPr>
        <w:t>1000</w:t>
      </w:r>
      <w:r>
        <w:rPr>
          <w:rFonts w:hint="eastAsia" w:ascii="仿宋_GB2312" w:hAnsi="宋体"/>
          <w:lang w:val="zh-CN"/>
        </w:rPr>
        <w:t>万元，到位</w:t>
      </w:r>
      <w:r>
        <w:rPr>
          <w:rFonts w:hint="eastAsia" w:ascii="仿宋_GB2312" w:hAnsi="宋体"/>
          <w:lang w:val="en-US" w:eastAsia="zh-CN"/>
        </w:rPr>
        <w:t>1000</w:t>
      </w:r>
      <w:r>
        <w:rPr>
          <w:rFonts w:hint="eastAsia" w:ascii="仿宋_GB2312" w:hAnsi="宋体"/>
          <w:lang w:val="zh-CN"/>
        </w:rPr>
        <w:t>万元。</w:t>
      </w:r>
    </w:p>
    <w:p>
      <w:pPr>
        <w:adjustRightInd w:val="0"/>
        <w:snapToGrid w:val="0"/>
        <w:spacing w:line="560" w:lineRule="exact"/>
        <w:ind w:firstLine="720"/>
        <w:rPr>
          <w:rFonts w:ascii="仿宋_GB2312" w:hAnsi="宋体"/>
          <w:lang w:val="zh-CN"/>
        </w:rPr>
      </w:pPr>
      <w:r>
        <w:rPr>
          <w:rFonts w:hint="eastAsia" w:ascii="楷体_GB2312" w:hAnsi="宋体" w:eastAsia="楷体_GB2312"/>
          <w:lang w:val="zh-CN"/>
        </w:rPr>
        <w:t>2．资金使用。</w:t>
      </w:r>
      <w:r>
        <w:rPr>
          <w:rFonts w:hint="eastAsia" w:ascii="仿宋_GB2312" w:hAnsi="宋体"/>
          <w:lang w:val="zh-CN"/>
        </w:rPr>
        <w:t>该项目按建设进度已拨付</w:t>
      </w:r>
      <w:r>
        <w:rPr>
          <w:rFonts w:hint="eastAsia" w:ascii="仿宋_GB2312" w:hAnsi="宋体"/>
          <w:lang w:val="en-US" w:eastAsia="zh-CN"/>
        </w:rPr>
        <w:t>专项债券资金650万元，</w:t>
      </w:r>
      <w:r>
        <w:rPr>
          <w:rFonts w:hint="eastAsia" w:ascii="仿宋_GB2312" w:hAnsi="宋体"/>
          <w:lang w:val="zh-CN"/>
        </w:rPr>
        <w:t>资金支付范围为工程款支付，支付依据合规合法，未支付资金待项目审计完成后进行支付。</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（二）项目财务管理情况。</w:t>
      </w:r>
    </w:p>
    <w:p>
      <w:pPr>
        <w:adjustRightInd w:val="0"/>
        <w:snapToGrid w:val="0"/>
        <w:spacing w:line="560" w:lineRule="exact"/>
        <w:ind w:firstLine="640" w:firstLineChars="200"/>
        <w:rPr>
          <w:rFonts w:ascii="仿宋_GB2312" w:hAnsi="宋体"/>
          <w:lang w:val="zh-CN"/>
        </w:rPr>
      </w:pPr>
      <w:r>
        <w:rPr>
          <w:rFonts w:hint="eastAsia" w:ascii="仿宋_GB2312" w:hAnsi="宋体"/>
          <w:lang w:val="zh-CN"/>
        </w:rPr>
        <w:t>项目经费严格按照财务管理制度进行管理，保证专款专用，不存在截留、滞留、挤占、挪用、套取、虚报、冒领的问题，资金发放复查由财务人员按照财务制度进行资金的审核、支付和核算，所有支出均以转账方式进行，在具体支付时，具备了资金发票、合同等相关材料，手续是完善的，不存在虚假会计凭证的情况，会计严格执行财务管理制度，财务处理及时，核算规范。</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（三）项目组织实施情况。</w:t>
      </w:r>
    </w:p>
    <w:p>
      <w:pPr>
        <w:adjustRightInd w:val="0"/>
        <w:snapToGrid w:val="0"/>
        <w:spacing w:line="560" w:lineRule="exact"/>
        <w:ind w:firstLine="720"/>
        <w:rPr>
          <w:rFonts w:ascii="仿宋_GB2312" w:hAnsi="宋体"/>
          <w:lang w:val="zh-CN"/>
        </w:rPr>
      </w:pPr>
      <w:r>
        <w:rPr>
          <w:rFonts w:hint="eastAsia" w:ascii="仿宋_GB2312" w:hAnsi="宋体"/>
          <w:lang w:val="zh-CN"/>
        </w:rPr>
        <w:t>该项目目标任务为2022年12月底完成项目建设，业主单位为仁和镇人民政府，代建单位为区城乡建设开发中心，施工单位为</w:t>
      </w:r>
      <w:r>
        <w:rPr>
          <w:rFonts w:hint="eastAsia" w:ascii="仿宋_GB2312" w:hAnsi="宋体"/>
          <w:lang w:val="zh-CN" w:eastAsia="zh-CN"/>
        </w:rPr>
        <w:t>四川港航建设工程有限公司</w:t>
      </w:r>
      <w:r>
        <w:rPr>
          <w:rFonts w:hint="eastAsia" w:ascii="仿宋_GB2312" w:hAnsi="宋体"/>
          <w:lang w:val="zh-CN"/>
        </w:rPr>
        <w:t>，该项目严格按照相关招投标规定进行了公开招投标且对招标结果进行了公示，目前该项目已完成项目建设。</w:t>
      </w:r>
    </w:p>
    <w:p>
      <w:pPr>
        <w:adjustRightInd w:val="0"/>
        <w:snapToGrid w:val="0"/>
        <w:spacing w:line="560" w:lineRule="exact"/>
        <w:ind w:firstLine="720"/>
        <w:rPr>
          <w:rFonts w:ascii="仿宋_GB2312" w:hAnsi="宋体"/>
          <w:lang w:val="zh-CN"/>
        </w:rPr>
      </w:pPr>
      <w:r>
        <w:rPr>
          <w:rFonts w:hint="eastAsia" w:ascii="黑体" w:hAnsi="宋体" w:eastAsia="黑体"/>
        </w:rPr>
        <w:t>三、项目绩效情况</w:t>
      </w:r>
      <w:r>
        <w:rPr>
          <w:rFonts w:hint="eastAsia" w:ascii="仿宋_GB2312" w:hAnsi="宋体"/>
          <w:lang w:val="zh-CN"/>
        </w:rPr>
        <w:tab/>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（一）项目完成情况。</w:t>
      </w:r>
    </w:p>
    <w:p>
      <w:pPr>
        <w:adjustRightInd w:val="0"/>
        <w:snapToGrid w:val="0"/>
        <w:spacing w:line="560" w:lineRule="exact"/>
        <w:ind w:firstLine="720"/>
        <w:rPr>
          <w:rFonts w:hint="eastAsia" w:ascii="仿宋_GB2312" w:hAnsi="宋体"/>
          <w:lang w:val="zh-CN"/>
        </w:rPr>
      </w:pPr>
      <w:r>
        <w:rPr>
          <w:rFonts w:hint="eastAsia" w:ascii="仿宋_GB2312" w:hAnsi="宋体"/>
          <w:lang w:val="zh-CN"/>
        </w:rPr>
        <w:t>该项目合同约定建设内容均已完成，工程质量符合相关规范要求。</w:t>
      </w:r>
    </w:p>
    <w:p>
      <w:pPr>
        <w:numPr>
          <w:ilvl w:val="0"/>
          <w:numId w:val="2"/>
        </w:numPr>
        <w:adjustRightInd w:val="0"/>
        <w:snapToGrid w:val="0"/>
        <w:spacing w:line="560" w:lineRule="exact"/>
        <w:ind w:firstLine="720"/>
        <w:rPr>
          <w:rFonts w:hint="eastAsia" w:ascii="楷体_GB2312" w:hAnsi="宋体" w:eastAsia="楷体_GB2312"/>
          <w:b/>
          <w:lang w:val="zh-CN"/>
        </w:rPr>
      </w:pPr>
      <w:r>
        <w:rPr>
          <w:rFonts w:hint="eastAsia" w:ascii="楷体_GB2312" w:hAnsi="宋体" w:eastAsia="楷体_GB2312"/>
          <w:b/>
          <w:lang w:val="zh-CN"/>
        </w:rPr>
        <w:t>项目效益情况。</w:t>
      </w:r>
    </w:p>
    <w:p>
      <w:pPr>
        <w:numPr>
          <w:ilvl w:val="0"/>
          <w:numId w:val="0"/>
        </w:numPr>
        <w:adjustRightInd w:val="0"/>
        <w:snapToGrid w:val="0"/>
        <w:spacing w:line="560" w:lineRule="exact"/>
        <w:ind w:firstLine="640" w:firstLineChars="200"/>
        <w:rPr>
          <w:rFonts w:ascii="楷体_GB2312" w:hAnsi="宋体" w:eastAsia="楷体_GB2312"/>
          <w:b/>
          <w:lang w:val="zh-CN"/>
        </w:rPr>
      </w:pPr>
      <w:r>
        <w:rPr>
          <w:rFonts w:hint="eastAsia" w:ascii="仿宋_GB2312" w:hAnsi="宋体"/>
          <w:lang w:val="zh-CN"/>
        </w:rPr>
        <w:t>通过项目实施，实现了小区道路更新、雨污分流、外墙立面整治，提升了小区内基础设施水平。增加了停车位、休闲设施、路灯等，小区公共配套设施得到不断完善，满足了群众生活需要。</w:t>
      </w:r>
    </w:p>
    <w:p>
      <w:pPr>
        <w:adjustRightInd w:val="0"/>
        <w:snapToGrid w:val="0"/>
        <w:spacing w:line="560" w:lineRule="exact"/>
        <w:ind w:firstLine="720"/>
      </w:pPr>
    </w:p>
    <w:p>
      <w:pPr>
        <w:adjustRightInd w:val="0"/>
        <w:snapToGrid w:val="0"/>
        <w:spacing w:line="560" w:lineRule="exact"/>
        <w:ind w:firstLine="720"/>
      </w:pPr>
    </w:p>
    <w:p>
      <w:pPr>
        <w:adjustRightInd w:val="0"/>
        <w:snapToGrid w:val="0"/>
        <w:spacing w:line="560" w:lineRule="exact"/>
        <w:ind w:firstLine="720"/>
      </w:pPr>
    </w:p>
    <w:p>
      <w:pPr>
        <w:adjustRightInd w:val="0"/>
        <w:snapToGrid w:val="0"/>
        <w:spacing w:line="560" w:lineRule="exact"/>
        <w:ind w:firstLine="720"/>
      </w:pPr>
    </w:p>
    <w:p>
      <w:pPr>
        <w:adjustRightInd w:val="0"/>
        <w:snapToGrid w:val="0"/>
        <w:spacing w:line="560" w:lineRule="exact"/>
        <w:ind w:firstLine="720"/>
      </w:pPr>
    </w:p>
    <w:p>
      <w:pPr>
        <w:numPr>
          <w:ilvl w:val="0"/>
          <w:numId w:val="0"/>
        </w:numPr>
        <w:adjustRightInd w:val="0"/>
        <w:snapToGrid w:val="0"/>
        <w:spacing w:line="560" w:lineRule="exact"/>
        <w:ind w:firstLine="3200" w:firstLineChars="1000"/>
        <w:rPr>
          <w:rFonts w:hint="eastAsia" w:ascii="仿宋_GB2312" w:hAnsi="宋体"/>
          <w:lang w:val="en-US" w:eastAsia="zh-CN"/>
        </w:rPr>
      </w:pPr>
      <w:bookmarkStart w:id="0" w:name="_GoBack"/>
      <w:bookmarkEnd w:id="0"/>
      <w:r>
        <w:rPr>
          <w:rFonts w:hint="eastAsia" w:ascii="仿宋_GB2312" w:hAnsi="宋体"/>
          <w:lang w:val="en-US" w:eastAsia="zh-CN"/>
        </w:rPr>
        <w:t>攀枝花市仁和区住房和城乡建设局</w:t>
      </w:r>
    </w:p>
    <w:p>
      <w:pPr>
        <w:numPr>
          <w:ilvl w:val="0"/>
          <w:numId w:val="0"/>
        </w:numPr>
        <w:adjustRightInd w:val="0"/>
        <w:snapToGrid w:val="0"/>
        <w:spacing w:line="560" w:lineRule="exact"/>
        <w:ind w:firstLine="4480" w:firstLineChars="1400"/>
        <w:rPr>
          <w:rFonts w:hint="eastAsia" w:ascii="仿宋_GB2312" w:hAnsi="宋体"/>
          <w:lang w:val="en-US" w:eastAsia="zh-CN"/>
        </w:rPr>
      </w:pPr>
      <w:r>
        <w:rPr>
          <w:rFonts w:hint="eastAsia" w:ascii="仿宋_GB2312" w:hAnsi="宋体"/>
          <w:lang w:val="en-US" w:eastAsia="zh-CN"/>
        </w:rPr>
        <w:t>2023年5月13日</w:t>
      </w:r>
    </w:p>
    <w:p>
      <w:pPr>
        <w:numPr>
          <w:ilvl w:val="0"/>
          <w:numId w:val="0"/>
        </w:numPr>
        <w:adjustRightInd w:val="0"/>
        <w:snapToGrid w:val="0"/>
        <w:spacing w:line="560" w:lineRule="exact"/>
        <w:ind w:firstLine="2880" w:firstLineChars="900"/>
        <w:rPr>
          <w:rFonts w:hint="eastAsia" w:ascii="仿宋_GB2312" w:hAnsi="宋体"/>
          <w:lang w:val="en-US" w:eastAsia="zh-CN"/>
        </w:rPr>
      </w:pPr>
    </w:p>
    <w:p>
      <w:pPr>
        <w:numPr>
          <w:ilvl w:val="0"/>
          <w:numId w:val="0"/>
        </w:numPr>
        <w:adjustRightInd w:val="0"/>
        <w:snapToGrid w:val="0"/>
        <w:spacing w:line="560" w:lineRule="exact"/>
        <w:ind w:firstLine="2880" w:firstLineChars="900"/>
        <w:rPr>
          <w:rFonts w:hint="default" w:ascii="仿宋_GB2312" w:hAnsi="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8E4351"/>
    <w:multiLevelType w:val="singleLevel"/>
    <w:tmpl w:val="258E4351"/>
    <w:lvl w:ilvl="0" w:tentative="0">
      <w:start w:val="1"/>
      <w:numFmt w:val="chineseCounting"/>
      <w:suff w:val="nothing"/>
      <w:lvlText w:val="（%1）"/>
      <w:lvlJc w:val="left"/>
      <w:rPr>
        <w:rFonts w:hint="eastAsia"/>
      </w:rPr>
    </w:lvl>
  </w:abstractNum>
  <w:abstractNum w:abstractNumId="1">
    <w:nsid w:val="3EB8241A"/>
    <w:multiLevelType w:val="singleLevel"/>
    <w:tmpl w:val="3EB8241A"/>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yNmYwNTgxMmM4ZTczNGRlOGI3NjY2MjBiNDEzNGMifQ=="/>
  </w:docVars>
  <w:rsids>
    <w:rsidRoot w:val="291C455A"/>
    <w:rsid w:val="003414A3"/>
    <w:rsid w:val="00515A0C"/>
    <w:rsid w:val="00866E99"/>
    <w:rsid w:val="0EDB478C"/>
    <w:rsid w:val="13D42F57"/>
    <w:rsid w:val="24BE74B6"/>
    <w:rsid w:val="280B52D7"/>
    <w:rsid w:val="291C455A"/>
    <w:rsid w:val="2D3C3E9A"/>
    <w:rsid w:val="33B66BEB"/>
    <w:rsid w:val="36926D0C"/>
    <w:rsid w:val="398F74B1"/>
    <w:rsid w:val="39D613CE"/>
    <w:rsid w:val="3B042BAB"/>
    <w:rsid w:val="4DAF2BCF"/>
    <w:rsid w:val="4DDB6F66"/>
    <w:rsid w:val="4F187354"/>
    <w:rsid w:val="5012570E"/>
    <w:rsid w:val="5B4246CF"/>
    <w:rsid w:val="6F822E52"/>
    <w:rsid w:val="72EF0A4C"/>
    <w:rsid w:val="73472201"/>
    <w:rsid w:val="75372FEB"/>
    <w:rsid w:val="789D27E0"/>
    <w:rsid w:val="792F2AEE"/>
    <w:rsid w:val="7D2C1AFC"/>
    <w:rsid w:val="BFFE83F2"/>
    <w:rsid w:val="D7FDD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四号正文"/>
    <w:basedOn w:val="1"/>
    <w:qFormat/>
    <w:uiPriority w:val="0"/>
    <w:pPr>
      <w:spacing w:line="360" w:lineRule="auto"/>
    </w:pPr>
    <w:rPr>
      <w:rFonts w:ascii="??" w:hAnsi="??" w:eastAsia="宋体"/>
      <w:color w:val="000000"/>
      <w:kern w:val="0"/>
      <w:sz w:val="28"/>
      <w:szCs w:val="21"/>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3</Pages>
  <Words>1038</Words>
  <Characters>1078</Characters>
  <Lines>6</Lines>
  <Paragraphs>1</Paragraphs>
  <TotalTime>2</TotalTime>
  <ScaleCrop>false</ScaleCrop>
  <LinksUpToDate>false</LinksUpToDate>
  <CharactersWithSpaces>1088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2020-07-01T00:19:00Z</dcterms:created>
  <dc:creator>Administrator</dc:creator>
  <cp:lastModifiedBy>Administrator</cp:lastModifiedBy>
  <cp:lastPrinted>2023-05-12T07:10:00Z</cp:lastPrinted>
  <dcterms:modified xsi:type="dcterms:W3CDTF">2023-05-18T02:39:55Z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AFD3A951FFA74203A2065A6EE0CF07A0</vt:lpwstr>
  </property>
</Properties>
</file>