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攀枝花市仁和区住房和城乡建设局</w:t>
      </w:r>
    </w:p>
    <w:p>
      <w:pPr>
        <w:pStyle w:val="7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7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仁和区政府投资基础设施项目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  <w:t>包含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火车南站站前基础设施“商贸城”PPP项目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、仁和区四号地块二期市政基础设施建设项目、大河流域(火车站南段)水环境及沿线综合整治项目、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、仁和区城市更新专项规划、仁和区控规修编研究、迤沙拉大道城市更新方案及49-51片区概念规划、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/>
          <w:color w:val="000000"/>
          <w:sz w:val="32"/>
          <w:szCs w:val="32"/>
          <w:highlight w:val="none"/>
          <w:lang w:val="en-US" w:eastAsia="zh-CN" w:bidi="ar"/>
        </w:rPr>
        <w:t>121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个项目的前期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、运营维护及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施工工作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月，我局</w:t>
      </w:r>
      <w:r>
        <w:rPr>
          <w:rFonts w:hint="eastAsia" w:cs="Times New Roman"/>
          <w:lang w:val="en-US" w:eastAsia="zh-CN"/>
        </w:rPr>
        <w:t>向区财政局申请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仁和区政府投资基础设施项目</w:t>
      </w:r>
      <w:r>
        <w:rPr>
          <w:rFonts w:hint="eastAsia" w:cs="Times New Roman"/>
          <w:lang w:val="en-US" w:eastAsia="zh-CN"/>
        </w:rPr>
        <w:t>经费4150万元，区财政局以2022年预算大本方向我局批复资金4150万元，年初预算追减11.33万元，后以攀仁财资经投[2022]45号、攀仁财资经投[2022]75号文件向我局追加资金3172万元，以攀仁财资经投[2022]53号文件向我局批复上级资金20万元,共计7330.67万元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该项目主要建设内容为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/>
          <w:color w:val="000000"/>
          <w:sz w:val="32"/>
          <w:szCs w:val="32"/>
          <w:highlight w:val="none"/>
          <w:lang w:val="en-US" w:eastAsia="zh-CN" w:bidi="ar"/>
        </w:rPr>
        <w:t>121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项目的前期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  <w:t>费用、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施工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  <w:t>费用、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 w:bidi="ar"/>
        </w:rPr>
        <w:t>可用性服务费及运营维护费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  <w:t>。</w:t>
      </w:r>
      <w:r>
        <w:rPr>
          <w:rFonts w:hint="eastAsia"/>
          <w:sz w:val="32"/>
          <w:szCs w:val="32"/>
          <w:lang w:val="en-US" w:eastAsia="zh-CN"/>
        </w:rPr>
        <w:t>目前工作均已完成，需按照合同约定及时拨付资金。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该项目所有列支经费均为市政基础设施施工、前期咨询费等，均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合同约定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完成施工或前期工作，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需按照合同约定及时拨付资金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。所有申报内容与具体实施内容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tbl>
      <w:tblPr>
        <w:tblStyle w:val="4"/>
        <w:tblpPr w:leftFromText="180" w:rightFromText="180" w:vertAnchor="text" w:horzAnchor="page" w:tblpX="1465" w:tblpY="802"/>
        <w:tblOverlap w:val="never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870"/>
        <w:gridCol w:w="840"/>
        <w:gridCol w:w="690"/>
        <w:gridCol w:w="840"/>
        <w:gridCol w:w="690"/>
        <w:gridCol w:w="855"/>
        <w:gridCol w:w="870"/>
        <w:gridCol w:w="73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资金计划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资金到位</w:t>
            </w:r>
          </w:p>
        </w:tc>
        <w:tc>
          <w:tcPr>
            <w:tcW w:w="56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支付率%</w:t>
            </w: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勘察设计规划等前期费</w:t>
            </w:r>
          </w:p>
        </w:tc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监理费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测绘费</w:t>
            </w:r>
          </w:p>
        </w:tc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可用性服务费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公租房租金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施工费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7330.67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7330.67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398.24</w:t>
            </w:r>
          </w:p>
        </w:tc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94.296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5597.83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7310.67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20万元为上级专项补助资金，未联系到企业支出该笔资金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经费严格按照财务管理制度进行管理，保证专款专用，不存在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结合项目组织实施管理办法，重点围绕以下内容进行分析评价，并对自评中发现的问题分析说明。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1.评审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可研方案取得立项批复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2.送呈常务会审议并印发会议纪要;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，签订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4.督促乙方按照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约定推进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（二）项目管理情况。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因时间紧，任务重，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根据立项批复招标核定方式，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我局采取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公开招标、比选等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的方式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确定了设计、施工单位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并派专人负责管理项目，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法律法规及项目管理制度推进相关工作。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完成招标工作后，我局即派专人负责该项目管理工作，收集过程资料，督促施工、设计单位，按目标任务持续推进工作，并按工程进度拨付</w:t>
      </w:r>
      <w:r>
        <w:rPr>
          <w:rFonts w:hint="eastAsia" w:cs="Times New Roman"/>
          <w:kern w:val="0"/>
          <w:sz w:val="32"/>
          <w:szCs w:val="32"/>
          <w:lang w:eastAsia="zh-CN"/>
        </w:rPr>
        <w:t>项目经费。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、仁和区城市更新专项规划、仁和区控规修编研究、迤沙拉大道城市更新方案及49-51片区概念规划、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/>
          <w:color w:val="000000"/>
          <w:sz w:val="32"/>
          <w:szCs w:val="32"/>
          <w:highlight w:val="none"/>
          <w:lang w:val="en-US" w:eastAsia="zh-CN" w:bidi="ar"/>
        </w:rPr>
        <w:t>57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均已达到资金拨付条件。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社会效益</w:t>
      </w:r>
      <w:r>
        <w:rPr>
          <w:rFonts w:hint="eastAsia" w:cs="Times New Roman"/>
          <w:kern w:val="0"/>
          <w:sz w:val="32"/>
          <w:szCs w:val="32"/>
          <w:lang w:eastAsia="zh-CN"/>
        </w:rPr>
        <w:t>：缓解市政基础设施薄弱对仁和区经济社会带来的制约和影响，改善了城区居民生活环境，对改善城市投资环境具有十分重要的意义。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2.经济效益：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完善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仁和区城区建设，提升仁和区城市形象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提高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人民生活水平、促进工农业生产发展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善城市中心区域道路交通系统，构建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便捷交通路网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，提高了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仁和区土地利用开发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力度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、城市经济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得到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大力发展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3.满意度指标：提高人民生活幸福感，满意度≥90%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未支出的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20万元为上级专项补助资金，未联系到企业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尚未支付。</w:t>
      </w:r>
    </w:p>
    <w:p>
      <w:pPr>
        <w:pStyle w:val="3"/>
        <w:numPr>
          <w:ilvl w:val="0"/>
          <w:numId w:val="1"/>
        </w:numPr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pStyle w:val="3"/>
        <w:numPr>
          <w:ilvl w:val="0"/>
          <w:numId w:val="0"/>
        </w:numPr>
        <w:spacing w:line="600" w:lineRule="exact"/>
        <w:ind w:firstLine="960" w:firstLineChars="3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目前部分工程尾款尚未结清，请财政局加大资金支持力度，确保项目顺利收尾。</w:t>
      </w:r>
    </w:p>
    <w:p>
      <w:pPr>
        <w:pStyle w:val="3"/>
        <w:numPr>
          <w:ilvl w:val="0"/>
          <w:numId w:val="0"/>
        </w:numPr>
        <w:spacing w:line="600" w:lineRule="exact"/>
        <w:ind w:firstLine="960" w:firstLineChars="3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line="600" w:lineRule="exact"/>
        <w:ind w:firstLine="960" w:firstLineChars="3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line="600" w:lineRule="exact"/>
        <w:ind w:firstLine="2240" w:firstLineChars="700"/>
        <w:jc w:val="left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攀枝花市仁和区住房和城乡建设局</w:t>
      </w:r>
    </w:p>
    <w:p>
      <w:pPr>
        <w:pStyle w:val="3"/>
        <w:numPr>
          <w:ilvl w:val="0"/>
          <w:numId w:val="0"/>
        </w:numPr>
        <w:spacing w:line="600" w:lineRule="exact"/>
        <w:ind w:firstLine="3520" w:firstLineChars="1100"/>
        <w:jc w:val="left"/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2023年5月12日</w:t>
      </w:r>
    </w:p>
    <w:p>
      <w:pPr>
        <w:pStyle w:val="3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6CEDA"/>
    <w:multiLevelType w:val="singleLevel"/>
    <w:tmpl w:val="0CC6CE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mYwNTgxMmM4ZTczNGRlOGI3NjY2MjBiNDEzNGMifQ=="/>
  </w:docVars>
  <w:rsids>
    <w:rsidRoot w:val="291C455A"/>
    <w:rsid w:val="003414A3"/>
    <w:rsid w:val="00515A0C"/>
    <w:rsid w:val="00866E99"/>
    <w:rsid w:val="051C1208"/>
    <w:rsid w:val="0BD22522"/>
    <w:rsid w:val="0EDB478C"/>
    <w:rsid w:val="20DE7D40"/>
    <w:rsid w:val="23607DE2"/>
    <w:rsid w:val="24564FED"/>
    <w:rsid w:val="24B16B47"/>
    <w:rsid w:val="291C455A"/>
    <w:rsid w:val="2CD626BC"/>
    <w:rsid w:val="2FF81658"/>
    <w:rsid w:val="32EE574D"/>
    <w:rsid w:val="36926D0C"/>
    <w:rsid w:val="478870D9"/>
    <w:rsid w:val="49F703AD"/>
    <w:rsid w:val="4B993108"/>
    <w:rsid w:val="4DAF2BCF"/>
    <w:rsid w:val="4DDB6F66"/>
    <w:rsid w:val="5EBD78BB"/>
    <w:rsid w:val="74E019EA"/>
    <w:rsid w:val="75E409FB"/>
    <w:rsid w:val="792F2AEE"/>
    <w:rsid w:val="7AF96588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1563</Words>
  <Characters>1687</Characters>
  <Lines>6</Lines>
  <Paragraphs>1</Paragraphs>
  <TotalTime>5</TotalTime>
  <ScaleCrop>false</ScaleCrop>
  <LinksUpToDate>false</LinksUpToDate>
  <CharactersWithSpaces>1688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2023-05-17T10:21:32Z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35DFBFF1D62440999FF1DFBB4EC93774_12</vt:lpwstr>
  </property>
</Properties>
</file>