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40"/>
        </w:tabs>
        <w:spacing w:line="560" w:lineRule="exact"/>
        <w:jc w:val="center"/>
        <w:rPr>
          <w:rFonts w:hint="eastAsia" w:ascii="方正小标宋简体" w:hAnsi="宋体" w:eastAsia="方正小标宋简体" w:cs="Times New Roman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color w:val="000000"/>
          <w:kern w:val="0"/>
          <w:sz w:val="44"/>
          <w:szCs w:val="44"/>
          <w:lang w:val="en-US" w:eastAsia="zh-CN" w:bidi="ar-SA"/>
        </w:rPr>
        <w:t>攀枝花市仁和区住房和城乡建设局</w:t>
      </w:r>
    </w:p>
    <w:p>
      <w:pPr>
        <w:pStyle w:val="7"/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44"/>
          <w:szCs w:val="44"/>
          <w:lang w:val="en-US"/>
        </w:rPr>
        <w:t>年</w:t>
      </w:r>
      <w:r>
        <w:rPr>
          <w:rFonts w:hint="eastAsia" w:ascii="方正小标宋简体" w:hAnsi="宋体" w:eastAsia="方正小标宋简体"/>
          <w:sz w:val="44"/>
          <w:szCs w:val="44"/>
        </w:rPr>
        <w:t>专项预算项目支出绩效自评报告</w:t>
      </w:r>
    </w:p>
    <w:p>
      <w:pPr>
        <w:pStyle w:val="7"/>
        <w:spacing w:line="560" w:lineRule="exact"/>
        <w:jc w:val="center"/>
        <w:rPr>
          <w:rFonts w:ascii="宋体" w:hAnsi="宋体"/>
          <w:color w:val="auto"/>
          <w:kern w:val="2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宋体" w:eastAsia="仿宋_GB2312"/>
          <w:color w:val="auto"/>
          <w:kern w:val="2"/>
          <w:sz w:val="32"/>
          <w:szCs w:val="32"/>
          <w:lang w:eastAsia="zh-CN"/>
        </w:rPr>
        <w:t>仁和区政府投资基础设施项目</w:t>
      </w:r>
      <w:r>
        <w:rPr>
          <w:rFonts w:hint="eastAsia" w:ascii="仿宋_GB2312" w:hAnsi="宋体" w:eastAsia="仿宋_GB2312"/>
          <w:color w:val="auto"/>
          <w:kern w:val="2"/>
          <w:sz w:val="32"/>
          <w:szCs w:val="32"/>
        </w:rPr>
        <w:t>）</w:t>
      </w: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  <w:lang w:val="zh-CN"/>
        </w:rPr>
      </w:pPr>
      <w:r>
        <w:rPr>
          <w:rFonts w:hint="eastAsia" w:ascii="黑体" w:hAnsi="宋体" w:eastAsia="黑体"/>
        </w:rPr>
        <w:t>一、</w:t>
      </w:r>
      <w:r>
        <w:rPr>
          <w:rFonts w:hint="eastAsia" w:ascii="黑体" w:hAnsi="宋体" w:eastAsia="黑体"/>
          <w:lang w:val="zh-CN"/>
        </w:rPr>
        <w:t>项目概况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 w:bidi="ar"/>
        </w:rPr>
        <w:t>包含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 w:bidi="ar"/>
        </w:rPr>
        <w:t>站前南街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bidi="ar"/>
        </w:rPr>
        <w:t>火车南站站前基础设施“商贸城”PPP项目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 w:bidi="ar"/>
        </w:rPr>
        <w:t>、仁和区四号地块二期市政基础设施建设项目、大河流域(火车站南段)水环境及沿线综合整治项目、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bidi="ar"/>
        </w:rPr>
        <w:t>东风小学人行天桥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bidi="ar"/>
        </w:rPr>
        <w:t>仁和区亮化工程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bidi="ar"/>
        </w:rPr>
        <w:t>四十九交叉路口人行天桥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 w:bidi="ar"/>
        </w:rPr>
        <w:t>、仁和区城市更新专项规划、仁和区控规修编研究、迤沙拉大道城市更新方案及49-51片区概念规划、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bidi="ar"/>
        </w:rPr>
        <w:t>五十一人行天桥改造项目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lang w:bidi="ar"/>
        </w:rPr>
        <w:t>等</w:t>
      </w:r>
      <w:r>
        <w:rPr>
          <w:rFonts w:hint="eastAsia"/>
          <w:color w:val="000000"/>
          <w:sz w:val="32"/>
          <w:szCs w:val="32"/>
          <w:highlight w:val="none"/>
          <w:lang w:val="en-US" w:eastAsia="zh-CN" w:bidi="ar"/>
        </w:rPr>
        <w:t>121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lang w:bidi="ar"/>
        </w:rPr>
        <w:t>个项目的前期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 w:bidi="ar"/>
        </w:rPr>
        <w:t>、运营维护及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lang w:bidi="ar"/>
        </w:rPr>
        <w:t>施工工作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 w:bidi="ar"/>
        </w:rPr>
        <w:t>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（一）项目资金申报及批复情况。</w:t>
      </w:r>
    </w:p>
    <w:p>
      <w:pPr>
        <w:adjustRightInd w:val="0"/>
        <w:snapToGrid w:val="0"/>
        <w:spacing w:line="560" w:lineRule="exact"/>
        <w:ind w:firstLine="72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2022年</w:t>
      </w:r>
      <w:r>
        <w:rPr>
          <w:rFonts w:hint="eastAsia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  <w:lang w:val="en-US" w:eastAsia="zh-CN"/>
        </w:rPr>
        <w:t>月，我局</w:t>
      </w:r>
      <w:r>
        <w:rPr>
          <w:rFonts w:hint="eastAsia" w:cs="Times New Roman"/>
          <w:lang w:val="en-US" w:eastAsia="zh-CN"/>
        </w:rPr>
        <w:t>向区财政局申请</w:t>
      </w:r>
      <w:r>
        <w:rPr>
          <w:rFonts w:hint="eastAsia" w:ascii="仿宋_GB2312" w:hAnsi="宋体" w:eastAsia="仿宋_GB2312"/>
          <w:color w:val="auto"/>
          <w:kern w:val="2"/>
          <w:sz w:val="32"/>
          <w:szCs w:val="32"/>
          <w:lang w:eastAsia="zh-CN"/>
        </w:rPr>
        <w:t>仁和区政府投资基础设施项目</w:t>
      </w:r>
      <w:r>
        <w:rPr>
          <w:rFonts w:hint="eastAsia" w:cs="Times New Roman"/>
          <w:lang w:val="en-US" w:eastAsia="zh-CN"/>
        </w:rPr>
        <w:t>经费4150万元，区财政局以2022年预算大本方向我局批复资金4150万元，年初预算追减11.33万元，后以攀仁财资经投[2022]45号、攀仁财资经投[2022]75号文件向我局追加资金3172万元，以攀仁财资经投[2022]53号文件向我局批复上级资金20万元,共计7330.67万元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（二）项目绩效目标。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该项目主要建设内容为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 w:bidi="ar"/>
        </w:rPr>
        <w:t>站前南街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bidi="ar"/>
        </w:rPr>
        <w:t>东风小学人行天桥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bidi="ar"/>
        </w:rPr>
        <w:t>仁和区亮化工程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bidi="ar"/>
        </w:rPr>
        <w:t>四十九交叉路口人行天桥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 w:bidi="ar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bidi="ar"/>
        </w:rPr>
        <w:t>五十一人行天桥改造项目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lang w:bidi="ar"/>
        </w:rPr>
        <w:t>等</w:t>
      </w:r>
      <w:r>
        <w:rPr>
          <w:rFonts w:hint="eastAsia"/>
          <w:color w:val="000000"/>
          <w:sz w:val="32"/>
          <w:szCs w:val="32"/>
          <w:highlight w:val="none"/>
          <w:lang w:val="en-US" w:eastAsia="zh-CN" w:bidi="ar"/>
        </w:rPr>
        <w:t>121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lang w:bidi="ar"/>
        </w:rPr>
        <w:t>个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bidi="ar"/>
        </w:rPr>
        <w:t>项目的前期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 w:bidi="ar"/>
        </w:rPr>
        <w:t>费用、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bidi="ar"/>
        </w:rPr>
        <w:t>施工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 w:bidi="ar"/>
        </w:rPr>
        <w:t>费用、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val="en-US" w:eastAsia="zh-CN" w:bidi="ar"/>
        </w:rPr>
        <w:t>可用性服务费及运营维护费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 w:bidi="ar"/>
        </w:rPr>
        <w:t>。</w:t>
      </w:r>
      <w:r>
        <w:rPr>
          <w:rFonts w:hint="eastAsia"/>
          <w:sz w:val="32"/>
          <w:szCs w:val="32"/>
          <w:lang w:val="en-US" w:eastAsia="zh-CN"/>
        </w:rPr>
        <w:t>目前工作均已完成，需按照合同约定及时拨付资金。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（三）项目资金申报相符性。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该项目所有列支经费均为市政基础设施施工、前期咨询费等，均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按照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合同约定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完成施工或前期工作，</w:t>
      </w: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需按照合同约定及时拨付资金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。所有申报内容与具体实施内容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相符、申报目标合理可行。</w:t>
      </w: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二、项目实施及管理情况</w:t>
      </w:r>
    </w:p>
    <w:p>
      <w:p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lang w:val="zh-CN"/>
        </w:rPr>
      </w:pPr>
      <w:r>
        <w:rPr>
          <w:rFonts w:hint="eastAsia" w:ascii="仿宋_GB2312" w:hAnsi="宋体"/>
          <w:lang w:val="zh-CN"/>
        </w:rPr>
        <w:tab/>
      </w:r>
      <w:r>
        <w:rPr>
          <w:rFonts w:hint="eastAsia" w:ascii="楷体_GB2312" w:hAnsi="宋体" w:eastAsia="楷体_GB2312"/>
          <w:b/>
          <w:lang w:val="zh-CN"/>
        </w:rPr>
        <w:t>（一）资金计划、到位及使用情况。</w:t>
      </w:r>
    </w:p>
    <w:tbl>
      <w:tblPr>
        <w:tblStyle w:val="4"/>
        <w:tblpPr w:leftFromText="180" w:rightFromText="180" w:vertAnchor="text" w:horzAnchor="page" w:tblpX="1465" w:tblpY="802"/>
        <w:tblOverlap w:val="never"/>
        <w:tblW w:w="98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035"/>
        <w:gridCol w:w="870"/>
        <w:gridCol w:w="840"/>
        <w:gridCol w:w="690"/>
        <w:gridCol w:w="840"/>
        <w:gridCol w:w="690"/>
        <w:gridCol w:w="855"/>
        <w:gridCol w:w="870"/>
        <w:gridCol w:w="735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资金计划</w:t>
            </w: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资金到位</w:t>
            </w:r>
          </w:p>
        </w:tc>
        <w:tc>
          <w:tcPr>
            <w:tcW w:w="565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资金支付</w:t>
            </w:r>
          </w:p>
        </w:tc>
        <w:tc>
          <w:tcPr>
            <w:tcW w:w="7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支付率%</w:t>
            </w:r>
          </w:p>
        </w:tc>
        <w:tc>
          <w:tcPr>
            <w:tcW w:w="14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未完成原因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勘察设计规划等前期费</w:t>
            </w:r>
          </w:p>
        </w:tc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监理费</w:t>
            </w:r>
          </w:p>
        </w:tc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测绘费</w:t>
            </w:r>
          </w:p>
        </w:tc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可用性服务费</w:t>
            </w:r>
          </w:p>
        </w:tc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公租房租金</w:t>
            </w:r>
          </w:p>
        </w:tc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施工费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7330.67</w:t>
            </w:r>
          </w:p>
        </w:tc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7330.67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398.24</w:t>
            </w:r>
          </w:p>
        </w:tc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94.296</w:t>
            </w:r>
          </w:p>
        </w:tc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69.85</w:t>
            </w:r>
          </w:p>
        </w:tc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1150</w:t>
            </w:r>
          </w:p>
        </w:tc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</w:t>
            </w:r>
          </w:p>
        </w:tc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5597.83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7310.67</w:t>
            </w:r>
          </w:p>
        </w:tc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20万元为上级专项补助资金，未联系到企业支出该笔资金</w:t>
            </w:r>
          </w:p>
        </w:tc>
      </w:tr>
    </w:tbl>
    <w:p>
      <w:pPr>
        <w:autoSpaceDE w:val="0"/>
        <w:autoSpaceDN w:val="0"/>
        <w:adjustRightInd w:val="0"/>
        <w:spacing w:line="600" w:lineRule="exact"/>
        <w:jc w:val="left"/>
        <w:rPr>
          <w:rFonts w:hint="default" w:ascii="Times New Roman" w:hAnsi="Times New Roman" w:eastAsia="仿宋_GB2312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（二）项目财务管理情况。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项目经费严格按照财务管理制度进行管理，保证专款专用，不存在截留、滞留、挤占、挪用、套取、虚报、冒领的问题，资金发放复查由财务人员按照财务制度进行资金的审核、支付和核算，所有支出均以转账方式进行，在具体支付时，具备了资金发票、合同等相关材料，手续是完善的，不存在虚假会计凭证的情况，会计严格执行财务管理制度，财务处理及时，核算规范。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（三）项目组织实施情况。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结合项目组织实施管理办法，重点围绕以下内容进行分析评价，并对自评中发现的问题分析说明。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（一）项目组织架构及实施流程。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1.评审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可研方案取得立项批复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;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2.送呈常务会审议并印发会议纪要;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3.确定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施工单位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，签订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施工合同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;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4.督促乙方按照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合同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约定推进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施工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工作;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（二）项目管理情况。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因时间紧，任务重，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根据立项批复招标核定方式，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我局采取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公开招标、比选等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的方式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确定了设计、施工单位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并派专人负责管理项目，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按照相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管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法律法规及项目管理制度推进相关工作。</w:t>
      </w: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（三）项目监管情况。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完成招标工作后，我局即派专人负责该项目管理工作，收集过程资料，督促施工、设计单位，按目标任务持续推进工作，并按工程进度拨付</w:t>
      </w:r>
      <w:r>
        <w:rPr>
          <w:rFonts w:hint="eastAsia" w:cs="Times New Roman"/>
          <w:kern w:val="0"/>
          <w:sz w:val="32"/>
          <w:szCs w:val="32"/>
          <w:lang w:eastAsia="zh-CN"/>
        </w:rPr>
        <w:t>项目经费。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（一）项目完成情况。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 w:bidi="ar"/>
        </w:rPr>
      </w:pPr>
      <w:r>
        <w:rPr>
          <w:rFonts w:hint="eastAsia" w:eastAsia="仿宋_GB2312"/>
          <w:color w:val="000000"/>
          <w:sz w:val="32"/>
          <w:szCs w:val="32"/>
          <w:highlight w:val="none"/>
          <w:lang w:eastAsia="zh-CN" w:bidi="ar"/>
        </w:rPr>
        <w:t>站前南街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bidi="ar"/>
        </w:rPr>
        <w:t>东风小学人行天桥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bidi="ar"/>
        </w:rPr>
        <w:t>仁和区亮化工程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bidi="ar"/>
        </w:rPr>
        <w:t>四十九交叉路口人行天桥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 w:bidi="ar"/>
        </w:rPr>
        <w:t>、仁和区城市更新专项规划、仁和区控规修编研究、迤沙拉大道城市更新方案及49-51片区概念规划、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bidi="ar"/>
        </w:rPr>
        <w:t>五十一人行天桥改造项目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lang w:bidi="ar"/>
        </w:rPr>
        <w:t>等</w:t>
      </w:r>
      <w:r>
        <w:rPr>
          <w:rFonts w:hint="eastAsia"/>
          <w:color w:val="000000"/>
          <w:sz w:val="32"/>
          <w:szCs w:val="32"/>
          <w:highlight w:val="none"/>
          <w:lang w:val="en-US" w:eastAsia="zh-CN" w:bidi="ar"/>
        </w:rPr>
        <w:t>57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lang w:bidi="ar"/>
        </w:rPr>
        <w:t>个项目</w:t>
      </w:r>
      <w:r>
        <w:rPr>
          <w:rFonts w:hint="eastAsia"/>
          <w:color w:val="000000"/>
          <w:sz w:val="32"/>
          <w:szCs w:val="32"/>
          <w:highlight w:val="none"/>
          <w:lang w:eastAsia="zh-CN" w:bidi="ar"/>
        </w:rPr>
        <w:t>均已达到资金拨付条件。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（二）项目效益情况。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cs="Times New Roman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社会效益</w:t>
      </w:r>
      <w:r>
        <w:rPr>
          <w:rFonts w:hint="eastAsia" w:cs="Times New Roman"/>
          <w:kern w:val="0"/>
          <w:sz w:val="32"/>
          <w:szCs w:val="32"/>
          <w:lang w:eastAsia="zh-CN"/>
        </w:rPr>
        <w:t>：缓解市政基础设施薄弱对仁和区经济社会带来的制约和影响，改善了城区居民生活环境，对改善城市投资环境具有十分重要的意义。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cs="Times New Roman"/>
          <w:kern w:val="0"/>
          <w:sz w:val="32"/>
          <w:szCs w:val="32"/>
          <w:lang w:val="en-US" w:eastAsia="zh-CN"/>
        </w:rPr>
        <w:t>2.经济效益：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完善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仁和区城区建设，提升仁和区城市形象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提高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人民生活水平、促进工农业生产发展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善城市中心区域道路交通系统，构建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便捷交通路网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，提高了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仁和区土地利用开发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力度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、城市经济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得到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大力发展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pStyle w:val="2"/>
        <w:ind w:firstLine="640" w:firstLineChars="200"/>
        <w:rPr>
          <w:rFonts w:hint="default"/>
          <w:lang w:val="en-US" w:eastAsia="zh-CN"/>
        </w:rPr>
      </w:pPr>
      <w:r>
        <w:rPr>
          <w:rFonts w:hint="eastAsia" w:cs="Times New Roman"/>
          <w:kern w:val="0"/>
          <w:sz w:val="32"/>
          <w:szCs w:val="32"/>
          <w:lang w:val="en-US" w:eastAsia="zh-CN"/>
        </w:rPr>
        <w:t>3.满意度指标：提高人民生活幸福感，满意度≥90%</w:t>
      </w: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四、问题及建议</w:t>
      </w:r>
    </w:p>
    <w:p>
      <w:p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（一）存在的问题。</w:t>
      </w:r>
    </w:p>
    <w:p>
      <w:pPr>
        <w:pStyle w:val="3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-SA"/>
        </w:rPr>
        <w:t>未支出的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20万元为上级专项补助资金，未联系到企业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-SA"/>
        </w:rPr>
        <w:t>尚未支付。</w:t>
      </w:r>
    </w:p>
    <w:p>
      <w:pPr>
        <w:pStyle w:val="3"/>
        <w:numPr>
          <w:ilvl w:val="0"/>
          <w:numId w:val="1"/>
        </w:numPr>
        <w:spacing w:line="600" w:lineRule="exact"/>
        <w:ind w:firstLine="643" w:firstLineChars="200"/>
        <w:jc w:val="left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相关建议。</w:t>
      </w:r>
    </w:p>
    <w:p>
      <w:pPr>
        <w:pStyle w:val="3"/>
        <w:numPr>
          <w:ilvl w:val="0"/>
          <w:numId w:val="0"/>
        </w:numPr>
        <w:spacing w:line="600" w:lineRule="exact"/>
        <w:ind w:firstLine="960" w:firstLineChars="3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目前部分工程尾款尚未结清，请财政局加大资金支持力度，确保项目顺利收尾。</w:t>
      </w:r>
    </w:p>
    <w:p>
      <w:pPr>
        <w:pStyle w:val="3"/>
        <w:numPr>
          <w:ilvl w:val="0"/>
          <w:numId w:val="0"/>
        </w:numPr>
        <w:spacing w:line="600" w:lineRule="exact"/>
        <w:ind w:firstLine="960" w:firstLineChars="3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pStyle w:val="3"/>
        <w:numPr>
          <w:ilvl w:val="0"/>
          <w:numId w:val="0"/>
        </w:numPr>
        <w:spacing w:line="600" w:lineRule="exact"/>
        <w:ind w:firstLine="960" w:firstLineChars="3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pStyle w:val="3"/>
        <w:numPr>
          <w:ilvl w:val="0"/>
          <w:numId w:val="0"/>
        </w:numPr>
        <w:spacing w:line="600" w:lineRule="exact"/>
        <w:ind w:firstLine="2240" w:firstLineChars="700"/>
        <w:jc w:val="left"/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-SA"/>
        </w:rPr>
        <w:t>攀枝花市仁和区住房和城乡建设局</w:t>
      </w:r>
    </w:p>
    <w:p>
      <w:pPr>
        <w:pStyle w:val="3"/>
        <w:numPr>
          <w:ilvl w:val="0"/>
          <w:numId w:val="0"/>
        </w:numPr>
        <w:spacing w:line="600" w:lineRule="exact"/>
        <w:ind w:firstLine="3520" w:firstLineChars="1100"/>
        <w:jc w:val="left"/>
        <w:rPr>
          <w:rFonts w:hint="default" w:ascii="Times New Roman" w:hAnsi="Times New Roman" w:cs="Times New Roman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-SA"/>
        </w:rPr>
        <w:t>2023年5月12日</w:t>
      </w:r>
    </w:p>
    <w:p>
      <w:pPr>
        <w:pStyle w:val="3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C6CEDA"/>
    <w:multiLevelType w:val="singleLevel"/>
    <w:tmpl w:val="0CC6CED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NmYwNTgxMmM4ZTczNGRlOGI3NjY2MjBiNDEzNGMifQ=="/>
  </w:docVars>
  <w:rsids>
    <w:rsidRoot w:val="291C455A"/>
    <w:rsid w:val="003414A3"/>
    <w:rsid w:val="00515A0C"/>
    <w:rsid w:val="00866E99"/>
    <w:rsid w:val="051C1208"/>
    <w:rsid w:val="0BD22522"/>
    <w:rsid w:val="0EDB478C"/>
    <w:rsid w:val="20DE7D40"/>
    <w:rsid w:val="23607DE2"/>
    <w:rsid w:val="24564FED"/>
    <w:rsid w:val="24B16B47"/>
    <w:rsid w:val="291C455A"/>
    <w:rsid w:val="2CD626BC"/>
    <w:rsid w:val="2FF81658"/>
    <w:rsid w:val="32EE574D"/>
    <w:rsid w:val="36926D0C"/>
    <w:rsid w:val="478870D9"/>
    <w:rsid w:val="49F703AD"/>
    <w:rsid w:val="4B993108"/>
    <w:rsid w:val="4DAF2BCF"/>
    <w:rsid w:val="4DDB6F66"/>
    <w:rsid w:val="5EBD78BB"/>
    <w:rsid w:val="74E019EA"/>
    <w:rsid w:val="75E409FB"/>
    <w:rsid w:val="792F2AEE"/>
    <w:rsid w:val="7AF96588"/>
    <w:rsid w:val="BFFE83F2"/>
    <w:rsid w:val="D7FDD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jc w:val="left"/>
    </w:pPr>
    <w:rPr>
      <w:rFonts w:cs="宋体"/>
      <w:color w:val="000000"/>
      <w:sz w:val="24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table" w:styleId="5">
    <w:name w:val="Table Grid"/>
    <w:basedOn w:val="4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四号正文"/>
    <w:basedOn w:val="1"/>
    <w:qFormat/>
    <w:uiPriority w:val="0"/>
    <w:pPr>
      <w:spacing w:line="360" w:lineRule="auto"/>
    </w:pPr>
    <w:rPr>
      <w:rFonts w:ascii="??" w:hAnsi="??" w:eastAsia="宋体"/>
      <w:color w:val="000000"/>
      <w:kern w:val="0"/>
      <w:sz w:val="28"/>
      <w:szCs w:val="21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1563</Words>
  <Characters>1687</Characters>
  <Lines>6</Lines>
  <Paragraphs>1</Paragraphs>
  <TotalTime>5</TotalTime>
  <ScaleCrop>false</ScaleCrop>
  <LinksUpToDate>false</LinksUpToDate>
  <CharactersWithSpaces>1688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2020-07-01T00:19:00Z</dcterms:created>
  <dc:creator>Administrator</dc:creator>
  <cp:lastModifiedBy>Administrator</cp:lastModifiedBy>
  <dcterms:modified xsi:type="dcterms:W3CDTF">2023-05-17T10:21:32Z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35DFBFF1D62440999FF1DFBB4EC93774_12</vt:lpwstr>
  </property>
</Properties>
</file>