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contextualSpacing/>
        <w:rPr>
          <w:rFonts w:eastAsia="黑体"/>
          <w:szCs w:val="32"/>
          <w:lang w:val="zh-CN"/>
        </w:rPr>
      </w:pPr>
      <w:r>
        <w:rPr>
          <w:rFonts w:eastAsia="黑体"/>
          <w:szCs w:val="32"/>
          <w:lang w:val="zh-CN"/>
        </w:rPr>
        <w:t>附件</w:t>
      </w:r>
      <w:r>
        <w:rPr>
          <w:rFonts w:eastAsia="黑体"/>
          <w:szCs w:val="32"/>
        </w:rPr>
        <w:t>2</w:t>
      </w:r>
    </w:p>
    <w:p>
      <w:pPr>
        <w:widowControl/>
        <w:spacing w:line="580" w:lineRule="exact"/>
        <w:contextualSpacing/>
        <w:rPr>
          <w:rFonts w:eastAsia="宋体"/>
          <w:b/>
          <w:sz w:val="44"/>
          <w:szCs w:val="44"/>
          <w:shd w:val="clear" w:color="auto" w:fill="FFFFFF"/>
        </w:rPr>
      </w:pPr>
    </w:p>
    <w:p>
      <w:pPr>
        <w:widowControl/>
        <w:spacing w:line="580" w:lineRule="exact"/>
        <w:contextualSpacing/>
        <w:jc w:val="center"/>
        <w:rPr>
          <w:rFonts w:eastAsia="宋体"/>
          <w:b/>
          <w:sz w:val="44"/>
          <w:szCs w:val="44"/>
          <w:shd w:val="clear" w:color="auto" w:fill="FFFFFF"/>
        </w:rPr>
      </w:pPr>
      <w:r>
        <w:rPr>
          <w:rFonts w:hint="eastAsia" w:eastAsia="宋体"/>
          <w:b/>
          <w:sz w:val="44"/>
          <w:szCs w:val="44"/>
          <w:shd w:val="clear" w:color="auto" w:fill="FFFFFF"/>
          <w:lang w:eastAsia="zh-CN"/>
        </w:rPr>
        <w:t>攀枝花市仁和区教育和体育局</w:t>
      </w:r>
      <w:r>
        <w:rPr>
          <w:rFonts w:eastAsia="宋体"/>
          <w:b/>
          <w:sz w:val="44"/>
          <w:szCs w:val="44"/>
          <w:shd w:val="clear" w:color="auto" w:fill="FFFFFF"/>
        </w:rPr>
        <w:t>2023年部门整体支出绩效评价报告</w:t>
      </w:r>
    </w:p>
    <w:p>
      <w:pPr>
        <w:widowControl/>
        <w:spacing w:line="580" w:lineRule="exact"/>
        <w:contextualSpacing/>
        <w:jc w:val="center"/>
        <w:rPr>
          <w:rFonts w:eastAsia="宋体"/>
          <w:b/>
          <w:sz w:val="44"/>
          <w:szCs w:val="44"/>
          <w:shd w:val="clear" w:color="auto" w:fill="FFFFFF"/>
        </w:rPr>
      </w:pPr>
      <w:bookmarkStart w:id="6" w:name="_GoBack"/>
      <w:bookmarkEnd w:id="6"/>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lang w:val="zh-CN"/>
        </w:rPr>
      </w:pPr>
      <w:r>
        <w:rPr>
          <w:rFonts w:eastAsia="黑体"/>
          <w:color w:val="000000"/>
          <w:kern w:val="0"/>
          <w:szCs w:val="32"/>
          <w:shd w:val="clear" w:color="auto" w:fill="FFFFFF"/>
        </w:rPr>
        <w:t>一、</w:t>
      </w:r>
      <w:r>
        <w:rPr>
          <w:rFonts w:eastAsia="黑体"/>
          <w:color w:val="000000"/>
          <w:kern w:val="0"/>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仿宋_GB2312" w:hAnsi="Times New Roman" w:eastAsia="仿宋_GB2312" w:cs="仿宋_GB2312"/>
          <w:color w:val="000000"/>
          <w:kern w:val="2"/>
          <w:sz w:val="32"/>
          <w:szCs w:val="32"/>
          <w:lang w:val="zh-CN" w:eastAsia="zh-CN" w:bidi="ar"/>
        </w:rPr>
      </w:pPr>
      <w:r>
        <w:rPr>
          <w:rFonts w:hint="eastAsia" w:ascii="仿宋_GB2312" w:hAnsi="Times New Roman" w:eastAsia="仿宋_GB2312" w:cs="仿宋_GB2312"/>
          <w:color w:val="000000"/>
          <w:kern w:val="2"/>
          <w:sz w:val="32"/>
          <w:szCs w:val="32"/>
          <w:lang w:val="zh-CN" w:eastAsia="zh-CN" w:bidi="ar"/>
        </w:rPr>
        <w:t>（一）机构组成。</w:t>
      </w:r>
    </w:p>
    <w:p>
      <w:pPr>
        <w:widowControl/>
        <w:adjustRightInd w:val="0"/>
        <w:snapToGrid w:val="0"/>
        <w:spacing w:line="580" w:lineRule="exact"/>
        <w:ind w:firstLine="640" w:firstLineChars="200"/>
        <w:contextualSpacing/>
        <w:jc w:val="left"/>
        <w:rPr>
          <w:rFonts w:hint="eastAsia" w:ascii="仿宋_GB2312" w:hAnsi="Times New Roman" w:eastAsia="仿宋_GB2312" w:cs="仿宋_GB2312"/>
          <w:color w:val="000000"/>
          <w:kern w:val="2"/>
          <w:sz w:val="32"/>
          <w:szCs w:val="32"/>
          <w:lang w:val="zh-CN" w:eastAsia="zh-CN" w:bidi="ar"/>
        </w:rPr>
      </w:pPr>
      <w:r>
        <w:rPr>
          <w:rFonts w:hint="eastAsia" w:ascii="仿宋_GB2312" w:hAnsi="Times New Roman" w:eastAsia="仿宋_GB2312" w:cs="仿宋_GB2312"/>
          <w:color w:val="000000"/>
          <w:kern w:val="2"/>
          <w:sz w:val="32"/>
          <w:szCs w:val="32"/>
          <w:lang w:val="en-US" w:eastAsia="zh-CN" w:bidi="ar"/>
        </w:rPr>
        <w:t>攀枝花市仁和区教育和体育局（简称区教体局）是攀枝花市仁和区人民政府的工作部门，为正科级。挂攀故花市仁和区教育和体育局、中共攀枝花市仁和区委员会教育工作委员会、中共攀枝花市仁和区教育和体育局党组牌子。下设攀枝花市仁和区学校后勤保障服务中心、攀枝花市仁和区教育考试中心、攀枝花市仁和区电化教育中心、攀枝花市仁和区群众体育活动中心（攀枝花市仁和区青少年活动中心）、攀枝花市仁和区教师交流服务中心。</w:t>
      </w:r>
    </w:p>
    <w:p>
      <w:pPr>
        <w:widowControl/>
        <w:adjustRightInd w:val="0"/>
        <w:snapToGrid w:val="0"/>
        <w:spacing w:line="580" w:lineRule="exact"/>
        <w:ind w:firstLine="640" w:firstLineChars="200"/>
        <w:contextualSpacing/>
        <w:jc w:val="left"/>
        <w:rPr>
          <w:rFonts w:hint="eastAsia" w:ascii="仿宋_GB2312" w:hAnsi="Times New Roman" w:eastAsia="仿宋_GB2312" w:cs="仿宋_GB2312"/>
          <w:color w:val="000000"/>
          <w:kern w:val="2"/>
          <w:sz w:val="32"/>
          <w:szCs w:val="32"/>
          <w:lang w:val="zh-CN" w:eastAsia="zh-CN" w:bidi="ar"/>
        </w:rPr>
      </w:pPr>
      <w:r>
        <w:rPr>
          <w:rFonts w:hint="eastAsia" w:ascii="仿宋_GB2312" w:hAnsi="Times New Roman" w:eastAsia="仿宋_GB2312" w:cs="仿宋_GB2312"/>
          <w:color w:val="000000"/>
          <w:kern w:val="2"/>
          <w:sz w:val="32"/>
          <w:szCs w:val="32"/>
          <w:lang w:val="zh-CN" w:eastAsia="zh-CN" w:bidi="ar"/>
        </w:rPr>
        <w:t>机构职能。</w:t>
      </w:r>
    </w:p>
    <w:p>
      <w:pPr>
        <w:widowControl/>
        <w:adjustRightInd w:val="0"/>
        <w:snapToGrid w:val="0"/>
        <w:spacing w:line="580" w:lineRule="exact"/>
        <w:ind w:firstLine="640" w:firstLineChars="200"/>
        <w:contextualSpacing/>
        <w:jc w:val="left"/>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1、负责指导全区教体系统基层党建工作、精神文明、统战、双拥和民主管理工作；负责区委教育工作领导小组秘书组秘书工作职责。</w:t>
      </w:r>
    </w:p>
    <w:p>
      <w:pPr>
        <w:widowControl/>
        <w:adjustRightInd w:val="0"/>
        <w:snapToGrid w:val="0"/>
        <w:spacing w:line="580" w:lineRule="exact"/>
        <w:ind w:firstLine="640" w:firstLineChars="200"/>
        <w:contextualSpacing/>
        <w:jc w:val="left"/>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2、综合管理全区学前教育、全区义务教育、普通高中教育、特殊教育、民族教育、成人教育等教育工作，指导基础教育课程及教学改革工作，指导规范民办教育、教育社会组织相关工作，承担有关行政审批事项。</w:t>
      </w:r>
    </w:p>
    <w:p>
      <w:pPr>
        <w:widowControl/>
        <w:adjustRightInd w:val="0"/>
        <w:snapToGrid w:val="0"/>
        <w:spacing w:line="580" w:lineRule="exact"/>
        <w:ind w:firstLine="640" w:firstLineChars="200"/>
        <w:contextualSpacing/>
        <w:jc w:val="left"/>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3、负责拟订教体系统安全工作规章制度并组织实施，督促、检查、指导安全工作，指导学校（场馆）编制突发事件应急处理预案并组织演练，组织协调教育体育系统重大安全事故处理，组织拟订全区体育、艺术事业发展规划，组织、调查研究全区体育改革与发展的重大问题，综合协调教体系统体育、艺术改革工作。</w:t>
      </w:r>
    </w:p>
    <w:p>
      <w:pPr>
        <w:widowControl/>
        <w:adjustRightInd w:val="0"/>
        <w:snapToGrid w:val="0"/>
        <w:spacing w:line="580" w:lineRule="exact"/>
        <w:ind w:firstLine="640" w:firstLineChars="200"/>
        <w:contextualSpacing/>
        <w:jc w:val="left"/>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4、统筹、规划、指导全区中小学教师队伍、教育体育人才队伍及职业道德建设工作；管理指导全区中小学校干部、教师、教练继续教育和学历提升工作。</w:t>
      </w:r>
    </w:p>
    <w:p>
      <w:pPr>
        <w:widowControl/>
        <w:adjustRightInd w:val="0"/>
        <w:snapToGrid w:val="0"/>
        <w:spacing w:line="580" w:lineRule="exact"/>
        <w:ind w:firstLine="640" w:firstLineChars="200"/>
        <w:contextualSpacing/>
        <w:jc w:val="left"/>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5、承担各中小学校（幼儿园）财务监督管理，组织实施学校校舍（场馆）安全排查和地质灾害的防治工作，指导和开展全区教体系统内部财务管理监督和控制工作，管理、指导和监督全区各项学生资助工作。</w:t>
      </w:r>
    </w:p>
    <w:p>
      <w:pPr>
        <w:widowControl/>
        <w:adjustRightInd w:val="0"/>
        <w:snapToGrid w:val="0"/>
        <w:spacing w:line="580" w:lineRule="exact"/>
        <w:ind w:firstLine="640" w:firstLineChars="200"/>
        <w:contextualSpacing/>
        <w:jc w:val="left"/>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6、负责协助区教育和体育局抓好学校后勤管理服务，负责学生资助和营养改善计划相关事务性工作。</w:t>
      </w:r>
    </w:p>
    <w:p>
      <w:pPr>
        <w:widowControl/>
        <w:adjustRightInd w:val="0"/>
        <w:snapToGrid w:val="0"/>
        <w:spacing w:line="580" w:lineRule="exact"/>
        <w:ind w:firstLine="640" w:firstLineChars="200"/>
        <w:contextualSpacing/>
        <w:jc w:val="left"/>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7、负责贯彻落实有关国家教育考试、中考、非学历教育考试的政策、规定，协助调查、记录招生考试工作中发生的重大问题，负责国家教育考试、中考、非学历教育考试的报名、体检、建档、考试组织等工作。</w:t>
      </w:r>
    </w:p>
    <w:p>
      <w:pPr>
        <w:widowControl/>
        <w:adjustRightInd w:val="0"/>
        <w:snapToGrid w:val="0"/>
        <w:spacing w:line="580" w:lineRule="exact"/>
        <w:ind w:firstLine="640" w:firstLineChars="200"/>
        <w:contextualSpacing/>
        <w:jc w:val="left"/>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8、负责全区中小学教学设施、设备、仪器的建设、补充，组织中学实验操作考核、高中信息技术毕业会考和通用技术会考，组织全区中小学实验竞赛及多媒体和网络环境下的学科优质课竞赛，负责技术人员培训。</w:t>
      </w:r>
    </w:p>
    <w:p>
      <w:pPr>
        <w:widowControl/>
        <w:adjustRightInd w:val="0"/>
        <w:snapToGrid w:val="0"/>
        <w:spacing w:line="580" w:lineRule="exact"/>
        <w:ind w:firstLine="640" w:firstLineChars="200"/>
        <w:contextualSpacing/>
        <w:jc w:val="left"/>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9、负责宣传、贯彻和落实体育工作法律、法规，开展群众性体育活动；贯彻落实学生体质健康标准，组织其他体育活动；组织业余体校体育训练和竞赛，开展普及性的校外公益性教育实践培训和送教下乡、送艺下乡等活动。</w:t>
      </w:r>
    </w:p>
    <w:p>
      <w:pPr>
        <w:widowControl/>
        <w:adjustRightInd w:val="0"/>
        <w:snapToGrid w:val="0"/>
        <w:spacing w:line="580" w:lineRule="exact"/>
        <w:ind w:firstLine="640" w:firstLineChars="200"/>
        <w:contextualSpacing/>
        <w:jc w:val="left"/>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10、负责推进教师“岗编适度分离”和“区管校聘”改革、优化区域教师资源配置相关事务性和服务性工作。</w:t>
      </w:r>
    </w:p>
    <w:p>
      <w:pPr>
        <w:widowControl/>
        <w:adjustRightInd w:val="0"/>
        <w:snapToGrid w:val="0"/>
        <w:spacing w:line="580" w:lineRule="exact"/>
        <w:ind w:firstLine="640" w:firstLineChars="200"/>
        <w:contextualSpacing/>
        <w:jc w:val="left"/>
        <w:rPr>
          <w:rFonts w:hint="eastAsia" w:ascii="仿宋_GB2312" w:hAnsi="Times New Roman" w:eastAsia="仿宋_GB2312" w:cs="仿宋_GB2312"/>
          <w:color w:val="000000"/>
          <w:kern w:val="2"/>
          <w:sz w:val="32"/>
          <w:szCs w:val="32"/>
          <w:lang w:val="zh-CN" w:eastAsia="zh-CN" w:bidi="ar"/>
        </w:rPr>
      </w:pPr>
      <w:r>
        <w:rPr>
          <w:rFonts w:hint="eastAsia" w:ascii="仿宋_GB2312" w:hAnsi="Times New Roman" w:eastAsia="仿宋_GB2312" w:cs="仿宋_GB2312"/>
          <w:color w:val="000000"/>
          <w:kern w:val="2"/>
          <w:sz w:val="32"/>
          <w:szCs w:val="32"/>
          <w:lang w:val="zh-CN" w:eastAsia="zh-CN" w:bidi="ar"/>
        </w:rPr>
        <w:t>（三）人员概况。</w:t>
      </w:r>
    </w:p>
    <w:p>
      <w:pPr>
        <w:widowControl/>
        <w:adjustRightInd w:val="0"/>
        <w:snapToGrid w:val="0"/>
        <w:spacing w:line="580" w:lineRule="exact"/>
        <w:ind w:firstLine="640" w:firstLineChars="200"/>
        <w:contextualSpacing/>
        <w:jc w:val="left"/>
        <w:rPr>
          <w:rFonts w:hint="eastAsia" w:ascii="仿宋_GB2312" w:hAnsi="Times New Roman" w:eastAsia="仿宋_GB2312" w:cs="仿宋_GB2312"/>
          <w:color w:val="000000"/>
          <w:kern w:val="2"/>
          <w:sz w:val="32"/>
          <w:szCs w:val="32"/>
          <w:lang w:val="zh-CN" w:eastAsia="zh-CN" w:bidi="ar"/>
        </w:rPr>
      </w:pPr>
      <w:r>
        <w:rPr>
          <w:rFonts w:hint="eastAsia" w:ascii="仿宋_GB2312" w:hAnsi="Times New Roman" w:eastAsia="仿宋_GB2312" w:cs="仿宋_GB2312"/>
          <w:color w:val="000000"/>
          <w:kern w:val="2"/>
          <w:sz w:val="32"/>
          <w:szCs w:val="32"/>
          <w:lang w:val="en-US" w:eastAsia="zh-CN" w:bidi="ar"/>
        </w:rPr>
        <w:t>攀枝花市仁和区教育和体育局（简称区教体局）是攀枝花市仁和区人民政府的工作部门，为正科级。挂攀故花市仁和区教育和体育局、中共攀枝花市仁和区委员会教育工作委员会、中共攀枝花市仁和区教育和体育局党组牌子。内设党政办公室、教育股（区教育督导委员会办公室）、安全卫生体育艺术股、人事师培股、财务基建股，行政编制11名。其中：局长1名，副局长3名，区委教育工委副书记（机关党总支书记）1名。机关后勤服务人员控制数2名。 共有事业正式编制17个。</w:t>
      </w: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_GB2312" w:hAnsi="Times New Roman" w:eastAsia="仿宋_GB2312" w:cs="仿宋_GB2312"/>
          <w:color w:val="000000"/>
          <w:kern w:val="2"/>
          <w:sz w:val="32"/>
          <w:szCs w:val="32"/>
          <w:lang w:val="zh-CN" w:eastAsia="zh-CN" w:bidi="ar"/>
        </w:rPr>
      </w:pPr>
      <w:r>
        <w:rPr>
          <w:rFonts w:hint="eastAsia" w:ascii="仿宋_GB2312" w:hAnsi="Times New Roman" w:eastAsia="仿宋_GB2312" w:cs="仿宋_GB2312"/>
          <w:color w:val="000000"/>
          <w:kern w:val="2"/>
          <w:sz w:val="32"/>
          <w:szCs w:val="32"/>
          <w:lang w:val="zh-CN" w:eastAsia="zh-CN" w:bidi="ar"/>
        </w:rPr>
        <w:t>（一）部门财政资金收入情况。</w:t>
      </w:r>
    </w:p>
    <w:p>
      <w:pPr>
        <w:widowControl/>
        <w:adjustRightInd w:val="0"/>
        <w:snapToGrid w:val="0"/>
        <w:spacing w:line="580" w:lineRule="exact"/>
        <w:ind w:firstLine="640" w:firstLineChars="200"/>
        <w:contextualSpacing/>
        <w:jc w:val="left"/>
        <w:rPr>
          <w:rFonts w:hint="eastAsia" w:ascii="仿宋_GB2312" w:hAnsi="Times New Roman" w:eastAsia="仿宋_GB2312" w:cs="仿宋_GB2312"/>
          <w:color w:val="000000"/>
          <w:kern w:val="2"/>
          <w:sz w:val="32"/>
          <w:szCs w:val="32"/>
          <w:lang w:val="zh-CN" w:eastAsia="zh-CN" w:bidi="ar"/>
        </w:rPr>
      </w:pPr>
      <w:r>
        <w:rPr>
          <w:rFonts w:hint="eastAsia" w:ascii="仿宋_GB2312" w:hAnsi="Times New Roman" w:eastAsia="仿宋_GB2312" w:cs="仿宋_GB2312"/>
          <w:color w:val="000000"/>
          <w:kern w:val="2"/>
          <w:sz w:val="32"/>
          <w:szCs w:val="32"/>
          <w:lang w:val="en-US" w:eastAsia="zh-CN" w:bidi="ar"/>
        </w:rPr>
        <w:t>攀枝花市仁和区教育和体育局2022年收入预算4519.96万元，其中：本年一般公共预算拨款收入4519.96万元，占100%。</w:t>
      </w:r>
    </w:p>
    <w:p>
      <w:pPr>
        <w:widowControl/>
        <w:adjustRightInd w:val="0"/>
        <w:snapToGrid w:val="0"/>
        <w:spacing w:line="580" w:lineRule="exact"/>
        <w:ind w:firstLine="640" w:firstLineChars="200"/>
        <w:contextualSpacing/>
        <w:jc w:val="left"/>
        <w:rPr>
          <w:rFonts w:hint="eastAsia" w:ascii="仿宋_GB2312" w:hAnsi="Times New Roman" w:eastAsia="仿宋_GB2312" w:cs="仿宋_GB2312"/>
          <w:color w:val="000000"/>
          <w:kern w:val="2"/>
          <w:sz w:val="32"/>
          <w:szCs w:val="32"/>
          <w:lang w:val="zh-CN" w:eastAsia="zh-CN" w:bidi="ar"/>
        </w:rPr>
      </w:pPr>
      <w:r>
        <w:rPr>
          <w:rFonts w:hint="eastAsia" w:ascii="仿宋_GB2312" w:hAnsi="Times New Roman" w:eastAsia="仿宋_GB2312" w:cs="仿宋_GB2312"/>
          <w:color w:val="000000"/>
          <w:kern w:val="2"/>
          <w:sz w:val="32"/>
          <w:szCs w:val="32"/>
          <w:lang w:val="zh-CN" w:eastAsia="zh-CN" w:bidi="ar"/>
        </w:rPr>
        <w:t>部门财政资金支出情况。</w:t>
      </w:r>
    </w:p>
    <w:p>
      <w:pPr>
        <w:widowControl/>
        <w:adjustRightInd w:val="0"/>
        <w:snapToGrid w:val="0"/>
        <w:spacing w:line="580" w:lineRule="exact"/>
        <w:ind w:firstLine="640" w:firstLineChars="200"/>
        <w:contextualSpacing/>
        <w:jc w:val="left"/>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 xml:space="preserve">   攀枝花市仁和区教育和体育局2022年支出5082.38万元，其中：基本支出1024.97万元，占20.17%；项目支出4057.41万元，占79.83%。</w:t>
      </w:r>
    </w:p>
    <w:p>
      <w:pPr>
        <w:widowControl/>
        <w:adjustRightInd w:val="0"/>
        <w:snapToGrid w:val="0"/>
        <w:spacing w:line="580" w:lineRule="exact"/>
        <w:ind w:firstLine="640" w:firstLineChars="200"/>
        <w:contextualSpacing/>
        <w:jc w:val="left"/>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攀枝花市仁和区教育和体育局预算安排支出主要用于保障该部门机构正常运转、完成日常工作任务以及本单位承担的教育管理工作。</w:t>
      </w:r>
    </w:p>
    <w:p>
      <w:pPr>
        <w:widowControl/>
        <w:adjustRightInd w:val="0"/>
        <w:snapToGrid w:val="0"/>
        <w:spacing w:line="580" w:lineRule="exact"/>
        <w:ind w:firstLine="640" w:firstLineChars="200"/>
        <w:contextualSpacing/>
        <w:jc w:val="left"/>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基本支出，是用于保障教育局机关等机构正常运转的日常支出，包括基本工资、津贴补贴、离退休费、住房公积金和日常公用经费等。</w:t>
      </w:r>
    </w:p>
    <w:p>
      <w:pPr>
        <w:widowControl/>
        <w:adjustRightInd w:val="0"/>
        <w:snapToGrid w:val="0"/>
        <w:spacing w:line="580" w:lineRule="exact"/>
        <w:ind w:firstLine="640" w:firstLineChars="200"/>
        <w:contextualSpacing/>
        <w:jc w:val="left"/>
        <w:rPr>
          <w:rFonts w:hint="eastAsia" w:eastAsia="仿宋_GB2312"/>
          <w:color w:val="000000"/>
          <w:kern w:val="0"/>
          <w:szCs w:val="32"/>
          <w:shd w:val="clear" w:color="auto" w:fill="FFFFFF"/>
          <w:lang w:val="en-US" w:eastAsia="zh-CN"/>
        </w:rPr>
      </w:pPr>
      <w:r>
        <w:rPr>
          <w:rFonts w:hint="eastAsia" w:ascii="仿宋_GB2312" w:hAnsi="Times New Roman" w:eastAsia="仿宋_GB2312" w:cs="仿宋_GB2312"/>
          <w:color w:val="000000"/>
          <w:kern w:val="2"/>
          <w:sz w:val="32"/>
          <w:szCs w:val="32"/>
          <w:lang w:val="en-US" w:eastAsia="zh-CN" w:bidi="ar"/>
        </w:rPr>
        <w:t>项目支出，是用于保障仁和区教育系统及体育等机构为完成特定的行政工作任务或事业发展目标，用于专项业务工作的经费支出。</w:t>
      </w:r>
      <w:r>
        <w:rPr>
          <w:rFonts w:hint="eastAsia"/>
          <w:color w:val="000000"/>
          <w:kern w:val="0"/>
          <w:szCs w:val="32"/>
          <w:shd w:val="clear" w:color="auto" w:fill="FFFFFF"/>
          <w:lang w:val="en-US" w:eastAsia="zh-CN"/>
        </w:rPr>
        <w:t xml:space="preserve">  </w:t>
      </w: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hint="eastAsia" w:ascii="仿宋_GB2312" w:hAnsi="Times New Roman" w:eastAsia="仿宋_GB2312" w:cs="仿宋_GB2312"/>
          <w:color w:val="000000"/>
          <w:kern w:val="2"/>
          <w:sz w:val="32"/>
          <w:szCs w:val="32"/>
          <w:lang w:val="zh-CN" w:eastAsia="zh-CN" w:bidi="ar"/>
        </w:rPr>
      </w:pPr>
      <w:r>
        <w:rPr>
          <w:rFonts w:hint="eastAsia" w:ascii="仿宋_GB2312" w:hAnsi="Times New Roman" w:eastAsia="仿宋_GB2312" w:cs="仿宋_GB2312"/>
          <w:color w:val="000000"/>
          <w:kern w:val="2"/>
          <w:sz w:val="32"/>
          <w:szCs w:val="32"/>
          <w:lang w:val="zh-CN" w:eastAsia="zh-CN" w:bidi="ar"/>
        </w:rPr>
        <w:t>（一）部门预算项目绩效管理。</w:t>
      </w:r>
    </w:p>
    <w:p>
      <w:pPr>
        <w:widowControl/>
        <w:adjustRightInd w:val="0"/>
        <w:snapToGrid w:val="0"/>
        <w:spacing w:line="580" w:lineRule="exact"/>
        <w:ind w:firstLine="640" w:firstLineChars="200"/>
        <w:contextualSpacing/>
        <w:jc w:val="left"/>
        <w:rPr>
          <w:rFonts w:hint="eastAsia" w:ascii="仿宋_GB2312" w:hAnsi="Times New Roman" w:eastAsia="仿宋_GB2312" w:cs="仿宋_GB2312"/>
          <w:color w:val="000000"/>
          <w:kern w:val="2"/>
          <w:sz w:val="32"/>
          <w:szCs w:val="32"/>
          <w:lang w:val="en-US" w:eastAsia="zh-CN" w:bidi="ar"/>
        </w:rPr>
      </w:pPr>
      <w:bookmarkStart w:id="0" w:name="_Toc22761"/>
      <w:bookmarkStart w:id="1" w:name="_Toc6652"/>
      <w:r>
        <w:rPr>
          <w:rFonts w:hint="eastAsia" w:ascii="仿宋_GB2312" w:hAnsi="Times New Roman" w:eastAsia="仿宋_GB2312" w:cs="仿宋_GB2312"/>
          <w:color w:val="000000"/>
          <w:kern w:val="2"/>
          <w:sz w:val="32"/>
          <w:szCs w:val="32"/>
          <w:lang w:val="en-US" w:eastAsia="zh-CN" w:bidi="ar"/>
        </w:rPr>
        <w:t>1.</w:t>
      </w:r>
      <w:r>
        <w:rPr>
          <w:rFonts w:hint="eastAsia" w:ascii="仿宋_GB2312" w:hAnsi="Times New Roman" w:eastAsia="仿宋_GB2312" w:cs="仿宋_GB2312"/>
          <w:color w:val="000000"/>
          <w:kern w:val="2"/>
          <w:sz w:val="32"/>
          <w:szCs w:val="32"/>
          <w:lang w:val="zh-CN" w:eastAsia="zh-CN" w:bidi="ar"/>
        </w:rPr>
        <w:t>绩效目标制定</w:t>
      </w:r>
      <w:bookmarkEnd w:id="0"/>
      <w:bookmarkEnd w:id="1"/>
    </w:p>
    <w:p>
      <w:pPr>
        <w:widowControl/>
        <w:adjustRightInd w:val="0"/>
        <w:snapToGrid w:val="0"/>
        <w:spacing w:line="580" w:lineRule="exact"/>
        <w:ind w:firstLine="640" w:firstLineChars="200"/>
        <w:contextualSpacing/>
        <w:jc w:val="left"/>
        <w:rPr>
          <w:rFonts w:hint="eastAsia" w:ascii="仿宋_GB2312" w:hAnsi="Times New Roman" w:eastAsia="仿宋_GB2312" w:cs="仿宋_GB2312"/>
          <w:color w:val="000000"/>
          <w:kern w:val="2"/>
          <w:sz w:val="32"/>
          <w:szCs w:val="32"/>
          <w:lang w:val="zh-CN" w:eastAsia="zh-CN" w:bidi="ar"/>
        </w:rPr>
      </w:pPr>
      <w:r>
        <w:rPr>
          <w:rFonts w:hint="eastAsia" w:ascii="仿宋_GB2312" w:hAnsi="Times New Roman" w:eastAsia="仿宋_GB2312" w:cs="仿宋_GB2312"/>
          <w:color w:val="000000"/>
          <w:kern w:val="2"/>
          <w:sz w:val="32"/>
          <w:szCs w:val="32"/>
          <w:lang w:val="zh-CN" w:eastAsia="zh-CN" w:bidi="ar"/>
        </w:rPr>
        <w:t>攀枝花市仁和区</w:t>
      </w:r>
      <w:r>
        <w:rPr>
          <w:rFonts w:hint="eastAsia" w:ascii="仿宋_GB2312" w:cs="仿宋_GB2312"/>
          <w:color w:val="000000"/>
          <w:kern w:val="2"/>
          <w:sz w:val="32"/>
          <w:szCs w:val="32"/>
          <w:lang w:val="zh-CN" w:eastAsia="zh-CN" w:bidi="ar"/>
        </w:rPr>
        <w:t>教育和体育局</w:t>
      </w:r>
      <w:r>
        <w:rPr>
          <w:rFonts w:hint="eastAsia" w:ascii="仿宋_GB2312" w:hAnsi="Times New Roman" w:eastAsia="仿宋_GB2312" w:cs="仿宋_GB2312"/>
          <w:color w:val="000000"/>
          <w:kern w:val="2"/>
          <w:sz w:val="32"/>
          <w:szCs w:val="32"/>
          <w:lang w:val="zh-CN" w:eastAsia="zh-CN" w:bidi="ar"/>
        </w:rPr>
        <w:t>绩效目标要素完整、细化量化绩效目标。</w:t>
      </w:r>
    </w:p>
    <w:p>
      <w:pPr>
        <w:widowControl/>
        <w:adjustRightInd w:val="0"/>
        <w:snapToGrid w:val="0"/>
        <w:spacing w:line="580" w:lineRule="exact"/>
        <w:ind w:firstLine="640" w:firstLineChars="200"/>
        <w:contextualSpacing/>
        <w:jc w:val="left"/>
        <w:rPr>
          <w:rFonts w:hint="eastAsia" w:ascii="仿宋_GB2312" w:hAnsi="Times New Roman" w:eastAsia="仿宋_GB2312" w:cs="仿宋_GB2312"/>
          <w:color w:val="000000"/>
          <w:kern w:val="2"/>
          <w:sz w:val="32"/>
          <w:szCs w:val="32"/>
          <w:lang w:val="en-US" w:eastAsia="zh-CN" w:bidi="ar"/>
        </w:rPr>
      </w:pPr>
      <w:bookmarkStart w:id="2" w:name="_Toc25943"/>
      <w:bookmarkStart w:id="3" w:name="_Toc3665"/>
      <w:r>
        <w:rPr>
          <w:rFonts w:hint="eastAsia" w:ascii="仿宋_GB2312" w:hAnsi="Times New Roman" w:eastAsia="仿宋_GB2312" w:cs="仿宋_GB2312"/>
          <w:color w:val="000000"/>
          <w:kern w:val="2"/>
          <w:sz w:val="32"/>
          <w:szCs w:val="32"/>
          <w:lang w:val="en-US" w:eastAsia="zh-CN" w:bidi="ar"/>
        </w:rPr>
        <w:t>2.</w:t>
      </w:r>
      <w:r>
        <w:rPr>
          <w:rFonts w:hint="eastAsia" w:ascii="仿宋_GB2312" w:hAnsi="Times New Roman" w:eastAsia="仿宋_GB2312" w:cs="仿宋_GB2312"/>
          <w:color w:val="000000"/>
          <w:kern w:val="2"/>
          <w:sz w:val="32"/>
          <w:szCs w:val="32"/>
          <w:lang w:val="zh-CN" w:eastAsia="zh-CN" w:bidi="ar"/>
        </w:rPr>
        <w:t>绩效目标实现</w:t>
      </w:r>
      <w:bookmarkEnd w:id="2"/>
      <w:bookmarkEnd w:id="3"/>
    </w:p>
    <w:p>
      <w:pPr>
        <w:widowControl/>
        <w:adjustRightInd w:val="0"/>
        <w:snapToGrid w:val="0"/>
        <w:spacing w:line="580" w:lineRule="exact"/>
        <w:ind w:firstLine="640" w:firstLineChars="200"/>
        <w:contextualSpacing/>
        <w:jc w:val="left"/>
        <w:rPr>
          <w:rFonts w:hint="eastAsia" w:ascii="仿宋_GB2312" w:hAnsi="Times New Roman" w:eastAsia="仿宋_GB2312" w:cs="仿宋_GB2312"/>
          <w:color w:val="000000"/>
          <w:kern w:val="2"/>
          <w:sz w:val="32"/>
          <w:szCs w:val="32"/>
          <w:lang w:val="zh-CN" w:eastAsia="zh-CN" w:bidi="ar"/>
        </w:rPr>
      </w:pPr>
      <w:r>
        <w:rPr>
          <w:rFonts w:hint="eastAsia" w:ascii="仿宋_GB2312" w:hAnsi="Times New Roman" w:eastAsia="仿宋_GB2312" w:cs="仿宋_GB2312"/>
          <w:color w:val="000000"/>
          <w:kern w:val="2"/>
          <w:sz w:val="32"/>
          <w:szCs w:val="32"/>
          <w:lang w:val="zh-CN" w:eastAsia="zh-CN" w:bidi="ar"/>
        </w:rPr>
        <w:t>（</w:t>
      </w:r>
      <w:r>
        <w:rPr>
          <w:rFonts w:hint="eastAsia" w:ascii="仿宋_GB2312" w:hAnsi="Times New Roman" w:eastAsia="仿宋_GB2312" w:cs="仿宋_GB2312"/>
          <w:color w:val="000000"/>
          <w:kern w:val="2"/>
          <w:sz w:val="32"/>
          <w:szCs w:val="32"/>
          <w:lang w:val="en-US" w:eastAsia="zh-CN" w:bidi="ar"/>
        </w:rPr>
        <w:t>1</w:t>
      </w:r>
      <w:r>
        <w:rPr>
          <w:rFonts w:hint="eastAsia" w:ascii="仿宋_GB2312" w:hAnsi="Times New Roman" w:eastAsia="仿宋_GB2312" w:cs="仿宋_GB2312"/>
          <w:color w:val="000000"/>
          <w:kern w:val="2"/>
          <w:sz w:val="32"/>
          <w:szCs w:val="32"/>
          <w:lang w:val="zh-CN" w:eastAsia="zh-CN" w:bidi="ar"/>
        </w:rPr>
        <w:t>）人员类绩效目标完成情况</w:t>
      </w:r>
    </w:p>
    <w:p>
      <w:pPr>
        <w:widowControl/>
        <w:adjustRightInd w:val="0"/>
        <w:snapToGrid w:val="0"/>
        <w:spacing w:line="580" w:lineRule="exact"/>
        <w:ind w:firstLine="640" w:firstLineChars="200"/>
        <w:contextualSpacing/>
        <w:jc w:val="left"/>
        <w:rPr>
          <w:rFonts w:hint="eastAsia" w:ascii="仿宋_GB2312" w:hAnsi="Times New Roman" w:eastAsia="仿宋_GB2312" w:cs="仿宋_GB2312"/>
          <w:color w:val="000000"/>
          <w:kern w:val="2"/>
          <w:sz w:val="32"/>
          <w:szCs w:val="32"/>
          <w:lang w:val="zh-CN" w:eastAsia="zh-CN" w:bidi="ar"/>
        </w:rPr>
      </w:pPr>
      <w:r>
        <w:rPr>
          <w:rFonts w:hint="eastAsia" w:ascii="仿宋_GB2312" w:hAnsi="Times New Roman" w:eastAsia="仿宋_GB2312" w:cs="仿宋_GB2312"/>
          <w:color w:val="000000"/>
          <w:kern w:val="2"/>
          <w:sz w:val="32"/>
          <w:szCs w:val="32"/>
          <w:lang w:val="zh-CN" w:eastAsia="zh-CN" w:bidi="ar"/>
        </w:rPr>
        <w:t>产出指标完成情况：攀枝花市仁和区</w:t>
      </w:r>
      <w:r>
        <w:rPr>
          <w:rFonts w:hint="eastAsia" w:ascii="仿宋_GB2312" w:cs="仿宋_GB2312"/>
          <w:color w:val="000000"/>
          <w:kern w:val="2"/>
          <w:sz w:val="32"/>
          <w:szCs w:val="32"/>
          <w:lang w:val="zh-CN" w:eastAsia="zh-CN" w:bidi="ar"/>
        </w:rPr>
        <w:t>教育和体育</w:t>
      </w:r>
      <w:r>
        <w:rPr>
          <w:rFonts w:hint="eastAsia" w:ascii="仿宋_GB2312" w:hAnsi="Times New Roman" w:eastAsia="仿宋_GB2312" w:cs="仿宋_GB2312"/>
          <w:color w:val="000000"/>
          <w:kern w:val="2"/>
          <w:sz w:val="32"/>
          <w:szCs w:val="32"/>
          <w:lang w:val="zh-CN" w:eastAsia="zh-CN" w:bidi="ar"/>
        </w:rPr>
        <w:t>在职人员</w:t>
      </w:r>
      <w:r>
        <w:rPr>
          <w:rFonts w:hint="eastAsia" w:ascii="仿宋_GB2312" w:cs="仿宋_GB2312"/>
          <w:color w:val="000000"/>
          <w:kern w:val="2"/>
          <w:sz w:val="32"/>
          <w:szCs w:val="32"/>
          <w:lang w:val="en-US" w:eastAsia="zh-CN" w:bidi="ar"/>
        </w:rPr>
        <w:t>33</w:t>
      </w:r>
      <w:r>
        <w:rPr>
          <w:rFonts w:hint="eastAsia" w:ascii="仿宋_GB2312" w:hAnsi="Times New Roman" w:eastAsia="仿宋_GB2312" w:cs="仿宋_GB2312"/>
          <w:color w:val="000000"/>
          <w:kern w:val="2"/>
          <w:sz w:val="32"/>
          <w:szCs w:val="32"/>
          <w:lang w:val="zh-CN" w:eastAsia="zh-CN" w:bidi="ar"/>
        </w:rPr>
        <w:t>人、退休人员</w:t>
      </w:r>
      <w:r>
        <w:rPr>
          <w:rFonts w:hint="eastAsia" w:ascii="仿宋_GB2312" w:cs="仿宋_GB2312"/>
          <w:color w:val="000000"/>
          <w:kern w:val="2"/>
          <w:sz w:val="32"/>
          <w:szCs w:val="32"/>
          <w:lang w:val="en-US" w:eastAsia="zh-CN" w:bidi="ar"/>
        </w:rPr>
        <w:t>29</w:t>
      </w:r>
      <w:r>
        <w:rPr>
          <w:rFonts w:hint="eastAsia" w:ascii="仿宋_GB2312" w:hAnsi="Times New Roman" w:eastAsia="仿宋_GB2312" w:cs="仿宋_GB2312"/>
          <w:color w:val="000000"/>
          <w:kern w:val="2"/>
          <w:sz w:val="32"/>
          <w:szCs w:val="32"/>
          <w:lang w:val="zh-CN" w:eastAsia="zh-CN" w:bidi="ar"/>
        </w:rPr>
        <w:t>人；人员类总预算收入</w:t>
      </w:r>
      <w:r>
        <w:rPr>
          <w:rFonts w:hint="eastAsia" w:ascii="仿宋_GB2312" w:hAnsi="Times New Roman" w:eastAsia="仿宋_GB2312" w:cs="仿宋_GB2312"/>
          <w:color w:val="000000"/>
          <w:kern w:val="2"/>
          <w:sz w:val="32"/>
          <w:szCs w:val="32"/>
          <w:lang w:val="en-US" w:eastAsia="zh-CN" w:bidi="ar"/>
        </w:rPr>
        <w:t>915.63万元，</w:t>
      </w:r>
      <w:r>
        <w:rPr>
          <w:rFonts w:hint="eastAsia" w:ascii="仿宋_GB2312" w:hAnsi="Times New Roman" w:eastAsia="仿宋_GB2312" w:cs="仿宋_GB2312"/>
          <w:color w:val="000000"/>
          <w:kern w:val="2"/>
          <w:sz w:val="32"/>
          <w:szCs w:val="32"/>
          <w:lang w:val="zh-CN" w:eastAsia="zh-CN" w:bidi="ar"/>
        </w:rPr>
        <w:t xml:space="preserve"> 全年相应支出</w:t>
      </w:r>
      <w:r>
        <w:rPr>
          <w:rFonts w:hint="eastAsia" w:ascii="仿宋_GB2312" w:hAnsi="Times New Roman" w:eastAsia="仿宋_GB2312" w:cs="仿宋_GB2312"/>
          <w:color w:val="000000"/>
          <w:kern w:val="2"/>
          <w:sz w:val="32"/>
          <w:szCs w:val="32"/>
          <w:lang w:val="en-US" w:eastAsia="zh-CN" w:bidi="ar"/>
        </w:rPr>
        <w:t>970.06</w:t>
      </w:r>
      <w:r>
        <w:rPr>
          <w:rFonts w:hint="eastAsia" w:ascii="仿宋_GB2312" w:hAnsi="Times New Roman" w:eastAsia="仿宋_GB2312" w:cs="仿宋_GB2312"/>
          <w:color w:val="000000"/>
          <w:kern w:val="2"/>
          <w:sz w:val="32"/>
          <w:szCs w:val="32"/>
          <w:lang w:val="zh-CN" w:eastAsia="zh-CN" w:bidi="ar"/>
        </w:rPr>
        <w:t>万元，资金支付完成率</w:t>
      </w:r>
      <w:r>
        <w:rPr>
          <w:rFonts w:hint="eastAsia" w:ascii="仿宋_GB2312" w:cs="仿宋_GB2312"/>
          <w:color w:val="000000"/>
          <w:kern w:val="2"/>
          <w:sz w:val="32"/>
          <w:szCs w:val="32"/>
          <w:lang w:val="en-US" w:eastAsia="zh-CN" w:bidi="ar"/>
        </w:rPr>
        <w:t>105.94</w:t>
      </w:r>
      <w:r>
        <w:rPr>
          <w:rFonts w:hint="eastAsia" w:ascii="仿宋_GB2312" w:hAnsi="Times New Roman" w:eastAsia="仿宋_GB2312" w:cs="仿宋_GB2312"/>
          <w:color w:val="000000"/>
          <w:kern w:val="2"/>
          <w:sz w:val="32"/>
          <w:szCs w:val="32"/>
          <w:lang w:val="zh-CN" w:eastAsia="zh-CN" w:bidi="ar"/>
        </w:rPr>
        <w:t>%。</w:t>
      </w:r>
    </w:p>
    <w:p>
      <w:pPr>
        <w:widowControl/>
        <w:adjustRightInd w:val="0"/>
        <w:snapToGrid w:val="0"/>
        <w:spacing w:line="580" w:lineRule="exact"/>
        <w:ind w:firstLine="640" w:firstLineChars="200"/>
        <w:contextualSpacing/>
        <w:jc w:val="left"/>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效益指标完成情况：保障了单位全部人员的工资、津补贴、社会保障缴费的正常发放及支付，维持了社会稳定，基本完成预算绩效目标。</w:t>
      </w:r>
    </w:p>
    <w:p>
      <w:pPr>
        <w:widowControl/>
        <w:adjustRightInd w:val="0"/>
        <w:snapToGrid w:val="0"/>
        <w:spacing w:line="580" w:lineRule="exact"/>
        <w:ind w:firstLine="640" w:firstLineChars="200"/>
        <w:contextualSpacing/>
        <w:jc w:val="left"/>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满意度指标完成情况：财政供养人员满意度</w:t>
      </w:r>
      <w:r>
        <w:rPr>
          <w:rFonts w:hint="eastAsia" w:ascii="仿宋_GB2312" w:cs="仿宋_GB2312"/>
          <w:color w:val="000000"/>
          <w:kern w:val="2"/>
          <w:sz w:val="32"/>
          <w:szCs w:val="32"/>
          <w:lang w:val="en-US" w:eastAsia="zh-CN" w:bidi="ar"/>
        </w:rPr>
        <w:t>100</w:t>
      </w:r>
      <w:r>
        <w:rPr>
          <w:rFonts w:hint="eastAsia" w:ascii="仿宋_GB2312" w:hAnsi="Times New Roman" w:eastAsia="仿宋_GB2312" w:cs="仿宋_GB2312"/>
          <w:color w:val="000000"/>
          <w:kern w:val="2"/>
          <w:sz w:val="32"/>
          <w:szCs w:val="32"/>
          <w:lang w:val="en-US" w:eastAsia="zh-CN" w:bidi="ar"/>
        </w:rPr>
        <w:t>%。</w:t>
      </w:r>
    </w:p>
    <w:p>
      <w:pPr>
        <w:widowControl/>
        <w:adjustRightInd w:val="0"/>
        <w:snapToGrid w:val="0"/>
        <w:spacing w:line="580" w:lineRule="exact"/>
        <w:ind w:firstLine="640" w:firstLineChars="200"/>
        <w:contextualSpacing/>
        <w:jc w:val="left"/>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zh-CN" w:eastAsia="zh-CN" w:bidi="ar"/>
        </w:rPr>
        <w:t>（</w:t>
      </w:r>
      <w:r>
        <w:rPr>
          <w:rFonts w:hint="eastAsia" w:ascii="仿宋_GB2312" w:hAnsi="Times New Roman" w:eastAsia="仿宋_GB2312" w:cs="仿宋_GB2312"/>
          <w:color w:val="000000"/>
          <w:kern w:val="2"/>
          <w:sz w:val="32"/>
          <w:szCs w:val="32"/>
          <w:lang w:val="en-US" w:eastAsia="zh-CN" w:bidi="ar"/>
        </w:rPr>
        <w:t>2</w:t>
      </w:r>
      <w:r>
        <w:rPr>
          <w:rFonts w:hint="eastAsia" w:ascii="仿宋_GB2312" w:hAnsi="Times New Roman" w:eastAsia="仿宋_GB2312" w:cs="仿宋_GB2312"/>
          <w:color w:val="000000"/>
          <w:kern w:val="2"/>
          <w:sz w:val="32"/>
          <w:szCs w:val="32"/>
          <w:lang w:val="zh-CN" w:eastAsia="zh-CN" w:bidi="ar"/>
        </w:rPr>
        <w:t>）运转类项目绩效目标完成情况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zh-CN" w:eastAsia="zh-CN" w:bidi="ar"/>
        </w:rPr>
        <w:t>产出指标完成情况：攀枝花市仁和区</w:t>
      </w:r>
      <w:r>
        <w:rPr>
          <w:rFonts w:hint="eastAsia" w:ascii="仿宋_GB2312" w:cs="仿宋_GB2312"/>
          <w:color w:val="000000"/>
          <w:kern w:val="2"/>
          <w:sz w:val="32"/>
          <w:szCs w:val="32"/>
          <w:lang w:val="zh-CN" w:eastAsia="zh-CN" w:bidi="ar"/>
        </w:rPr>
        <w:t>教育和体育局</w:t>
      </w:r>
      <w:r>
        <w:rPr>
          <w:rFonts w:hint="eastAsia" w:ascii="仿宋_GB2312" w:hAnsi="Times New Roman" w:eastAsia="仿宋_GB2312" w:cs="仿宋_GB2312"/>
          <w:color w:val="000000"/>
          <w:kern w:val="2"/>
          <w:sz w:val="32"/>
          <w:szCs w:val="32"/>
          <w:lang w:val="zh-CN" w:eastAsia="zh-CN" w:bidi="ar"/>
        </w:rPr>
        <w:t>项目</w:t>
      </w:r>
      <w:r>
        <w:rPr>
          <w:rFonts w:hint="eastAsia" w:ascii="仿宋_GB2312" w:hAnsi="Times New Roman" w:eastAsia="仿宋_GB2312" w:cs="仿宋_GB2312"/>
          <w:color w:val="000000"/>
          <w:kern w:val="2"/>
          <w:sz w:val="32"/>
          <w:szCs w:val="32"/>
          <w:lang w:val="en-US" w:eastAsia="zh-CN" w:bidi="ar"/>
        </w:rPr>
        <w:t>--主要包括：学校后勤人员购买服务、发展普惠性幼儿园专项资金、学校幼儿园保安工资、仁和区农村教师津贴、仁和区中小学及幼儿园骨干教师、特级教师津贴、学生营养改善计划、义务教育阶段贫困寄宿学生生活补助、青少年活动中心经费等</w:t>
      </w:r>
      <w:r>
        <w:rPr>
          <w:rFonts w:hint="eastAsia" w:ascii="仿宋_GB2312" w:cs="仿宋_GB2312"/>
          <w:color w:val="000000"/>
          <w:kern w:val="2"/>
          <w:sz w:val="32"/>
          <w:szCs w:val="32"/>
          <w:lang w:val="zh-CN" w:eastAsia="zh-CN" w:bidi="ar"/>
        </w:rPr>
        <w:t>共</w:t>
      </w:r>
      <w:r>
        <w:rPr>
          <w:rFonts w:hint="eastAsia" w:ascii="仿宋_GB2312" w:cs="仿宋_GB2312"/>
          <w:color w:val="000000"/>
          <w:kern w:val="2"/>
          <w:sz w:val="32"/>
          <w:szCs w:val="32"/>
          <w:lang w:val="en-US" w:eastAsia="zh-CN" w:bidi="ar"/>
        </w:rPr>
        <w:t>26</w:t>
      </w:r>
      <w:r>
        <w:rPr>
          <w:rFonts w:hint="eastAsia" w:ascii="仿宋_GB2312" w:hAnsi="Times New Roman" w:eastAsia="仿宋_GB2312" w:cs="仿宋_GB2312"/>
          <w:color w:val="000000"/>
          <w:kern w:val="2"/>
          <w:sz w:val="32"/>
          <w:szCs w:val="32"/>
          <w:lang w:val="zh-CN" w:eastAsia="zh-CN" w:bidi="ar"/>
        </w:rPr>
        <w:t>个</w:t>
      </w:r>
      <w:r>
        <w:rPr>
          <w:rFonts w:hint="eastAsia" w:ascii="仿宋_GB2312" w:hAnsi="Times New Roman" w:eastAsia="仿宋_GB2312" w:cs="仿宋_GB2312"/>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zh-CN" w:eastAsia="zh-CN" w:bidi="ar"/>
        </w:rPr>
        <w:t>总预算收入</w:t>
      </w:r>
      <w:r>
        <w:rPr>
          <w:rFonts w:hint="eastAsia" w:ascii="仿宋_GB2312" w:cs="仿宋_GB2312"/>
          <w:color w:val="000000"/>
          <w:kern w:val="2"/>
          <w:sz w:val="32"/>
          <w:szCs w:val="32"/>
          <w:lang w:val="en-US" w:eastAsia="zh-CN" w:bidi="ar"/>
        </w:rPr>
        <w:t>3554.13</w:t>
      </w:r>
      <w:r>
        <w:rPr>
          <w:rFonts w:hint="eastAsia" w:ascii="仿宋_GB2312" w:hAnsi="Times New Roman" w:eastAsia="仿宋_GB2312" w:cs="仿宋_GB2312"/>
          <w:color w:val="000000"/>
          <w:kern w:val="2"/>
          <w:sz w:val="32"/>
          <w:szCs w:val="32"/>
          <w:lang w:val="zh-CN" w:eastAsia="zh-CN" w:bidi="ar"/>
        </w:rPr>
        <w:t>万元，相应安排支出</w:t>
      </w:r>
      <w:r>
        <w:rPr>
          <w:rFonts w:hint="eastAsia" w:ascii="仿宋_GB2312" w:hAnsi="Times New Roman" w:eastAsia="仿宋_GB2312" w:cs="仿宋_GB2312"/>
          <w:color w:val="000000"/>
          <w:kern w:val="2"/>
          <w:sz w:val="32"/>
          <w:szCs w:val="32"/>
          <w:lang w:val="en-US" w:eastAsia="zh-CN" w:bidi="ar"/>
        </w:rPr>
        <w:t>4057.40</w:t>
      </w:r>
      <w:r>
        <w:rPr>
          <w:rFonts w:hint="eastAsia" w:ascii="仿宋_GB2312" w:hAnsi="Times New Roman" w:eastAsia="仿宋_GB2312" w:cs="仿宋_GB2312"/>
          <w:color w:val="000000"/>
          <w:kern w:val="2"/>
          <w:sz w:val="32"/>
          <w:szCs w:val="32"/>
          <w:lang w:val="zh-CN" w:eastAsia="zh-CN" w:bidi="ar"/>
        </w:rPr>
        <w:t>万元，各项目均按年初计划有序推进落实，资金支付完成率</w:t>
      </w:r>
      <w:r>
        <w:rPr>
          <w:rFonts w:hint="eastAsia" w:ascii="仿宋_GB2312" w:cs="仿宋_GB2312"/>
          <w:color w:val="000000"/>
          <w:kern w:val="2"/>
          <w:sz w:val="32"/>
          <w:szCs w:val="32"/>
          <w:lang w:val="en-US" w:eastAsia="zh-CN" w:bidi="ar"/>
        </w:rPr>
        <w:t>114.16</w:t>
      </w:r>
      <w:r>
        <w:rPr>
          <w:rFonts w:hint="eastAsia" w:ascii="仿宋_GB2312" w:hAnsi="Times New Roman" w:eastAsia="仿宋_GB2312" w:cs="仿宋_GB2312"/>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zh-CN" w:eastAsia="zh-CN" w:bidi="ar"/>
        </w:rPr>
        <w:t>。</w:t>
      </w:r>
    </w:p>
    <w:p>
      <w:pPr>
        <w:widowControl/>
        <w:adjustRightInd w:val="0"/>
        <w:snapToGrid w:val="0"/>
        <w:spacing w:line="580" w:lineRule="exact"/>
        <w:ind w:firstLine="640" w:firstLineChars="200"/>
        <w:contextualSpacing/>
        <w:jc w:val="left"/>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效益指标完成情况：虽然财政资金调度困难但在各部门的配合及努力下，仍然保证学生享受免费作业本的发放、乡村少年宫活动的正常开展、民族地区幼儿资助保教费减免、学校安保工作的稳定、保障了中小学及幼儿园教育教学工作的正常运转，不断完善办学条件，促进义务教育的均衡发展。较好地完成预算绩效目标。</w:t>
      </w:r>
    </w:p>
    <w:p>
      <w:pPr>
        <w:widowControl/>
        <w:adjustRightInd w:val="0"/>
        <w:snapToGrid w:val="0"/>
        <w:spacing w:line="580" w:lineRule="exact"/>
        <w:ind w:firstLine="640" w:firstLineChars="200"/>
        <w:contextualSpacing/>
        <w:jc w:val="left"/>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满意度指标完成情况：学生、家长、社会满意度</w:t>
      </w:r>
      <w:r>
        <w:rPr>
          <w:rFonts w:hint="eastAsia" w:ascii="仿宋_GB2312" w:cs="仿宋_GB2312"/>
          <w:color w:val="000000"/>
          <w:kern w:val="2"/>
          <w:sz w:val="32"/>
          <w:szCs w:val="32"/>
          <w:lang w:val="en-US" w:eastAsia="zh-CN" w:bidi="ar"/>
        </w:rPr>
        <w:t>95</w:t>
      </w:r>
      <w:r>
        <w:rPr>
          <w:rFonts w:hint="eastAsia" w:ascii="仿宋_GB2312" w:hAnsi="Times New Roman" w:eastAsia="仿宋_GB2312" w:cs="仿宋_GB2312"/>
          <w:color w:val="000000"/>
          <w:kern w:val="2"/>
          <w:sz w:val="32"/>
          <w:szCs w:val="32"/>
          <w:lang w:val="en-US" w:eastAsia="zh-CN" w:bidi="ar"/>
        </w:rPr>
        <w:t>%。</w:t>
      </w:r>
    </w:p>
    <w:p>
      <w:pPr>
        <w:widowControl/>
        <w:adjustRightInd w:val="0"/>
        <w:snapToGrid w:val="0"/>
        <w:spacing w:line="580" w:lineRule="exact"/>
        <w:ind w:firstLine="640" w:firstLineChars="200"/>
        <w:contextualSpacing/>
        <w:jc w:val="left"/>
        <w:rPr>
          <w:rFonts w:hint="eastAsia" w:ascii="仿宋_GB2312" w:hAnsi="Times New Roman" w:eastAsia="仿宋_GB2312" w:cs="仿宋_GB2312"/>
          <w:color w:val="000000"/>
          <w:kern w:val="2"/>
          <w:sz w:val="32"/>
          <w:szCs w:val="32"/>
          <w:lang w:val="zh-CN" w:eastAsia="zh-CN" w:bidi="ar"/>
        </w:rPr>
      </w:pPr>
      <w:bookmarkStart w:id="4" w:name="_Toc18684"/>
      <w:bookmarkStart w:id="5" w:name="_Toc25924"/>
      <w:r>
        <w:rPr>
          <w:rFonts w:hint="eastAsia" w:ascii="仿宋_GB2312" w:hAnsi="Times New Roman" w:eastAsia="仿宋_GB2312" w:cs="仿宋_GB2312"/>
          <w:color w:val="000000"/>
          <w:kern w:val="2"/>
          <w:sz w:val="32"/>
          <w:szCs w:val="32"/>
          <w:lang w:val="en-US" w:eastAsia="zh-CN" w:bidi="ar"/>
        </w:rPr>
        <w:t>3.</w:t>
      </w:r>
      <w:r>
        <w:rPr>
          <w:rFonts w:hint="eastAsia" w:ascii="仿宋_GB2312" w:hAnsi="Times New Roman" w:eastAsia="仿宋_GB2312" w:cs="仿宋_GB2312"/>
          <w:color w:val="000000"/>
          <w:kern w:val="2"/>
          <w:sz w:val="32"/>
          <w:szCs w:val="32"/>
          <w:lang w:val="zh-CN" w:eastAsia="zh-CN" w:bidi="ar"/>
        </w:rPr>
        <w:t>支出控制情况</w:t>
      </w:r>
      <w:bookmarkEnd w:id="4"/>
      <w:bookmarkEnd w:id="5"/>
    </w:p>
    <w:p>
      <w:pPr>
        <w:widowControl/>
        <w:adjustRightInd w:val="0"/>
        <w:snapToGrid w:val="0"/>
        <w:spacing w:line="580" w:lineRule="exact"/>
        <w:ind w:firstLine="640" w:firstLineChars="200"/>
        <w:contextualSpacing/>
        <w:jc w:val="left"/>
        <w:rPr>
          <w:rFonts w:hint="eastAsia" w:ascii="仿宋_GB2312" w:hAnsi="Times New Roman" w:eastAsia="仿宋_GB2312" w:cs="仿宋_GB2312"/>
          <w:color w:val="000000"/>
          <w:kern w:val="2"/>
          <w:sz w:val="32"/>
          <w:szCs w:val="32"/>
          <w:lang w:val="en-US" w:eastAsia="zh-CN" w:bidi="ar"/>
        </w:rPr>
      </w:pPr>
      <w:r>
        <w:rPr>
          <w:rFonts w:hint="eastAsia" w:ascii="仿宋_GB2312" w:cs="仿宋_GB2312"/>
          <w:color w:val="000000"/>
          <w:kern w:val="2"/>
          <w:sz w:val="32"/>
          <w:szCs w:val="32"/>
          <w:lang w:val="zh-CN" w:eastAsia="zh-CN" w:bidi="ar"/>
        </w:rPr>
        <w:t>我局</w:t>
      </w:r>
      <w:r>
        <w:rPr>
          <w:rFonts w:hint="eastAsia" w:ascii="仿宋_GB2312" w:hAnsi="Times New Roman" w:eastAsia="仿宋_GB2312" w:cs="仿宋_GB2312"/>
          <w:color w:val="000000"/>
          <w:kern w:val="2"/>
          <w:sz w:val="32"/>
          <w:szCs w:val="32"/>
          <w:lang w:val="zh-CN" w:eastAsia="zh-CN" w:bidi="ar"/>
        </w:rPr>
        <w:t>制定了“财务报账审签制度”等相关制度，管好、用好每笔资金；在项目资金使用过程中，日常公用经费、项目支出中“办公费、印刷费、水费、电费、物业管理费”等科目年初预算数与决算数无偏差。</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hint="eastAsia" w:ascii="仿宋_GB2312" w:hAnsi="Times New Roman" w:eastAsia="仿宋_GB2312" w:cs="仿宋_GB2312"/>
          <w:color w:val="000000"/>
          <w:kern w:val="2"/>
          <w:sz w:val="32"/>
          <w:szCs w:val="32"/>
          <w:lang w:val="zh-CN" w:eastAsia="zh-CN" w:bidi="ar"/>
        </w:rPr>
      </w:pPr>
      <w:r>
        <w:rPr>
          <w:rFonts w:hint="eastAsia" w:ascii="仿宋_GB2312" w:hAnsi="Times New Roman" w:eastAsia="仿宋_GB2312" w:cs="仿宋_GB2312"/>
          <w:color w:val="000000"/>
          <w:kern w:val="2"/>
          <w:sz w:val="32"/>
          <w:szCs w:val="32"/>
          <w:lang w:val="zh-CN" w:eastAsia="zh-CN" w:bidi="ar"/>
        </w:rPr>
        <w:t>此次绩效自评结果主要以攀枝花市仁和区财政局下发的《2023年部门整体支出绩效评价指标体系》为依据，以《部门预算整体绩效自评表》和《部门预算整体绩效自评报告》的形式体现，自评表及自评报告内容完整、数据真实、结果客观。绩效自评结果作为完善和改进管理的重要依据，同时加强评价结果的应用，切实提高部门预算绩效管理水平。</w:t>
      </w:r>
    </w:p>
    <w:p>
      <w:pPr>
        <w:widowControl/>
        <w:adjustRightInd w:val="0"/>
        <w:snapToGrid w:val="0"/>
        <w:spacing w:line="580" w:lineRule="exact"/>
        <w:ind w:firstLine="640" w:firstLineChars="200"/>
        <w:contextualSpacing/>
        <w:jc w:val="left"/>
        <w:rPr>
          <w:rFonts w:hint="eastAsia" w:ascii="仿宋_GB2312" w:hAnsi="Times New Roman" w:eastAsia="仿宋_GB2312" w:cs="仿宋_GB2312"/>
          <w:color w:val="000000"/>
          <w:kern w:val="2"/>
          <w:sz w:val="32"/>
          <w:szCs w:val="32"/>
          <w:lang w:val="zh-CN" w:eastAsia="zh-CN" w:bidi="ar"/>
        </w:rPr>
      </w:pPr>
      <w:r>
        <w:rPr>
          <w:rFonts w:hint="eastAsia" w:ascii="仿宋_GB2312" w:hAnsi="Times New Roman" w:eastAsia="仿宋_GB2312" w:cs="仿宋_GB2312"/>
          <w:color w:val="000000"/>
          <w:kern w:val="2"/>
          <w:sz w:val="32"/>
          <w:szCs w:val="32"/>
          <w:lang w:val="zh-CN" w:eastAsia="zh-CN" w:bidi="ar"/>
        </w:rPr>
        <w:t>绩效自评工作将用于下一年度预算编制及监控，并按要求在政府网站公开公示。</w:t>
      </w:r>
    </w:p>
    <w:p>
      <w:pPr>
        <w:widowControl/>
        <w:numPr>
          <w:ilvl w:val="0"/>
          <w:numId w:val="1"/>
        </w:numPr>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自评质量</w:t>
      </w:r>
      <w:r>
        <w:rPr>
          <w:rFonts w:hint="eastAsia"/>
          <w:color w:val="000000"/>
          <w:kern w:val="0"/>
          <w:szCs w:val="32"/>
          <w:shd w:val="clear" w:color="auto" w:fill="FFFFFF"/>
          <w:lang w:val="zh-CN"/>
        </w:rPr>
        <w:t>。</w:t>
      </w:r>
    </w:p>
    <w:p>
      <w:pPr>
        <w:widowControl/>
        <w:adjustRightInd w:val="0"/>
        <w:snapToGrid w:val="0"/>
        <w:spacing w:line="580" w:lineRule="exact"/>
        <w:contextualSpacing/>
        <w:jc w:val="left"/>
        <w:rPr>
          <w:color w:val="000000"/>
          <w:kern w:val="0"/>
          <w:szCs w:val="32"/>
          <w:shd w:val="clear" w:color="auto" w:fill="FFFFFF"/>
        </w:rPr>
      </w:pPr>
      <w:r>
        <w:rPr>
          <w:color w:val="000000"/>
          <w:kern w:val="0"/>
          <w:szCs w:val="32"/>
          <w:shd w:val="clear" w:color="auto" w:fill="FFFFFF"/>
        </w:rPr>
        <w:t xml:space="preserve">    </w:t>
      </w:r>
      <w:r>
        <w:rPr>
          <w:rFonts w:hint="eastAsia"/>
          <w:color w:val="000000"/>
          <w:kern w:val="0"/>
          <w:szCs w:val="32"/>
          <w:shd w:val="clear" w:color="auto" w:fill="FFFFFF"/>
          <w:lang w:val="en-US" w:eastAsia="zh-CN"/>
        </w:rPr>
        <w:t xml:space="preserve"> </w:t>
      </w:r>
      <w:r>
        <w:rPr>
          <w:rFonts w:hint="eastAsia"/>
          <w:color w:val="000000"/>
          <w:kern w:val="0"/>
          <w:szCs w:val="32"/>
          <w:shd w:val="clear" w:color="auto" w:fill="FFFFFF"/>
          <w:lang w:eastAsia="zh-CN"/>
        </w:rPr>
        <w:t>优</w:t>
      </w:r>
      <w:r>
        <w:rPr>
          <w:color w:val="000000"/>
          <w:kern w:val="0"/>
          <w:szCs w:val="32"/>
          <w:shd w:val="clear" w:color="auto" w:fill="FFFFFF"/>
        </w:rPr>
        <w:t>。</w:t>
      </w: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四、评价结论及建议</w:t>
      </w:r>
    </w:p>
    <w:p>
      <w:pPr>
        <w:widowControl/>
        <w:adjustRightInd w:val="0"/>
        <w:snapToGrid w:val="0"/>
        <w:spacing w:line="580" w:lineRule="exact"/>
        <w:ind w:firstLine="640" w:firstLineChars="200"/>
        <w:contextualSpacing/>
        <w:jc w:val="left"/>
        <w:rPr>
          <w:rFonts w:hint="eastAsia" w:ascii="仿宋_GB2312" w:hAnsi="Times New Roman" w:eastAsia="仿宋_GB2312" w:cs="仿宋_GB2312"/>
          <w:color w:val="000000"/>
          <w:kern w:val="2"/>
          <w:sz w:val="32"/>
          <w:szCs w:val="32"/>
          <w:lang w:val="zh-CN" w:eastAsia="zh-CN" w:bidi="ar"/>
        </w:rPr>
      </w:pPr>
      <w:r>
        <w:rPr>
          <w:rFonts w:hint="eastAsia" w:ascii="仿宋_GB2312" w:hAnsi="Times New Roman" w:eastAsia="仿宋_GB2312" w:cs="仿宋_GB2312"/>
          <w:color w:val="000000"/>
          <w:kern w:val="2"/>
          <w:sz w:val="32"/>
          <w:szCs w:val="32"/>
          <w:lang w:val="zh-CN" w:eastAsia="zh-CN" w:bidi="ar"/>
        </w:rPr>
        <w:t>（一）评价结论。</w:t>
      </w:r>
    </w:p>
    <w:p>
      <w:pPr>
        <w:widowControl/>
        <w:adjustRightInd w:val="0"/>
        <w:snapToGrid w:val="0"/>
        <w:spacing w:line="580" w:lineRule="exact"/>
        <w:ind w:firstLine="640" w:firstLineChars="200"/>
        <w:contextualSpacing/>
        <w:jc w:val="left"/>
        <w:rPr>
          <w:rFonts w:hint="eastAsia" w:ascii="仿宋_GB2312" w:hAnsi="Times New Roman" w:eastAsia="仿宋_GB2312" w:cs="仿宋_GB2312"/>
          <w:color w:val="000000"/>
          <w:kern w:val="2"/>
          <w:sz w:val="32"/>
          <w:szCs w:val="32"/>
          <w:lang w:val="zh-CN" w:eastAsia="zh-CN" w:bidi="ar"/>
        </w:rPr>
      </w:pP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zh-CN" w:eastAsia="zh-CN" w:bidi="ar"/>
        </w:rPr>
        <w:t>优</w:t>
      </w:r>
    </w:p>
    <w:p>
      <w:pPr>
        <w:widowControl/>
        <w:adjustRightInd w:val="0"/>
        <w:snapToGrid w:val="0"/>
        <w:spacing w:line="580" w:lineRule="exact"/>
        <w:ind w:firstLine="640" w:firstLineChars="200"/>
        <w:contextualSpacing/>
        <w:jc w:val="left"/>
        <w:rPr>
          <w:rFonts w:hint="eastAsia" w:ascii="仿宋_GB2312" w:hAnsi="Times New Roman" w:eastAsia="仿宋_GB2312" w:cs="仿宋_GB2312"/>
          <w:color w:val="000000"/>
          <w:kern w:val="2"/>
          <w:sz w:val="32"/>
          <w:szCs w:val="32"/>
          <w:lang w:val="zh-CN" w:eastAsia="zh-CN" w:bidi="ar"/>
        </w:rPr>
      </w:pPr>
      <w:r>
        <w:rPr>
          <w:rFonts w:hint="eastAsia" w:ascii="仿宋_GB2312" w:cs="仿宋_GB2312"/>
          <w:color w:val="000000"/>
          <w:kern w:val="2"/>
          <w:sz w:val="32"/>
          <w:szCs w:val="32"/>
          <w:lang w:val="zh-CN" w:eastAsia="zh-CN" w:bidi="ar"/>
        </w:rPr>
        <w:t>（二）</w:t>
      </w:r>
      <w:r>
        <w:rPr>
          <w:rFonts w:hint="eastAsia" w:ascii="仿宋_GB2312" w:hAnsi="Times New Roman" w:eastAsia="仿宋_GB2312" w:cs="仿宋_GB2312"/>
          <w:color w:val="000000"/>
          <w:kern w:val="2"/>
          <w:sz w:val="32"/>
          <w:szCs w:val="32"/>
          <w:lang w:val="zh-CN" w:eastAsia="zh-CN" w:bidi="ar"/>
        </w:rPr>
        <w:t>存在问题。</w:t>
      </w:r>
    </w:p>
    <w:p>
      <w:pPr>
        <w:widowControl/>
        <w:adjustRightInd w:val="0"/>
        <w:snapToGrid w:val="0"/>
        <w:spacing w:line="580" w:lineRule="exact"/>
        <w:ind w:firstLine="640" w:firstLineChars="200"/>
        <w:contextualSpacing/>
        <w:jc w:val="left"/>
        <w:rPr>
          <w:rFonts w:hint="eastAsia" w:ascii="仿宋_GB2312" w:hAnsi="Times New Roman" w:eastAsia="仿宋_GB2312" w:cs="仿宋_GB2312"/>
          <w:color w:val="000000"/>
          <w:kern w:val="2"/>
          <w:sz w:val="32"/>
          <w:szCs w:val="32"/>
          <w:lang w:val="zh-CN" w:eastAsia="zh-CN" w:bidi="ar"/>
        </w:rPr>
      </w:pP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zh-CN" w:eastAsia="zh-CN" w:bidi="ar"/>
        </w:rPr>
        <w:t>无</w:t>
      </w:r>
    </w:p>
    <w:p>
      <w:pPr>
        <w:widowControl/>
        <w:adjustRightInd w:val="0"/>
        <w:snapToGrid w:val="0"/>
        <w:spacing w:line="580" w:lineRule="exact"/>
        <w:ind w:firstLine="640" w:firstLineChars="200"/>
        <w:contextualSpacing/>
        <w:jc w:val="left"/>
        <w:rPr>
          <w:rFonts w:hint="eastAsia" w:ascii="仿宋_GB2312" w:hAnsi="Times New Roman" w:eastAsia="仿宋_GB2312" w:cs="仿宋_GB2312"/>
          <w:color w:val="000000"/>
          <w:kern w:val="2"/>
          <w:sz w:val="32"/>
          <w:szCs w:val="32"/>
          <w:lang w:val="zh-CN" w:eastAsia="zh-CN" w:bidi="ar"/>
        </w:rPr>
      </w:pPr>
      <w:r>
        <w:rPr>
          <w:rFonts w:hint="eastAsia" w:ascii="仿宋_GB2312" w:hAnsi="Times New Roman" w:eastAsia="仿宋_GB2312" w:cs="仿宋_GB2312"/>
          <w:color w:val="000000"/>
          <w:kern w:val="2"/>
          <w:sz w:val="32"/>
          <w:szCs w:val="32"/>
          <w:lang w:val="zh-CN" w:eastAsia="zh-CN" w:bidi="ar"/>
        </w:rPr>
        <w:t>（三）改进建议。</w:t>
      </w:r>
    </w:p>
    <w:p>
      <w:pPr>
        <w:widowControl/>
        <w:adjustRightInd w:val="0"/>
        <w:snapToGrid w:val="0"/>
        <w:spacing w:line="580" w:lineRule="exact"/>
        <w:ind w:firstLine="640" w:firstLineChars="200"/>
        <w:contextualSpacing/>
        <w:jc w:val="left"/>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 xml:space="preserve">  无</w:t>
      </w:r>
    </w:p>
    <w:sectPr>
      <w:headerReference r:id="rId3" w:type="default"/>
      <w:footerReference r:id="rId4" w:type="even"/>
      <w:pgSz w:w="11906" w:h="16838"/>
      <w:pgMar w:top="907" w:right="1361" w:bottom="851" w:left="1361" w:header="851" w:footer="992" w:gutter="0"/>
      <w:pgNumType w:fmt="numberInDash" w:start="12"/>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831518"/>
    </w:sdtPr>
    <w:sdtContent>
      <w:p>
        <w:pPr>
          <w:pStyle w:val="7"/>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pStyle w:val="7"/>
      <w:tabs>
        <w:tab w:val="right" w:pos="9184"/>
        <w:tab w:val="clear" w:pos="4153"/>
        <w:tab w:val="clear" w:pos="8306"/>
      </w:tabs>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94925"/>
    <w:multiLevelType w:val="singleLevel"/>
    <w:tmpl w:val="3E79492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HorizontalSpacing w:val="160"/>
  <w:drawingGridVerticalSpacing w:val="43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74"/>
    <w:rsid w:val="00006E4D"/>
    <w:rsid w:val="00021652"/>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18F4"/>
    <w:rsid w:val="000D208A"/>
    <w:rsid w:val="000E037E"/>
    <w:rsid w:val="000F659A"/>
    <w:rsid w:val="000F77B0"/>
    <w:rsid w:val="0010235D"/>
    <w:rsid w:val="00103A47"/>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59D0"/>
    <w:rsid w:val="002D1A18"/>
    <w:rsid w:val="002D6C79"/>
    <w:rsid w:val="002E09F1"/>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1D7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102F"/>
    <w:rsid w:val="00634DFF"/>
    <w:rsid w:val="00635337"/>
    <w:rsid w:val="0064265B"/>
    <w:rsid w:val="0064519C"/>
    <w:rsid w:val="0065082E"/>
    <w:rsid w:val="006512D0"/>
    <w:rsid w:val="006560A3"/>
    <w:rsid w:val="00656301"/>
    <w:rsid w:val="006600C9"/>
    <w:rsid w:val="006664F1"/>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A0690"/>
    <w:rsid w:val="007A078F"/>
    <w:rsid w:val="007B34D4"/>
    <w:rsid w:val="007C0633"/>
    <w:rsid w:val="007D086C"/>
    <w:rsid w:val="007F1BE1"/>
    <w:rsid w:val="007F4463"/>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961DA"/>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03AD"/>
    <w:rsid w:val="00A5432A"/>
    <w:rsid w:val="00A55F8A"/>
    <w:rsid w:val="00A9670E"/>
    <w:rsid w:val="00AA1423"/>
    <w:rsid w:val="00AB7996"/>
    <w:rsid w:val="00AC43C3"/>
    <w:rsid w:val="00AE2EAD"/>
    <w:rsid w:val="00AF77BE"/>
    <w:rsid w:val="00B11CEE"/>
    <w:rsid w:val="00B23428"/>
    <w:rsid w:val="00B264BF"/>
    <w:rsid w:val="00B3387B"/>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42B49"/>
    <w:rsid w:val="00C53721"/>
    <w:rsid w:val="00C64D2E"/>
    <w:rsid w:val="00C70F97"/>
    <w:rsid w:val="00C7497C"/>
    <w:rsid w:val="00C757A2"/>
    <w:rsid w:val="00C75966"/>
    <w:rsid w:val="00C76577"/>
    <w:rsid w:val="00C80225"/>
    <w:rsid w:val="00C80B66"/>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DC31556"/>
    <w:rsid w:val="1A3D6143"/>
    <w:rsid w:val="1C013801"/>
    <w:rsid w:val="22240695"/>
    <w:rsid w:val="25A31500"/>
    <w:rsid w:val="2D527252"/>
    <w:rsid w:val="2EAE55F2"/>
    <w:rsid w:val="2EDF4302"/>
    <w:rsid w:val="47550EBA"/>
    <w:rsid w:val="4766720B"/>
    <w:rsid w:val="4A424663"/>
    <w:rsid w:val="5ADC61CB"/>
    <w:rsid w:val="6636451A"/>
    <w:rsid w:val="6EF65E9C"/>
    <w:rsid w:val="71397E03"/>
    <w:rsid w:val="77FFA8F9"/>
    <w:rsid w:val="785C139F"/>
    <w:rsid w:val="7A9314AC"/>
    <w:rsid w:val="7C631402"/>
    <w:rsid w:val="7E140770"/>
    <w:rsid w:val="7FEFB5DD"/>
    <w:rsid w:val="B5F66F24"/>
    <w:rsid w:val="C5B3F496"/>
    <w:rsid w:val="DDD7453A"/>
    <w:rsid w:val="DFE75A3D"/>
    <w:rsid w:val="DFEF594B"/>
    <w:rsid w:val="F1F9A9B5"/>
    <w:rsid w:val="FABF7411"/>
    <w:rsid w:val="FEFD95B3"/>
    <w:rsid w:val="FF2E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0"/>
    <w:pPr>
      <w:keepNext/>
      <w:keepLines/>
      <w:widowControl w:val="0"/>
      <w:suppressLineNumbers w:val="0"/>
      <w:spacing w:before="260" w:beforeAutospacing="0" w:after="260" w:afterAutospacing="0" w:line="415" w:lineRule="auto"/>
      <w:ind w:left="0" w:right="0"/>
      <w:jc w:val="both"/>
      <w:outlineLvl w:val="1"/>
    </w:pPr>
    <w:rPr>
      <w:rFonts w:ascii="Arial" w:hAnsi="Arial" w:eastAsia="黑体" w:cs="Times New Roman"/>
      <w:b/>
      <w:kern w:val="2"/>
      <w:sz w:val="32"/>
      <w:szCs w:val="32"/>
      <w:lang w:val="en-US" w:eastAsia="zh-CN" w:bidi="ar"/>
    </w:rPr>
  </w:style>
  <w:style w:type="character" w:default="1" w:styleId="10">
    <w:name w:val="Default Paragraph Font"/>
    <w:unhideWhenUsed/>
    <w:uiPriority w:val="1"/>
  </w:style>
  <w:style w:type="table" w:default="1" w:styleId="12">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Document Map"/>
    <w:basedOn w:val="1"/>
    <w:link w:val="16"/>
    <w:qFormat/>
    <w:uiPriority w:val="0"/>
    <w:rPr>
      <w:rFonts w:ascii="宋体" w:eastAsia="宋体"/>
      <w:sz w:val="18"/>
      <w:szCs w:val="18"/>
    </w:rPr>
  </w:style>
  <w:style w:type="paragraph" w:styleId="4">
    <w:name w:val="Body Text"/>
    <w:basedOn w:val="1"/>
    <w:uiPriority w:val="0"/>
    <w:pPr>
      <w:keepNext w:val="0"/>
      <w:keepLines w:val="0"/>
      <w:widowControl w:val="0"/>
      <w:suppressLineNumbers w:val="0"/>
      <w:spacing w:before="93" w:beforeLines="30" w:beforeAutospacing="0" w:after="0" w:afterAutospacing="0"/>
      <w:ind w:left="0" w:right="0"/>
      <w:jc w:val="both"/>
    </w:pPr>
    <w:rPr>
      <w:rFonts w:hint="eastAsia" w:ascii="仿宋_GB2312" w:hAnsi="Times New Roman" w:eastAsia="仿宋_GB2312" w:cs="Times New Roman"/>
      <w:kern w:val="2"/>
      <w:sz w:val="30"/>
      <w:szCs w:val="24"/>
      <w:lang w:val="en-US" w:eastAsia="zh-CN" w:bidi="ar"/>
    </w:rPr>
  </w:style>
  <w:style w:type="paragraph" w:styleId="5">
    <w:name w:val="Plain Text"/>
    <w:basedOn w:val="1"/>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4"/>
      <w:lang w:val="en-US" w:eastAsia="zh-CN" w:bidi="ar"/>
    </w:rPr>
  </w:style>
  <w:style w:type="paragraph" w:styleId="6">
    <w:name w:val="Balloon Text"/>
    <w:basedOn w:val="1"/>
    <w:semiHidden/>
    <w:qFormat/>
    <w:uiPriority w:val="0"/>
    <w:rPr>
      <w:sz w:val="18"/>
      <w:szCs w:val="18"/>
    </w:rPr>
  </w:style>
  <w:style w:type="paragraph" w:styleId="7">
    <w:name w:val="footer"/>
    <w:basedOn w:val="1"/>
    <w:link w:val="18"/>
    <w:qFormat/>
    <w:uiPriority w:val="99"/>
    <w:pPr>
      <w:tabs>
        <w:tab w:val="center" w:pos="4153"/>
        <w:tab w:val="right" w:pos="8306"/>
      </w:tabs>
      <w:snapToGrid w:val="0"/>
      <w:jc w:val="left"/>
    </w:pPr>
    <w:rPr>
      <w:rFonts w:eastAsia="宋体"/>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9">
    <w:name w:val="Normal (Web)"/>
    <w:basedOn w:val="1"/>
    <w:uiPriority w:val="0"/>
    <w:rPr>
      <w:sz w:val="24"/>
    </w:rPr>
  </w:style>
  <w:style w:type="character" w:styleId="11">
    <w:name w:val="page number"/>
    <w:basedOn w:val="10"/>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四号正文"/>
    <w:basedOn w:val="1"/>
    <w:link w:val="15"/>
    <w:qFormat/>
    <w:uiPriority w:val="0"/>
    <w:pPr>
      <w:spacing w:line="360" w:lineRule="auto"/>
    </w:pPr>
    <w:rPr>
      <w:rFonts w:ascii="??" w:hAnsi="??" w:eastAsia="宋体" w:cs="宋体"/>
      <w:color w:val="000000"/>
      <w:kern w:val="0"/>
      <w:sz w:val="28"/>
      <w:szCs w:val="21"/>
    </w:rPr>
  </w:style>
  <w:style w:type="character" w:customStyle="1" w:styleId="15">
    <w:name w:val="四号正文 Char"/>
    <w:basedOn w:val="10"/>
    <w:link w:val="14"/>
    <w:qFormat/>
    <w:uiPriority w:val="0"/>
    <w:rPr>
      <w:rFonts w:ascii="??" w:hAnsi="??" w:eastAsia="宋体" w:cs="宋体"/>
      <w:color w:val="000000"/>
      <w:sz w:val="28"/>
      <w:szCs w:val="21"/>
      <w:lang w:val="en-US" w:eastAsia="zh-CN" w:bidi="ar-SA"/>
    </w:rPr>
  </w:style>
  <w:style w:type="character" w:customStyle="1" w:styleId="16">
    <w:name w:val="文档结构图 Char"/>
    <w:basedOn w:val="10"/>
    <w:link w:val="3"/>
    <w:qFormat/>
    <w:uiPriority w:val="0"/>
    <w:rPr>
      <w:rFonts w:ascii="宋体"/>
      <w:kern w:val="2"/>
      <w:sz w:val="18"/>
      <w:szCs w:val="18"/>
    </w:rPr>
  </w:style>
  <w:style w:type="paragraph" w:customStyle="1" w:styleId="17">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8">
    <w:name w:val="页脚 Char"/>
    <w:basedOn w:val="10"/>
    <w:link w:val="7"/>
    <w:qFormat/>
    <w:uiPriority w:val="99"/>
    <w:rPr>
      <w:kern w:val="2"/>
      <w:sz w:val="18"/>
      <w:szCs w:val="18"/>
    </w:rPr>
  </w:style>
  <w:style w:type="character" w:customStyle="1" w:styleId="19">
    <w:name w:val="font3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PSZX</Company>
  <Pages>2</Pages>
  <Words>114</Words>
  <Characters>650</Characters>
  <Lines>5</Lines>
  <Paragraphs>1</Paragraphs>
  <ScaleCrop>false</ScaleCrop>
  <LinksUpToDate>false</LinksUpToDate>
  <CharactersWithSpaces>763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2019-05-16T11:06:00Z</dcterms:created>
  <dc:creator>陈萍</dc:creator>
  <cp:lastModifiedBy>Administrator</cp:lastModifiedBy>
  <cp:lastPrinted>2022-03-26T08:26:00Z</cp:lastPrinted>
  <dcterms:modified xsi:type="dcterms:W3CDTF">2023-05-15T03:42:34Z</dcterms:modified>
  <dc:title>区域性就业培训基地建设项目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E6F3C2D9CD52452F82A230D7B40F29AA</vt:lpwstr>
  </property>
</Properties>
</file>