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附表：</w:t>
      </w:r>
    </w:p>
    <w:tbl>
      <w:tblPr>
        <w:tblStyle w:val="6"/>
        <w:tblpPr w:leftFromText="180" w:rightFromText="180" w:vertAnchor="text" w:horzAnchor="page" w:tblpX="1256" w:tblpY="221"/>
        <w:tblOverlap w:val="never"/>
        <w:tblW w:w="9554" w:type="dxa"/>
        <w:tblInd w:w="0" w:type="dxa"/>
        <w:tblLayout w:type="fixed"/>
        <w:tblCellMar>
          <w:top w:w="0" w:type="dxa"/>
          <w:left w:w="108" w:type="dxa"/>
          <w:bottom w:w="0" w:type="dxa"/>
          <w:right w:w="108" w:type="dxa"/>
        </w:tblCellMar>
      </w:tblPr>
      <w:tblGrid>
        <w:gridCol w:w="1154"/>
        <w:gridCol w:w="1130"/>
        <w:gridCol w:w="1454"/>
        <w:gridCol w:w="2216"/>
        <w:gridCol w:w="1811"/>
        <w:gridCol w:w="1789"/>
      </w:tblGrid>
      <w:tr>
        <w:tblPrEx>
          <w:tblCellMar>
            <w:top w:w="0" w:type="dxa"/>
            <w:left w:w="108" w:type="dxa"/>
            <w:bottom w:w="0" w:type="dxa"/>
            <w:right w:w="108" w:type="dxa"/>
          </w:tblCellMar>
        </w:tblPrEx>
        <w:trPr>
          <w:trHeight w:val="675" w:hRule="atLeast"/>
        </w:trPr>
        <w:tc>
          <w:tcPr>
            <w:tcW w:w="9554" w:type="dxa"/>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w:t>
            </w:r>
            <w:r>
              <w:rPr>
                <w:rFonts w:hint="eastAsia" w:eastAsia="宋体"/>
                <w:b/>
                <w:color w:val="000000"/>
                <w:szCs w:val="32"/>
              </w:rPr>
              <w:t>义务教育阶段家庭经济困难学生生活补助</w:t>
            </w:r>
            <w:r>
              <w:rPr>
                <w:rFonts w:eastAsia="宋体"/>
                <w:b/>
                <w:color w:val="000000"/>
                <w:szCs w:val="32"/>
              </w:rPr>
              <w:t>绩效目标自评</w:t>
            </w:r>
          </w:p>
        </w:tc>
      </w:tr>
      <w:tr>
        <w:tblPrEx>
          <w:tblCellMar>
            <w:top w:w="0" w:type="dxa"/>
            <w:left w:w="108" w:type="dxa"/>
            <w:bottom w:w="0" w:type="dxa"/>
            <w:right w:w="108" w:type="dxa"/>
          </w:tblCellMar>
        </w:tblPrEx>
        <w:trPr>
          <w:trHeight w:val="254" w:hRule="atLeast"/>
        </w:trPr>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3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rFonts w:hint="eastAsia"/>
                <w:color w:val="000000"/>
                <w:sz w:val="24"/>
              </w:rPr>
              <w:t>攀枝花市仁和区教育和体育局</w:t>
            </w:r>
          </w:p>
        </w:tc>
      </w:tr>
      <w:tr>
        <w:tblPrEx>
          <w:tblCellMar>
            <w:top w:w="0" w:type="dxa"/>
            <w:left w:w="108" w:type="dxa"/>
            <w:bottom w:w="0" w:type="dxa"/>
            <w:right w:w="108" w:type="dxa"/>
          </w:tblCellMar>
        </w:tblPrEx>
        <w:trPr>
          <w:trHeight w:val="341" w:hRule="atLeast"/>
        </w:trPr>
        <w:tc>
          <w:tcPr>
            <w:tcW w:w="22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预算数：</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256.09</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执行数：</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val="en-US" w:eastAsia="zh-CN"/>
              </w:rPr>
              <w:t>256.06875</w:t>
            </w:r>
          </w:p>
        </w:tc>
      </w:tr>
      <w:tr>
        <w:tblPrEx>
          <w:tblCellMar>
            <w:top w:w="0" w:type="dxa"/>
            <w:left w:w="108" w:type="dxa"/>
            <w:bottom w:w="0" w:type="dxa"/>
            <w:right w:w="108" w:type="dxa"/>
          </w:tblCellMar>
        </w:tblPrEx>
        <w:trPr>
          <w:trHeight w:val="577" w:hRule="atLeast"/>
        </w:trPr>
        <w:tc>
          <w:tcPr>
            <w:tcW w:w="22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其中：</w:t>
            </w:r>
          </w:p>
          <w:p>
            <w:pPr>
              <w:widowControl/>
              <w:spacing w:line="320" w:lineRule="exact"/>
              <w:jc w:val="center"/>
              <w:textAlignment w:val="center"/>
              <w:rPr>
                <w:color w:val="000000"/>
                <w:sz w:val="24"/>
              </w:rPr>
            </w:pPr>
            <w:r>
              <w:rPr>
                <w:color w:val="000000"/>
                <w:kern w:val="0"/>
                <w:sz w:val="24"/>
                <w:lang w:bidi="ar"/>
              </w:rPr>
              <w:t>财政拨款</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rFonts w:hint="eastAsia"/>
                <w:color w:val="000000"/>
                <w:sz w:val="24"/>
                <w:lang w:val="en-US" w:eastAsia="zh-CN"/>
              </w:rPr>
              <w:t>256.09</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其中：</w:t>
            </w:r>
          </w:p>
          <w:p>
            <w:pPr>
              <w:widowControl/>
              <w:spacing w:line="320" w:lineRule="exact"/>
              <w:jc w:val="center"/>
              <w:textAlignment w:val="center"/>
              <w:rPr>
                <w:color w:val="000000"/>
                <w:sz w:val="24"/>
              </w:rPr>
            </w:pPr>
            <w:r>
              <w:rPr>
                <w:color w:val="000000"/>
                <w:kern w:val="0"/>
                <w:sz w:val="24"/>
                <w:lang w:bidi="ar"/>
              </w:rPr>
              <w:t>财政拨款</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rFonts w:hint="eastAsia"/>
                <w:color w:val="000000"/>
                <w:sz w:val="24"/>
                <w:lang w:val="en-US" w:eastAsia="zh-CN"/>
              </w:rPr>
              <w:t>256.06875</w:t>
            </w:r>
          </w:p>
        </w:tc>
      </w:tr>
      <w:tr>
        <w:tblPrEx>
          <w:tblCellMar>
            <w:top w:w="0" w:type="dxa"/>
            <w:left w:w="108" w:type="dxa"/>
            <w:bottom w:w="0" w:type="dxa"/>
            <w:right w:w="108" w:type="dxa"/>
          </w:tblCellMar>
        </w:tblPrEx>
        <w:trPr>
          <w:trHeight w:val="341" w:hRule="atLeast"/>
        </w:trPr>
        <w:tc>
          <w:tcPr>
            <w:tcW w:w="22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其他资金</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其他资金</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trHeight w:val="217" w:hRule="atLeast"/>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4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trHeight w:val="1297"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4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hint="default" w:eastAsia="仿宋_GB2312"/>
                <w:color w:val="000000"/>
                <w:sz w:val="24"/>
                <w:lang w:val="en-US" w:eastAsia="zh-CN"/>
              </w:rPr>
            </w:pPr>
            <w:r>
              <w:rPr>
                <w:rFonts w:hint="eastAsia"/>
                <w:color w:val="000000"/>
                <w:sz w:val="24"/>
              </w:rPr>
              <w:t>根据《攀枝花市财政局 攀枝花市教育局关于城市义务教育实行“两免一补”政策的通知》（攀财教[2013]13号文件）和《攀枝花市教育和体育局 攀枝花市财政局关于重新核定义务教育家庭经济困难寄宿生补助比例和非寄宿生补助比例情况的报告》（攀教体【2021】38号文件）要求，对符合条件的义务教育阶段贫困寄宿生、非寄宿生和特殊教育学生生活补助实行“应助尽助”。</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top"/>
              <w:rPr>
                <w:rFonts w:hint="eastAsia"/>
                <w:color w:val="000000"/>
                <w:sz w:val="24"/>
              </w:rPr>
            </w:pPr>
            <w:r>
              <w:rPr>
                <w:rFonts w:hint="eastAsia"/>
                <w:color w:val="000000"/>
                <w:sz w:val="24"/>
                <w:lang w:val="en-US" w:eastAsia="zh-CN"/>
              </w:rPr>
              <w:t>2022年完成资助2511人，资助资金256.06875万元，其中：</w:t>
            </w:r>
            <w:r>
              <w:rPr>
                <w:rFonts w:hint="eastAsia"/>
                <w:color w:val="000000"/>
                <w:sz w:val="24"/>
              </w:rPr>
              <w:t>中央</w:t>
            </w:r>
            <w:r>
              <w:rPr>
                <w:rFonts w:hint="eastAsia"/>
                <w:color w:val="000000"/>
                <w:sz w:val="24"/>
                <w:lang w:val="en-US" w:eastAsia="zh-CN"/>
              </w:rPr>
              <w:t>资金129.09</w:t>
            </w:r>
            <w:r>
              <w:rPr>
                <w:rFonts w:hint="eastAsia"/>
                <w:color w:val="000000"/>
                <w:sz w:val="24"/>
              </w:rPr>
              <w:t>万元，省</w:t>
            </w:r>
            <w:r>
              <w:rPr>
                <w:rFonts w:hint="eastAsia"/>
                <w:color w:val="000000"/>
                <w:sz w:val="24"/>
                <w:lang w:val="en-US" w:eastAsia="zh-CN"/>
              </w:rPr>
              <w:t>级资金63.05</w:t>
            </w:r>
            <w:r>
              <w:rPr>
                <w:rFonts w:hint="eastAsia"/>
                <w:color w:val="000000"/>
                <w:sz w:val="24"/>
              </w:rPr>
              <w:t>万元，市级</w:t>
            </w:r>
            <w:r>
              <w:rPr>
                <w:rFonts w:hint="eastAsia"/>
                <w:color w:val="000000"/>
                <w:sz w:val="24"/>
                <w:lang w:val="en-US" w:eastAsia="zh-CN"/>
              </w:rPr>
              <w:t>资金18.98</w:t>
            </w:r>
            <w:r>
              <w:rPr>
                <w:rFonts w:hint="eastAsia"/>
                <w:color w:val="000000"/>
                <w:sz w:val="24"/>
              </w:rPr>
              <w:t>万元，区财政承担</w:t>
            </w:r>
            <w:r>
              <w:rPr>
                <w:rFonts w:hint="eastAsia"/>
                <w:color w:val="000000"/>
                <w:sz w:val="24"/>
                <w:lang w:val="en-US" w:eastAsia="zh-CN"/>
              </w:rPr>
              <w:t>44.94875</w:t>
            </w:r>
            <w:r>
              <w:rPr>
                <w:rFonts w:hint="eastAsia"/>
                <w:color w:val="000000"/>
                <w:sz w:val="24"/>
              </w:rPr>
              <w:t>万元。</w:t>
            </w:r>
          </w:p>
        </w:tc>
      </w:tr>
      <w:tr>
        <w:tblPrEx>
          <w:tblCellMar>
            <w:top w:w="0" w:type="dxa"/>
            <w:left w:w="108" w:type="dxa"/>
            <w:bottom w:w="0" w:type="dxa"/>
            <w:right w:w="108" w:type="dxa"/>
          </w:tblCellMar>
        </w:tblPrEx>
        <w:trPr>
          <w:trHeight w:val="738" w:hRule="atLeast"/>
        </w:trPr>
        <w:tc>
          <w:tcPr>
            <w:tcW w:w="115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113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8"/>
                <w:szCs w:val="28"/>
              </w:rPr>
            </w:pPr>
            <w:r>
              <w:rPr>
                <w:rFonts w:hint="eastAsia"/>
                <w:color w:val="000000"/>
                <w:sz w:val="28"/>
                <w:szCs w:val="28"/>
              </w:rPr>
              <w:t>三级</w:t>
            </w:r>
          </w:p>
          <w:p>
            <w:pPr>
              <w:widowControl/>
              <w:spacing w:line="320" w:lineRule="exact"/>
              <w:jc w:val="center"/>
              <w:textAlignment w:val="bottom"/>
              <w:rPr>
                <w:rFonts w:hint="eastAsia"/>
                <w:color w:val="000000"/>
                <w:sz w:val="28"/>
                <w:szCs w:val="28"/>
              </w:rPr>
            </w:pPr>
            <w:r>
              <w:rPr>
                <w:rFonts w:hint="eastAsia"/>
                <w:color w:val="000000"/>
                <w:sz w:val="28"/>
                <w:szCs w:val="28"/>
              </w:rPr>
              <w:t>指标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trHeight w:val="480" w:hRule="atLeast"/>
        </w:trPr>
        <w:tc>
          <w:tcPr>
            <w:tcW w:w="1154"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数量指标</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lang w:val="en-US" w:eastAsia="zh-CN"/>
              </w:rPr>
              <w:t>享受</w:t>
            </w:r>
            <w:r>
              <w:rPr>
                <w:rFonts w:hint="eastAsia"/>
                <w:color w:val="000000"/>
                <w:sz w:val="24"/>
              </w:rPr>
              <w:t>生活补助减免人数</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color w:val="000000"/>
                <w:sz w:val="24"/>
                <w:lang w:val="en-US" w:eastAsia="zh-CN"/>
              </w:rPr>
            </w:pPr>
            <w:r>
              <w:rPr>
                <w:rFonts w:hint="eastAsia"/>
                <w:color w:val="000000"/>
                <w:sz w:val="24"/>
                <w:lang w:val="en-US" w:eastAsia="zh-CN"/>
              </w:rPr>
              <w:t>2511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color w:val="000000"/>
                <w:sz w:val="24"/>
                <w:lang w:val="en-US" w:eastAsia="zh-CN"/>
              </w:rPr>
            </w:pPr>
            <w:r>
              <w:rPr>
                <w:rFonts w:hint="eastAsia"/>
                <w:color w:val="000000"/>
                <w:sz w:val="24"/>
                <w:lang w:val="en-US" w:eastAsia="zh-CN"/>
              </w:rPr>
              <w:t>2511</w:t>
            </w:r>
          </w:p>
        </w:tc>
      </w:tr>
      <w:tr>
        <w:tblPrEx>
          <w:tblCellMar>
            <w:top w:w="0" w:type="dxa"/>
            <w:left w:w="108" w:type="dxa"/>
            <w:bottom w:w="0" w:type="dxa"/>
            <w:right w:w="108" w:type="dxa"/>
          </w:tblCellMar>
        </w:tblPrEx>
        <w:trPr>
          <w:trHeight w:val="480" w:hRule="atLeast"/>
        </w:trPr>
        <w:tc>
          <w:tcPr>
            <w:tcW w:w="1154"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45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质量指标</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lang w:val="en-US" w:eastAsia="zh-CN"/>
              </w:rPr>
              <w:t>寄宿生覆盖率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lang w:val="en-US" w:eastAsia="zh-CN"/>
              </w:rPr>
            </w:pPr>
            <w:r>
              <w:rPr>
                <w:rFonts w:hint="eastAsia"/>
                <w:color w:val="000000"/>
                <w:sz w:val="24"/>
                <w:lang w:val="en-US" w:eastAsia="zh-CN"/>
              </w:rPr>
              <w:t>24.41%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lang w:val="en-US" w:eastAsia="zh-CN"/>
              </w:rPr>
            </w:pPr>
            <w:r>
              <w:rPr>
                <w:rFonts w:hint="eastAsia"/>
                <w:color w:val="000000"/>
                <w:sz w:val="24"/>
                <w:lang w:val="en-US" w:eastAsia="zh-CN"/>
              </w:rPr>
              <w:t>24.41%</w:t>
            </w:r>
          </w:p>
        </w:tc>
      </w:tr>
      <w:tr>
        <w:tblPrEx>
          <w:tblCellMar>
            <w:top w:w="0" w:type="dxa"/>
            <w:left w:w="108" w:type="dxa"/>
            <w:bottom w:w="0" w:type="dxa"/>
            <w:right w:w="108" w:type="dxa"/>
          </w:tblCellMar>
        </w:tblPrEx>
        <w:trPr>
          <w:trHeight w:val="480" w:hRule="atLeast"/>
        </w:trPr>
        <w:tc>
          <w:tcPr>
            <w:tcW w:w="1154"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454"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lang w:val="en-US" w:eastAsia="zh-CN"/>
              </w:rPr>
              <w:t>非寄宿生覆盖率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lang w:val="en-US" w:eastAsia="zh-CN"/>
              </w:rPr>
            </w:pPr>
            <w:r>
              <w:rPr>
                <w:rFonts w:hint="eastAsia"/>
                <w:color w:val="000000"/>
                <w:sz w:val="24"/>
                <w:lang w:val="en-US" w:eastAsia="zh-CN"/>
              </w:rPr>
              <w:t>4.45%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lang w:val="en-US" w:eastAsia="zh-CN"/>
              </w:rPr>
            </w:pPr>
            <w:r>
              <w:rPr>
                <w:rFonts w:hint="eastAsia"/>
                <w:color w:val="000000"/>
                <w:sz w:val="24"/>
                <w:lang w:val="en-US" w:eastAsia="zh-CN"/>
              </w:rPr>
              <w:t>4.45%</w:t>
            </w:r>
          </w:p>
        </w:tc>
      </w:tr>
      <w:tr>
        <w:tblPrEx>
          <w:tblCellMar>
            <w:top w:w="0" w:type="dxa"/>
            <w:left w:w="108" w:type="dxa"/>
            <w:bottom w:w="0" w:type="dxa"/>
            <w:right w:w="108" w:type="dxa"/>
          </w:tblCellMar>
        </w:tblPrEx>
        <w:trPr>
          <w:trHeight w:val="480" w:hRule="atLeast"/>
        </w:trPr>
        <w:tc>
          <w:tcPr>
            <w:tcW w:w="1154"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45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lang w:val="en-US" w:eastAsia="zh-CN"/>
              </w:rPr>
            </w:pPr>
            <w:r>
              <w:rPr>
                <w:rFonts w:hint="eastAsia"/>
                <w:color w:val="000000"/>
                <w:sz w:val="24"/>
                <w:lang w:val="en-US" w:eastAsia="zh-CN"/>
              </w:rPr>
              <w:t>特教生覆盖率</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color w:val="000000"/>
                <w:sz w:val="24"/>
                <w:lang w:val="en-US" w:eastAsia="zh-CN"/>
              </w:rPr>
            </w:pPr>
            <w:r>
              <w:rPr>
                <w:rFonts w:hint="eastAsia"/>
                <w:color w:val="000000"/>
                <w:sz w:val="24"/>
                <w:lang w:val="en-US" w:eastAsia="zh-CN"/>
              </w:rPr>
              <w:t>100%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color w:val="000000"/>
                <w:sz w:val="24"/>
                <w:lang w:val="en-US"/>
              </w:rPr>
            </w:pPr>
            <w:r>
              <w:rPr>
                <w:rFonts w:hint="eastAsia"/>
                <w:color w:val="000000"/>
                <w:sz w:val="24"/>
                <w:lang w:val="en-US" w:eastAsia="zh-CN"/>
              </w:rPr>
              <w:t>100%</w:t>
            </w:r>
          </w:p>
        </w:tc>
      </w:tr>
      <w:tr>
        <w:tblPrEx>
          <w:tblCellMar>
            <w:top w:w="0" w:type="dxa"/>
            <w:left w:w="108" w:type="dxa"/>
            <w:bottom w:w="0" w:type="dxa"/>
            <w:right w:w="108" w:type="dxa"/>
          </w:tblCellMar>
        </w:tblPrEx>
        <w:trPr>
          <w:trHeight w:val="480" w:hRule="atLeast"/>
        </w:trPr>
        <w:tc>
          <w:tcPr>
            <w:tcW w:w="1154"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时效指标</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color w:val="000000"/>
                <w:sz w:val="24"/>
                <w:lang w:val="en-US" w:eastAsia="zh-CN"/>
              </w:rPr>
            </w:pPr>
            <w:bookmarkStart w:id="0" w:name="_GoBack"/>
            <w:bookmarkEnd w:id="0"/>
            <w:r>
              <w:rPr>
                <w:rFonts w:hint="eastAsia"/>
                <w:color w:val="000000"/>
                <w:sz w:val="24"/>
                <w:lang w:val="en-US" w:eastAsia="zh-CN"/>
              </w:rPr>
              <w:t>1年</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color w:val="000000"/>
                <w:sz w:val="24"/>
                <w:lang w:val="en-US" w:eastAsia="zh-CN"/>
              </w:rPr>
            </w:pPr>
            <w:r>
              <w:rPr>
                <w:rFonts w:hint="eastAsia"/>
                <w:color w:val="000000"/>
                <w:sz w:val="24"/>
                <w:lang w:val="en-US" w:eastAsia="zh-CN"/>
              </w:rPr>
              <w:t>1年</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color w:val="000000"/>
                <w:sz w:val="24"/>
                <w:lang w:val="en-US" w:eastAsia="zh-CN"/>
              </w:rPr>
            </w:pPr>
            <w:r>
              <w:rPr>
                <w:rFonts w:hint="eastAsia"/>
                <w:color w:val="000000"/>
                <w:sz w:val="24"/>
                <w:lang w:val="en-US" w:eastAsia="zh-CN"/>
              </w:rPr>
              <w:t>1年</w:t>
            </w:r>
          </w:p>
        </w:tc>
      </w:tr>
      <w:tr>
        <w:tblPrEx>
          <w:tblCellMar>
            <w:top w:w="0" w:type="dxa"/>
            <w:left w:w="108" w:type="dxa"/>
            <w:bottom w:w="0" w:type="dxa"/>
            <w:right w:w="108" w:type="dxa"/>
          </w:tblCellMar>
        </w:tblPrEx>
        <w:trPr>
          <w:trHeight w:val="480" w:hRule="atLeast"/>
        </w:trPr>
        <w:tc>
          <w:tcPr>
            <w:tcW w:w="1154"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成本指标</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lang w:eastAsia="zh-CN"/>
              </w:rPr>
            </w:pPr>
            <w:r>
              <w:rPr>
                <w:rFonts w:hint="eastAsia"/>
                <w:color w:val="000000"/>
                <w:sz w:val="24"/>
              </w:rPr>
              <w:t>中央配套</w:t>
            </w:r>
            <w:r>
              <w:rPr>
                <w:rFonts w:hint="eastAsia"/>
                <w:color w:val="000000"/>
                <w:sz w:val="24"/>
                <w:lang w:eastAsia="zh-CN"/>
              </w:rPr>
              <w:t>：</w:t>
            </w:r>
          </w:p>
          <w:p>
            <w:pPr>
              <w:widowControl/>
              <w:spacing w:line="320" w:lineRule="exact"/>
              <w:jc w:val="center"/>
              <w:textAlignment w:val="bottom"/>
              <w:rPr>
                <w:rFonts w:hint="eastAsia"/>
                <w:color w:val="000000"/>
                <w:sz w:val="24"/>
                <w:lang w:eastAsia="zh-CN"/>
              </w:rPr>
            </w:pPr>
            <w:r>
              <w:rPr>
                <w:rFonts w:hint="eastAsia"/>
                <w:color w:val="000000"/>
                <w:sz w:val="24"/>
              </w:rPr>
              <w:t>地方配套</w:t>
            </w:r>
            <w:r>
              <w:rPr>
                <w:rFonts w:hint="eastAsia"/>
                <w:color w:val="000000"/>
                <w:sz w:val="24"/>
                <w:lang w:eastAsia="zh-CN"/>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lang w:eastAsia="zh-CN"/>
              </w:rPr>
            </w:pPr>
            <w:r>
              <w:rPr>
                <w:rFonts w:hint="eastAsia"/>
                <w:color w:val="000000"/>
                <w:sz w:val="24"/>
              </w:rPr>
              <w:t>中央</w:t>
            </w:r>
            <w:r>
              <w:rPr>
                <w:rFonts w:hint="eastAsia"/>
                <w:color w:val="000000"/>
                <w:sz w:val="24"/>
                <w:lang w:eastAsia="zh-CN"/>
              </w:rPr>
              <w:t>：</w:t>
            </w:r>
            <w:r>
              <w:rPr>
                <w:rFonts w:hint="eastAsia"/>
                <w:color w:val="000000"/>
                <w:sz w:val="24"/>
                <w:lang w:val="en-US" w:eastAsia="zh-CN"/>
              </w:rPr>
              <w:t>129.09</w:t>
            </w:r>
            <w:r>
              <w:rPr>
                <w:rFonts w:hint="eastAsia"/>
                <w:color w:val="000000"/>
                <w:sz w:val="24"/>
              </w:rPr>
              <w:t>万元，地方</w:t>
            </w:r>
            <w:r>
              <w:rPr>
                <w:rFonts w:hint="eastAsia"/>
                <w:color w:val="000000"/>
                <w:sz w:val="24"/>
                <w:lang w:eastAsia="zh-CN"/>
              </w:rPr>
              <w:t>：</w:t>
            </w:r>
            <w:r>
              <w:rPr>
                <w:rFonts w:hint="eastAsia"/>
                <w:color w:val="000000"/>
                <w:sz w:val="24"/>
              </w:rPr>
              <w:t>12</w:t>
            </w:r>
            <w:r>
              <w:rPr>
                <w:rFonts w:hint="eastAsia"/>
                <w:color w:val="000000"/>
                <w:sz w:val="24"/>
                <w:lang w:val="en-US" w:eastAsia="zh-CN"/>
              </w:rPr>
              <w:t>7</w:t>
            </w:r>
            <w:r>
              <w:rPr>
                <w:rFonts w:hint="eastAsia"/>
                <w:color w:val="000000"/>
                <w:sz w:val="24"/>
              </w:rPr>
              <w:t>万元。</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中央</w:t>
            </w:r>
            <w:r>
              <w:rPr>
                <w:rFonts w:hint="eastAsia"/>
                <w:color w:val="000000"/>
                <w:sz w:val="24"/>
                <w:lang w:eastAsia="zh-CN"/>
              </w:rPr>
              <w:t>：</w:t>
            </w:r>
            <w:r>
              <w:rPr>
                <w:rFonts w:hint="eastAsia"/>
                <w:color w:val="000000"/>
                <w:sz w:val="24"/>
                <w:lang w:val="en-US" w:eastAsia="zh-CN"/>
              </w:rPr>
              <w:t>129.09</w:t>
            </w:r>
            <w:r>
              <w:rPr>
                <w:rFonts w:hint="eastAsia"/>
                <w:color w:val="000000"/>
                <w:sz w:val="24"/>
              </w:rPr>
              <w:t>万元，地方</w:t>
            </w:r>
            <w:r>
              <w:rPr>
                <w:rFonts w:hint="eastAsia"/>
                <w:color w:val="000000"/>
                <w:sz w:val="24"/>
                <w:lang w:eastAsia="zh-CN"/>
              </w:rPr>
              <w:t>：</w:t>
            </w:r>
            <w:r>
              <w:rPr>
                <w:rFonts w:hint="eastAsia"/>
                <w:color w:val="000000"/>
                <w:sz w:val="24"/>
              </w:rPr>
              <w:t>126.97875万元</w:t>
            </w:r>
          </w:p>
        </w:tc>
      </w:tr>
      <w:tr>
        <w:tblPrEx>
          <w:tblCellMar>
            <w:top w:w="0" w:type="dxa"/>
            <w:left w:w="108" w:type="dxa"/>
            <w:bottom w:w="0" w:type="dxa"/>
            <w:right w:w="108" w:type="dxa"/>
          </w:tblCellMar>
        </w:tblPrEx>
        <w:trPr>
          <w:trHeight w:val="480" w:hRule="atLeast"/>
        </w:trPr>
        <w:tc>
          <w:tcPr>
            <w:tcW w:w="1154"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社会效益  指标</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保障民族地区学前幼儿享受学前教育</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减轻民族地区学前幼儿家长经济负担</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减轻民族地区学前幼儿家长经济负担</w:t>
            </w:r>
          </w:p>
        </w:tc>
      </w:tr>
      <w:tr>
        <w:tblPrEx>
          <w:tblCellMar>
            <w:top w:w="0" w:type="dxa"/>
            <w:left w:w="108" w:type="dxa"/>
            <w:bottom w:w="0" w:type="dxa"/>
            <w:right w:w="108" w:type="dxa"/>
          </w:tblCellMar>
        </w:tblPrEx>
        <w:trPr>
          <w:trHeight w:val="480" w:hRule="atLeast"/>
        </w:trPr>
        <w:tc>
          <w:tcPr>
            <w:tcW w:w="1154"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可持续影响 指标</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优化教育结构</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实施科教兴国、人才强国战略</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lang w:val="en-US" w:eastAsia="zh-CN"/>
              </w:rPr>
            </w:pPr>
            <w:r>
              <w:rPr>
                <w:rFonts w:hint="eastAsia"/>
                <w:color w:val="000000"/>
                <w:sz w:val="24"/>
                <w:lang w:val="en-US" w:eastAsia="zh-CN"/>
              </w:rPr>
              <w:t>完成</w:t>
            </w:r>
          </w:p>
        </w:tc>
      </w:tr>
      <w:tr>
        <w:tblPrEx>
          <w:tblCellMar>
            <w:top w:w="0" w:type="dxa"/>
            <w:left w:w="108" w:type="dxa"/>
            <w:bottom w:w="0" w:type="dxa"/>
            <w:right w:w="108" w:type="dxa"/>
          </w:tblCellMar>
        </w:tblPrEx>
        <w:trPr>
          <w:trHeight w:val="480" w:hRule="atLeast"/>
        </w:trPr>
        <w:tc>
          <w:tcPr>
            <w:tcW w:w="115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rPr>
              <w:t>满意度</w:t>
            </w:r>
          </w:p>
          <w:p>
            <w:pPr>
              <w:widowControl/>
              <w:spacing w:line="320" w:lineRule="exact"/>
              <w:jc w:val="center"/>
              <w:textAlignment w:val="bottom"/>
              <w:rPr>
                <w:rFonts w:hint="eastAsia"/>
                <w:color w:val="000000"/>
                <w:sz w:val="24"/>
              </w:rPr>
            </w:pPr>
            <w:r>
              <w:rPr>
                <w:rFonts w:hint="eastAsia"/>
                <w:color w:val="000000"/>
                <w:sz w:val="24"/>
              </w:rPr>
              <w:t>指标</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lang w:val="en-US" w:eastAsia="zh-CN"/>
              </w:rPr>
              <w:t>享受政策学生及家长满意度</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lang w:val="en-US" w:eastAsia="zh-CN"/>
              </w:rPr>
              <w:t>≥95%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color w:val="000000"/>
                <w:sz w:val="24"/>
              </w:rPr>
            </w:pPr>
            <w:r>
              <w:rPr>
                <w:rFonts w:hint="eastAsia"/>
                <w:color w:val="000000"/>
                <w:sz w:val="24"/>
                <w:lang w:val="en-US" w:eastAsia="zh-CN"/>
              </w:rPr>
              <w:t>≥95%</w:t>
            </w:r>
          </w:p>
        </w:tc>
      </w:tr>
    </w:tbl>
    <w:p>
      <w:pPr>
        <w:widowControl/>
        <w:adjustRightInd w:val="0"/>
        <w:snapToGrid w:val="0"/>
        <w:spacing w:line="580" w:lineRule="exact"/>
        <w:contextualSpacing/>
        <w:jc w:val="left"/>
        <w:rPr>
          <w:color w:val="000000"/>
          <w:kern w:val="0"/>
          <w:szCs w:val="32"/>
          <w:shd w:val="clear" w:color="auto" w:fill="FFFFFF"/>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M2EzNTIxMjdjNmY2YTQ5MGRlNTMxMzJkZTdhMGU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8F475F"/>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9FC30DE"/>
    <w:rsid w:val="0DC31556"/>
    <w:rsid w:val="0E03032D"/>
    <w:rsid w:val="0E7C659C"/>
    <w:rsid w:val="0EE52393"/>
    <w:rsid w:val="1A3D6143"/>
    <w:rsid w:val="1A9854C0"/>
    <w:rsid w:val="1C013801"/>
    <w:rsid w:val="28F054B7"/>
    <w:rsid w:val="2D527252"/>
    <w:rsid w:val="2EAE55F2"/>
    <w:rsid w:val="2EDF4302"/>
    <w:rsid w:val="32816E64"/>
    <w:rsid w:val="330A641A"/>
    <w:rsid w:val="387463B2"/>
    <w:rsid w:val="40C35A6D"/>
    <w:rsid w:val="47550EBA"/>
    <w:rsid w:val="4A424663"/>
    <w:rsid w:val="53185E60"/>
    <w:rsid w:val="579D4B86"/>
    <w:rsid w:val="57B20674"/>
    <w:rsid w:val="590F3861"/>
    <w:rsid w:val="5A9153BD"/>
    <w:rsid w:val="5BF86EF0"/>
    <w:rsid w:val="5DF47E0F"/>
    <w:rsid w:val="6636451A"/>
    <w:rsid w:val="69E81457"/>
    <w:rsid w:val="6A6043B8"/>
    <w:rsid w:val="6EF65E9C"/>
    <w:rsid w:val="6FEB7006"/>
    <w:rsid w:val="71397E03"/>
    <w:rsid w:val="74841A7E"/>
    <w:rsid w:val="77FFA8F9"/>
    <w:rsid w:val="782D1423"/>
    <w:rsid w:val="79D54DBB"/>
    <w:rsid w:val="7A1D3CFA"/>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ocument Map"/>
    <w:basedOn w:val="1"/>
    <w:link w:val="12"/>
    <w:qFormat/>
    <w:uiPriority w:val="0"/>
    <w:rPr>
      <w:rFonts w:ascii="宋体" w:eastAsia="宋体"/>
      <w:sz w:val="18"/>
      <w:szCs w:val="18"/>
    </w:rPr>
  </w:style>
  <w:style w:type="paragraph" w:styleId="3">
    <w:name w:val="Balloon Text"/>
    <w:basedOn w:val="1"/>
    <w:semiHidden/>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四号正文"/>
    <w:basedOn w:val="1"/>
    <w:link w:val="11"/>
    <w:qFormat/>
    <w:uiPriority w:val="0"/>
    <w:pPr>
      <w:spacing w:line="360" w:lineRule="auto"/>
    </w:pPr>
    <w:rPr>
      <w:rFonts w:ascii="??" w:hAnsi="??" w:eastAsia="宋体" w:cs="宋体"/>
      <w:color w:val="000000"/>
      <w:kern w:val="0"/>
      <w:sz w:val="28"/>
      <w:szCs w:val="21"/>
    </w:rPr>
  </w:style>
  <w:style w:type="character" w:customStyle="1" w:styleId="11">
    <w:name w:val="四号正文 Char"/>
    <w:basedOn w:val="8"/>
    <w:link w:val="10"/>
    <w:qFormat/>
    <w:uiPriority w:val="0"/>
    <w:rPr>
      <w:rFonts w:ascii="??" w:hAnsi="??" w:eastAsia="宋体" w:cs="宋体"/>
      <w:color w:val="000000"/>
      <w:sz w:val="28"/>
      <w:szCs w:val="21"/>
      <w:lang w:val="en-US" w:eastAsia="zh-CN" w:bidi="ar-SA"/>
    </w:rPr>
  </w:style>
  <w:style w:type="character" w:customStyle="1" w:styleId="12">
    <w:name w:val="文档结构图 Char"/>
    <w:basedOn w:val="8"/>
    <w:link w:val="2"/>
    <w:qFormat/>
    <w:uiPriority w:val="0"/>
    <w:rPr>
      <w:rFonts w:ascii="宋体"/>
      <w:kern w:val="2"/>
      <w:sz w:val="18"/>
      <w:szCs w:val="18"/>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页脚 Char"/>
    <w:basedOn w:val="8"/>
    <w:link w:val="4"/>
    <w:qFormat/>
    <w:uiPriority w:val="99"/>
    <w:rPr>
      <w:kern w:val="2"/>
      <w:sz w:val="18"/>
      <w:szCs w:val="18"/>
    </w:rPr>
  </w:style>
  <w:style w:type="character" w:customStyle="1" w:styleId="15">
    <w:name w:val="font3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1</Pages>
  <Words>211</Words>
  <Characters>214</Characters>
  <Lines>5</Lines>
  <Paragraphs>1</Paragraphs>
  <TotalTime>3</TotalTime>
  <ScaleCrop>false</ScaleCrop>
  <LinksUpToDate>false</LinksUpToDate>
  <CharactersWithSpaces>221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马马虎虎</cp:lastModifiedBy>
  <cp:lastPrinted>2022-03-26T08:26:00Z</cp:lastPrinted>
  <dcterms:modified xsi:type="dcterms:W3CDTF">2023-05-08T02:10:39Z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E6F3C2D9CD52452F82A230D7B40F29AA</vt:lpwstr>
  </property>
</Properties>
</file>