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lang w:val="en-US" w:eastAsia="zh-CN"/>
        </w:rPr>
      </w:pPr>
      <w:r>
        <w:rPr>
          <w:rFonts w:hint="eastAsia" w:ascii="黑体" w:hAnsi="黑体" w:eastAsia="黑体"/>
        </w:rPr>
        <w:t>附件6</w:t>
      </w:r>
      <w:r>
        <w:rPr>
          <w:rFonts w:hint="eastAsia" w:ascii="黑体" w:hAnsi="黑体" w:eastAsia="黑体"/>
          <w:lang w:val="en-US" w:eastAsia="zh-CN"/>
        </w:rPr>
        <w:t>-2</w:t>
      </w:r>
    </w:p>
    <w:p>
      <w:pPr>
        <w:tabs>
          <w:tab w:val="left" w:pos="1440"/>
        </w:tabs>
        <w:spacing w:line="560" w:lineRule="exact"/>
        <w:rPr>
          <w:rFonts w:ascii="宋体" w:hAnsi="宋体" w:eastAsia="宋体"/>
          <w:sz w:val="30"/>
          <w:szCs w:val="30"/>
        </w:rPr>
      </w:pP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sz w:val="44"/>
          <w:szCs w:val="44"/>
          <w:lang w:val="en-US" w:eastAsia="zh-CN"/>
        </w:rPr>
      </w:pPr>
      <w:r>
        <w:rPr>
          <w:rFonts w:hint="eastAsia" w:ascii="方正小标宋简体" w:hAnsi="宋体" w:eastAsia="方正小标宋简体"/>
          <w:sz w:val="44"/>
          <w:szCs w:val="44"/>
          <w:lang w:val="en-US"/>
        </w:rPr>
        <w:t>2023年</w:t>
      </w:r>
      <w:r>
        <w:rPr>
          <w:rFonts w:hint="eastAsia" w:ascii="方正小标宋简体" w:hAnsi="宋体" w:eastAsia="方正小标宋简体"/>
          <w:sz w:val="44"/>
          <w:szCs w:val="44"/>
          <w:lang w:val="en-US" w:eastAsia="zh-CN"/>
        </w:rPr>
        <w:t>重点优抚对象医疗补助</w:t>
      </w: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预算项目支出绩效自评报告</w:t>
      </w: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sz w:val="32"/>
          <w:szCs w:val="32"/>
          <w:lang w:eastAsia="zh-CN"/>
        </w:rPr>
      </w:pPr>
      <w:r>
        <w:rPr>
          <w:rFonts w:hint="eastAsia" w:ascii="方正小标宋简体" w:hAnsi="宋体" w:eastAsia="方正小标宋简体"/>
          <w:sz w:val="32"/>
          <w:szCs w:val="32"/>
          <w:lang w:eastAsia="zh-CN"/>
        </w:rPr>
        <w:t>（</w:t>
      </w:r>
      <w:r>
        <w:rPr>
          <w:rFonts w:hint="eastAsia" w:ascii="方正小标宋简体" w:hAnsi="宋体" w:eastAsia="方正小标宋简体"/>
          <w:sz w:val="32"/>
          <w:szCs w:val="32"/>
          <w:lang w:val="en-US" w:eastAsia="zh-CN"/>
        </w:rPr>
        <w:t>攀枝花市仁和区退役军人事务局</w:t>
      </w:r>
      <w:r>
        <w:rPr>
          <w:rFonts w:hint="eastAsia" w:ascii="方正小标宋简体" w:hAnsi="宋体" w:eastAsia="方正小标宋简体"/>
          <w:sz w:val="32"/>
          <w:szCs w:val="32"/>
          <w:lang w:eastAsia="zh-CN"/>
        </w:rPr>
        <w:t>）</w:t>
      </w:r>
    </w:p>
    <w:p>
      <w:pPr>
        <w:pStyle w:val="5"/>
        <w:spacing w:line="560" w:lineRule="exact"/>
        <w:ind w:firstLine="640"/>
        <w:jc w:val="center"/>
        <w:rPr>
          <w:rFonts w:ascii="宋体" w:hAnsi="宋体"/>
          <w:color w:val="auto"/>
          <w:kern w:val="2"/>
          <w:sz w:val="32"/>
          <w:szCs w:val="32"/>
        </w:rPr>
      </w:pPr>
      <w:bookmarkStart w:id="0" w:name="_GoBack"/>
      <w:bookmarkEnd w:id="0"/>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Times New Roman" w:hAnsi="Times New Roman" w:eastAsia="方正仿宋_GBK" w:cs="Times New Roman"/>
          <w:b w:val="0"/>
          <w:bCs w:val="0"/>
          <w:kern w:val="0"/>
          <w:sz w:val="32"/>
          <w:szCs w:val="32"/>
        </w:rPr>
      </w:pPr>
      <w:r>
        <w:rPr>
          <w:rFonts w:hint="eastAsia" w:ascii="Times New Roman" w:hAnsi="Times New Roman" w:eastAsia="方正仿宋_GBK" w:cs="Times New Roman"/>
          <w:b w:val="0"/>
          <w:bCs w:val="0"/>
          <w:kern w:val="0"/>
          <w:sz w:val="32"/>
          <w:szCs w:val="32"/>
          <w:lang w:val="en-US" w:eastAsia="zh-CN"/>
        </w:rPr>
        <w:t>根据</w:t>
      </w:r>
      <w:r>
        <w:rPr>
          <w:rFonts w:hint="default" w:ascii="Times New Roman" w:hAnsi="Times New Roman" w:eastAsia="方正仿宋_GBK" w:cs="Times New Roman"/>
          <w:b w:val="0"/>
          <w:bCs w:val="0"/>
          <w:kern w:val="0"/>
          <w:sz w:val="32"/>
          <w:szCs w:val="32"/>
        </w:rPr>
        <w:t>《攀枝花市重点优抚对象医疗补助办法》的规定：通过发放优抚对象医疗补助资金，对优抚对象参保缴费住院和门诊费用进行补助，有效帮助解决优抚对象医疗难问题。</w:t>
      </w:r>
    </w:p>
    <w:p>
      <w:pPr>
        <w:numPr>
          <w:ilvl w:val="0"/>
          <w:numId w:val="1"/>
        </w:numPr>
        <w:adjustRightInd w:val="0"/>
        <w:snapToGrid w:val="0"/>
        <w:spacing w:line="560" w:lineRule="exact"/>
        <w:ind w:firstLine="720"/>
        <w:rPr>
          <w:rFonts w:ascii="仿宋_GB2312" w:hAnsi="宋体"/>
          <w:lang w:val="zh-CN"/>
        </w:rPr>
      </w:pPr>
      <w:r>
        <w:rPr>
          <w:rFonts w:hint="eastAsia" w:ascii="楷体_GB2312" w:hAnsi="宋体" w:eastAsia="楷体_GB2312"/>
          <w:b/>
          <w:lang w:val="zh-CN"/>
        </w:rPr>
        <w:t>项目资金申报及批复情况。</w:t>
      </w:r>
      <w:r>
        <w:rPr>
          <w:rFonts w:hint="eastAsia" w:ascii="仿宋_GB2312" w:hAnsi="宋体"/>
          <w:lang w:val="en-US" w:eastAsia="zh-CN"/>
        </w:rPr>
        <w:t>2022年年初完成需用资金的预算上报，按照《攀枝花市重点优抚对象医疗补助办法》规定，此项资金市级财政补助40%，区级财政60%，报预算36万元。区财政局通过对预算资金的审核和审批，下达项目资金指标。</w:t>
      </w:r>
    </w:p>
    <w:p>
      <w:pPr>
        <w:numPr>
          <w:ilvl w:val="0"/>
          <w:numId w:val="1"/>
        </w:numPr>
        <w:adjustRightInd w:val="0"/>
        <w:snapToGrid w:val="0"/>
        <w:spacing w:line="560" w:lineRule="exact"/>
        <w:ind w:left="0" w:leftChars="0" w:firstLine="720" w:firstLineChars="0"/>
        <w:rPr>
          <w:rFonts w:ascii="仿宋_GB2312" w:hAnsi="宋体"/>
          <w:lang w:val="zh-CN"/>
        </w:rPr>
      </w:pPr>
      <w:r>
        <w:rPr>
          <w:rFonts w:hint="eastAsia" w:ascii="楷体_GB2312" w:hAnsi="宋体" w:eastAsia="楷体_GB2312"/>
          <w:b/>
          <w:lang w:val="zh-CN"/>
        </w:rPr>
        <w:t>项目绩效目标。</w:t>
      </w:r>
      <w:r>
        <w:rPr>
          <w:rFonts w:hint="eastAsia" w:ascii="仿宋_GB2312" w:hAnsi="宋体"/>
          <w:lang w:val="en-US" w:eastAsia="zh-CN"/>
        </w:rPr>
        <w:t>根据《攀枝花市重点优抚对象医疗补助办法》要求，2022年支付重点优抚对象医疗补助28.22万元，发放人次528人次。经费足额拨付率100%，及时拨付率100%，抚对象医疗难问题得有效改善，重点优抚对象满意度≥90%</w:t>
      </w:r>
      <w:r>
        <w:rPr>
          <w:rFonts w:hint="eastAsia" w:ascii="仿宋_GB2312" w:hAnsi="宋体"/>
          <w:lang w:val="zh-CN"/>
        </w:rPr>
        <w:t>。</w:t>
      </w:r>
    </w:p>
    <w:p>
      <w:pPr>
        <w:adjustRightInd w:val="0"/>
        <w:snapToGrid w:val="0"/>
        <w:spacing w:line="560" w:lineRule="exact"/>
        <w:ind w:firstLine="720"/>
        <w:rPr>
          <w:rFonts w:ascii="仿宋_GB2312" w:hAnsi="宋体"/>
          <w:lang w:val="zh-CN"/>
        </w:rPr>
      </w:pPr>
      <w:r>
        <w:rPr>
          <w:rFonts w:hint="eastAsia" w:ascii="楷体_GB2312" w:hAnsi="宋体" w:eastAsia="楷体_GB2312"/>
          <w:b/>
          <w:lang w:val="zh-CN"/>
        </w:rPr>
        <w:t>（三）项目资金申报相符性。</w:t>
      </w:r>
      <w:r>
        <w:rPr>
          <w:rFonts w:hint="eastAsia" w:ascii="仿宋_GB2312" w:hAnsi="宋体"/>
          <w:lang w:val="zh-CN"/>
        </w:rPr>
        <w:t>项目申报内容与具体实施内容相符、申报目标合理可行。</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hint="default" w:ascii="楷体_GB2312" w:hAnsi="宋体" w:eastAsia="楷体_GB2312"/>
          <w:lang w:val="en-US"/>
        </w:rPr>
      </w:pPr>
      <w:r>
        <w:rPr>
          <w:rFonts w:hint="eastAsia" w:ascii="楷体_GB2312" w:hAnsi="宋体" w:eastAsia="楷体_GB2312"/>
          <w:lang w:val="zh-CN"/>
        </w:rPr>
        <w:t>1．资金计划及到位。</w:t>
      </w:r>
      <w:r>
        <w:rPr>
          <w:rFonts w:hint="eastAsia" w:ascii="仿宋_GB2312" w:hAnsi="宋体"/>
          <w:lang w:val="en-US" w:eastAsia="zh-CN"/>
        </w:rPr>
        <w:t>根据财政局预算批复，下达项目指标36万元，3月上级财政专项资金到位34.87万元（其中：中央资金31.15   万元，省级资金3.72 万元）。</w:t>
      </w:r>
    </w:p>
    <w:p>
      <w:pPr>
        <w:adjustRightInd w:val="0"/>
        <w:snapToGrid w:val="0"/>
        <w:spacing w:line="560" w:lineRule="exact"/>
        <w:ind w:firstLine="720"/>
        <w:rPr>
          <w:rFonts w:ascii="仿宋_GB2312" w:hAnsi="宋体"/>
          <w:lang w:val="zh-CN"/>
        </w:rPr>
      </w:pPr>
      <w:r>
        <w:rPr>
          <w:rFonts w:hint="eastAsia" w:ascii="楷体_GB2312" w:hAnsi="宋体" w:eastAsia="楷体_GB2312"/>
          <w:lang w:val="zh-CN"/>
        </w:rPr>
        <w:t>2．资金使用。</w:t>
      </w:r>
      <w:r>
        <w:rPr>
          <w:rFonts w:hint="eastAsia" w:ascii="仿宋_GB2312" w:hAnsi="宋体"/>
          <w:lang w:val="en-US" w:eastAsia="zh-CN"/>
        </w:rPr>
        <w:t>2022年支出重点优抚对象医疗补助28.22万元，发放人次528人次。通过“一卡通”发放到人以及“一站式”服务方式进行医疗补助。通过“一卡通”发放金额为18.47万元，发放人次为105人次，通过“一站式”服务支付医疗补助金额为9.75万元，补助人次423人次。区退役军人事务局按季度审核各乡镇上报数据，审核无误后，经一体化平台审核通过后，参加一站式服务的补助，通过国库支付到各医院。个人申报补助的通过一卡通发放到优抚对象社保卡。支付依据合规合法，资金支付与预算基本相符。</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ascii="仿宋_GB2312" w:hAnsi="宋体"/>
          <w:lang w:val="zh-CN"/>
        </w:rPr>
      </w:pPr>
      <w:r>
        <w:rPr>
          <w:rFonts w:hint="default" w:ascii="Times New Roman" w:hAnsi="Times New Roman" w:eastAsia="方正仿宋_GBK" w:cs="Times New Roman"/>
          <w:kern w:val="0"/>
          <w:sz w:val="32"/>
          <w:szCs w:val="32"/>
          <w:lang w:val="en-US" w:eastAsia="zh-CN"/>
        </w:rPr>
        <w:t>仁和区退役军人事务局健全了财务管理制度和财务工作人员管理制度，在工作推进中</w:t>
      </w:r>
      <w:r>
        <w:rPr>
          <w:rFonts w:hint="default" w:ascii="Times New Roman" w:hAnsi="Times New Roman" w:eastAsia="方正仿宋_GBK" w:cs="Times New Roman"/>
          <w:kern w:val="0"/>
          <w:sz w:val="32"/>
          <w:szCs w:val="32"/>
        </w:rPr>
        <w:t>严格执行</w:t>
      </w:r>
      <w:r>
        <w:rPr>
          <w:rFonts w:hint="default" w:ascii="Times New Roman" w:hAnsi="Times New Roman" w:eastAsia="方正仿宋_GBK" w:cs="Times New Roman"/>
          <w:kern w:val="0"/>
          <w:sz w:val="32"/>
          <w:szCs w:val="32"/>
          <w:lang w:val="en-US" w:eastAsia="zh-CN"/>
        </w:rPr>
        <w:t>相关</w:t>
      </w:r>
      <w:r>
        <w:rPr>
          <w:rFonts w:hint="default" w:ascii="Times New Roman" w:hAnsi="Times New Roman" w:eastAsia="方正仿宋_GBK" w:cs="Times New Roman"/>
          <w:kern w:val="0"/>
          <w:sz w:val="32"/>
          <w:szCs w:val="32"/>
        </w:rPr>
        <w:t>财务管理制度，账务处理及时，会计核算规范</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费用支出依法依规、专款专用，未出现资金违规使用情况。</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仿宋_GB2312" w:hAnsi="宋体" w:eastAsia="仿宋_GB2312"/>
          <w:lang w:val="en-US" w:eastAsia="zh-CN"/>
        </w:rPr>
      </w:pPr>
      <w:r>
        <w:rPr>
          <w:rFonts w:hint="default" w:ascii="Times New Roman" w:hAnsi="Times New Roman" w:eastAsia="方正仿宋_GBK" w:cs="Times New Roman"/>
          <w:kern w:val="0"/>
          <w:sz w:val="32"/>
          <w:szCs w:val="32"/>
          <w:lang w:val="en-US" w:eastAsia="zh-CN"/>
        </w:rPr>
        <w:t>按规定要求在</w:t>
      </w:r>
      <w:r>
        <w:rPr>
          <w:rFonts w:hint="eastAsia" w:ascii="Times New Roman" w:hAnsi="Times New Roman" w:eastAsia="方正仿宋_GBK" w:cs="Times New Roman"/>
          <w:kern w:val="0"/>
          <w:sz w:val="32"/>
          <w:szCs w:val="32"/>
          <w:lang w:val="en-US" w:eastAsia="zh-CN"/>
        </w:rPr>
        <w:t>2022</w:t>
      </w:r>
      <w:r>
        <w:rPr>
          <w:rFonts w:hint="default" w:ascii="Times New Roman" w:hAnsi="Times New Roman" w:eastAsia="方正仿宋_GBK" w:cs="Times New Roman"/>
          <w:kern w:val="0"/>
          <w:sz w:val="32"/>
          <w:szCs w:val="32"/>
          <w:lang w:val="en-US" w:eastAsia="zh-CN"/>
        </w:rPr>
        <w:t>年初将支付需用资金纳入预算并上报区财政局审批。</w:t>
      </w:r>
      <w:r>
        <w:rPr>
          <w:rFonts w:hint="eastAsia" w:ascii="Times New Roman" w:hAnsi="Times New Roman" w:eastAsia="方正仿宋_GBK" w:cs="Times New Roman"/>
          <w:kern w:val="0"/>
          <w:sz w:val="32"/>
          <w:szCs w:val="32"/>
          <w:lang w:val="en-US" w:eastAsia="zh-CN"/>
        </w:rPr>
        <w:t>每季度审核、发放一次，2022年3月、7月、10月、12月向区财政申报用款计划，通过一体化平台支付。</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hint="default" w:ascii="仿宋_GB2312" w:hAnsi="宋体" w:eastAsia="仿宋_GB2312"/>
          <w:lang w:val="en-US" w:eastAsia="zh-CN"/>
        </w:rPr>
      </w:pPr>
      <w:r>
        <w:rPr>
          <w:rFonts w:hint="eastAsia" w:ascii="仿宋_GB2312" w:hAnsi="宋体"/>
          <w:lang w:val="en-US" w:eastAsia="zh-CN"/>
        </w:rPr>
        <w:t>2022年共发放重点优抚对象医疗补助28.22万元，发放人次528人次，每月通过一卡通按时足额发放到人。结余中央资金2.93万元，省级资金3.72万元，合6.65万元，转次年支付。</w:t>
      </w:r>
    </w:p>
    <w:p>
      <w:pPr>
        <w:numPr>
          <w:ilvl w:val="0"/>
          <w:numId w:val="1"/>
        </w:numPr>
        <w:adjustRightInd w:val="0"/>
        <w:snapToGrid w:val="0"/>
        <w:spacing w:line="560" w:lineRule="exact"/>
        <w:ind w:left="0" w:leftChars="0" w:firstLine="720" w:firstLineChars="0"/>
        <w:rPr>
          <w:rFonts w:hint="default" w:ascii="仿宋_GB2312" w:hAnsi="宋体"/>
          <w:lang w:val="en-US" w:eastAsia="zh-CN"/>
        </w:rPr>
      </w:pPr>
      <w:r>
        <w:rPr>
          <w:rFonts w:hint="eastAsia" w:ascii="楷体_GB2312" w:hAnsi="宋体" w:eastAsia="楷体_GB2312"/>
          <w:b/>
          <w:lang w:val="zh-CN"/>
        </w:rPr>
        <w:t>项目效益情况。</w:t>
      </w:r>
      <w:r>
        <w:rPr>
          <w:rFonts w:hint="eastAsia" w:ascii="仿宋_GB2312" w:hAnsi="宋体"/>
          <w:lang w:val="en-US" w:eastAsia="zh-CN"/>
        </w:rPr>
        <w:t>通过发放重点优抚对象医疗补助资金，对优抚对象参保缴费住院和门诊费用进行补助，有效帮助解决优抚对象医疗难问题，优抚对象满意度≥90%</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hint="default" w:ascii="仿宋_GB2312" w:hAnsi="宋体"/>
          <w:lang w:val="en-US" w:eastAsia="zh-CN"/>
        </w:rPr>
      </w:pPr>
      <w:r>
        <w:rPr>
          <w:rFonts w:hint="eastAsia" w:ascii="仿宋_GB2312" w:hAnsi="宋体"/>
          <w:lang w:val="en-US" w:eastAsia="zh-CN"/>
        </w:rPr>
        <w:t>因生病就医时间不等，报销凭证较多，审核程序复杂，财政支付困难，此项资金存在发放不及时问题。</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（二）相关建议。</w:t>
      </w:r>
    </w:p>
    <w:p>
      <w:pPr>
        <w:adjustRightInd w:val="0"/>
        <w:snapToGrid w:val="0"/>
        <w:spacing w:line="560" w:lineRule="exact"/>
        <w:ind w:firstLine="720"/>
        <w:rPr>
          <w:rFonts w:hint="eastAsia" w:ascii="仿宋_GB2312" w:hAnsi="宋体"/>
          <w:lang w:val="en-US" w:eastAsia="zh-CN"/>
        </w:rPr>
      </w:pPr>
      <w:r>
        <w:rPr>
          <w:rFonts w:hint="eastAsia" w:ascii="仿宋_GB2312" w:hAnsi="宋体"/>
          <w:lang w:val="en-US" w:eastAsia="zh-CN"/>
        </w:rPr>
        <w:t>无</w:t>
      </w:r>
    </w:p>
    <w:p>
      <w:pPr>
        <w:adjustRightInd w:val="0"/>
        <w:snapToGrid w:val="0"/>
        <w:spacing w:line="560" w:lineRule="exact"/>
        <w:ind w:firstLine="720"/>
      </w:pPr>
    </w:p>
    <w:p>
      <w:pPr>
        <w:adjustRightInd w:val="0"/>
        <w:snapToGrid w:val="0"/>
        <w:spacing w:line="560" w:lineRule="exact"/>
        <w:ind w:firstLine="720"/>
        <w:rPr>
          <w:rFonts w:hint="eastAsia"/>
          <w:lang w:val="en-US" w:eastAsia="zh-CN"/>
        </w:rPr>
      </w:pPr>
      <w:r>
        <w:rPr>
          <w:rFonts w:hint="eastAsia"/>
          <w:lang w:val="en-US" w:eastAsia="zh-CN"/>
        </w:rPr>
        <w:t>附件：特定目标类部门预算项目绩效目标自评表</w:t>
      </w:r>
    </w:p>
    <w:p>
      <w:pPr>
        <w:adjustRightInd w:val="0"/>
        <w:snapToGrid w:val="0"/>
        <w:spacing w:line="560" w:lineRule="exact"/>
        <w:ind w:firstLine="720"/>
        <w:rPr>
          <w:rFonts w:hint="eastAsia"/>
          <w:lang w:val="en-US" w:eastAsia="zh-CN"/>
        </w:rPr>
      </w:pPr>
    </w:p>
    <w:p>
      <w:pPr>
        <w:adjustRightInd w:val="0"/>
        <w:snapToGrid w:val="0"/>
        <w:spacing w:line="560" w:lineRule="exact"/>
        <w:ind w:firstLine="720"/>
        <w:rPr>
          <w:rFonts w:hint="eastAsia"/>
          <w:lang w:val="en-US" w:eastAsia="zh-CN"/>
        </w:rPr>
      </w:pPr>
    </w:p>
    <w:p>
      <w:pPr>
        <w:adjustRightInd w:val="0"/>
        <w:snapToGrid w:val="0"/>
        <w:spacing w:line="560" w:lineRule="exact"/>
        <w:ind w:firstLine="720"/>
        <w:rPr>
          <w:rFonts w:hint="eastAsia"/>
          <w:lang w:val="en-US" w:eastAsia="zh-CN"/>
        </w:rPr>
      </w:pPr>
    </w:p>
    <w:p>
      <w:pPr>
        <w:adjustRightInd w:val="0"/>
        <w:snapToGrid w:val="0"/>
        <w:spacing w:line="560" w:lineRule="exact"/>
        <w:ind w:firstLine="720"/>
        <w:rPr>
          <w:rFonts w:hint="eastAsia"/>
          <w:lang w:val="en-US" w:eastAsia="zh-CN"/>
        </w:rPr>
      </w:pPr>
    </w:p>
    <w:p>
      <w:pPr>
        <w:adjustRightInd w:val="0"/>
        <w:snapToGrid w:val="0"/>
        <w:spacing w:line="560" w:lineRule="exact"/>
        <w:ind w:firstLine="720"/>
        <w:rPr>
          <w:rFonts w:hint="eastAsia"/>
          <w:lang w:val="en-US" w:eastAsia="zh-CN"/>
        </w:rPr>
      </w:pPr>
    </w:p>
    <w:p>
      <w:pPr>
        <w:adjustRightInd w:val="0"/>
        <w:snapToGrid w:val="0"/>
        <w:spacing w:line="560" w:lineRule="exact"/>
        <w:ind w:firstLine="720"/>
        <w:rPr>
          <w:rFonts w:hint="eastAsia"/>
          <w:lang w:val="en-US" w:eastAsia="zh-CN"/>
        </w:rPr>
      </w:pPr>
    </w:p>
    <w:p>
      <w:pPr>
        <w:adjustRightInd w:val="0"/>
        <w:snapToGrid w:val="0"/>
        <w:spacing w:line="560" w:lineRule="exact"/>
        <w:ind w:firstLine="720"/>
        <w:rPr>
          <w:rFonts w:hint="eastAsia"/>
          <w:lang w:val="en-US" w:eastAsia="zh-CN"/>
        </w:rPr>
      </w:pPr>
    </w:p>
    <w:p>
      <w:pPr>
        <w:adjustRightInd w:val="0"/>
        <w:snapToGrid w:val="0"/>
        <w:spacing w:line="560" w:lineRule="exact"/>
        <w:ind w:firstLine="720"/>
        <w:rPr>
          <w:rFonts w:hint="eastAsia"/>
          <w:lang w:val="en-US" w:eastAsia="zh-CN"/>
        </w:rPr>
      </w:pPr>
    </w:p>
    <w:p>
      <w:pPr>
        <w:adjustRightInd w:val="0"/>
        <w:snapToGrid w:val="0"/>
        <w:spacing w:line="560" w:lineRule="exact"/>
        <w:ind w:firstLine="720"/>
        <w:rPr>
          <w:rFonts w:hint="eastAsia"/>
          <w:lang w:val="en-US" w:eastAsia="zh-CN"/>
        </w:rPr>
      </w:pPr>
    </w:p>
    <w:p>
      <w:pPr>
        <w:adjustRightInd w:val="0"/>
        <w:snapToGrid w:val="0"/>
        <w:spacing w:line="560" w:lineRule="exact"/>
        <w:ind w:firstLine="720"/>
        <w:rPr>
          <w:rFonts w:hint="eastAsia"/>
          <w:lang w:val="en-US" w:eastAsia="zh-CN"/>
        </w:rPr>
      </w:pPr>
    </w:p>
    <w:p>
      <w:pPr>
        <w:adjustRightInd w:val="0"/>
        <w:snapToGrid w:val="0"/>
        <w:spacing w:line="560" w:lineRule="exact"/>
        <w:ind w:firstLine="720"/>
        <w:rPr>
          <w:rFonts w:hint="eastAsia"/>
          <w:lang w:val="en-US" w:eastAsia="zh-CN"/>
        </w:rPr>
      </w:pPr>
    </w:p>
    <w:p>
      <w:pPr>
        <w:adjustRightInd w:val="0"/>
        <w:snapToGrid w:val="0"/>
        <w:spacing w:line="560" w:lineRule="exact"/>
        <w:ind w:firstLine="720"/>
        <w:rPr>
          <w:rFonts w:hint="eastAsia"/>
          <w:lang w:val="en-US" w:eastAsia="zh-CN"/>
        </w:rPr>
      </w:pPr>
    </w:p>
    <w:tbl>
      <w:tblPr>
        <w:tblStyle w:val="3"/>
        <w:tblpPr w:leftFromText="180" w:rightFromText="180" w:vertAnchor="text" w:horzAnchor="page" w:tblpX="1256" w:tblpY="221"/>
        <w:tblOverlap w:val="never"/>
        <w:tblW w:w="5724" w:type="pct"/>
        <w:tblInd w:w="0" w:type="dxa"/>
        <w:tblLayout w:type="autofit"/>
        <w:tblCellMar>
          <w:top w:w="0" w:type="dxa"/>
          <w:left w:w="108" w:type="dxa"/>
          <w:bottom w:w="0" w:type="dxa"/>
          <w:right w:w="108" w:type="dxa"/>
        </w:tblCellMar>
      </w:tblPr>
      <w:tblGrid>
        <w:gridCol w:w="1916"/>
        <w:gridCol w:w="1079"/>
        <w:gridCol w:w="1602"/>
        <w:gridCol w:w="1428"/>
        <w:gridCol w:w="1567"/>
        <w:gridCol w:w="1762"/>
        <w:gridCol w:w="176"/>
        <w:gridCol w:w="226"/>
      </w:tblGrid>
      <w:tr>
        <w:tblPrEx>
          <w:tblCellMar>
            <w:top w:w="0" w:type="dxa"/>
            <w:left w:w="108" w:type="dxa"/>
            <w:bottom w:w="0" w:type="dxa"/>
            <w:right w:w="108" w:type="dxa"/>
          </w:tblCellMar>
        </w:tblPrEx>
        <w:trPr>
          <w:trHeight w:val="675" w:hRule="atLeast"/>
        </w:trPr>
        <w:tc>
          <w:tcPr>
            <w:tcW w:w="4883" w:type="pct"/>
            <w:gridSpan w:val="7"/>
            <w:tcBorders>
              <w:top w:val="nil"/>
              <w:left w:val="nil"/>
              <w:bottom w:val="nil"/>
              <w:right w:val="nil"/>
            </w:tcBorders>
            <w:shd w:val="clear" w:color="auto" w:fill="auto"/>
            <w:vAlign w:val="center"/>
          </w:tcPr>
          <w:p>
            <w:pPr>
              <w:widowControl/>
              <w:jc w:val="center"/>
              <w:textAlignment w:val="center"/>
              <w:rPr>
                <w:rFonts w:eastAsia="宋体"/>
                <w:b/>
                <w:color w:val="000000"/>
                <w:szCs w:val="32"/>
              </w:rPr>
            </w:pPr>
            <w:r>
              <w:rPr>
                <w:rFonts w:eastAsia="宋体"/>
                <w:b/>
                <w:color w:val="000000"/>
                <w:szCs w:val="32"/>
              </w:rPr>
              <w:t>2022年50万元以上（含）特定目标类部门预算项目绩效目标自评</w:t>
            </w:r>
          </w:p>
        </w:tc>
        <w:tc>
          <w:tcPr>
            <w:tcW w:w="116" w:type="pct"/>
            <w:tcBorders>
              <w:top w:val="nil"/>
              <w:left w:val="nil"/>
              <w:bottom w:val="nil"/>
              <w:right w:val="nil"/>
            </w:tcBorders>
            <w:shd w:val="clear" w:color="auto" w:fill="auto"/>
            <w:vAlign w:val="center"/>
          </w:tcPr>
          <w:p>
            <w:pPr>
              <w:widowControl/>
              <w:jc w:val="center"/>
              <w:textAlignment w:val="center"/>
              <w:rPr>
                <w:rFonts w:eastAsia="宋体"/>
                <w:b/>
                <w:color w:val="000000"/>
                <w:kern w:val="0"/>
                <w:szCs w:val="32"/>
                <w:lang w:bidi="ar"/>
              </w:rPr>
            </w:pPr>
          </w:p>
        </w:tc>
      </w:tr>
      <w:tr>
        <w:tblPrEx>
          <w:tblCellMar>
            <w:top w:w="0" w:type="dxa"/>
            <w:left w:w="108" w:type="dxa"/>
            <w:bottom w:w="0" w:type="dxa"/>
            <w:right w:w="108" w:type="dxa"/>
          </w:tblCellMar>
        </w:tblPrEx>
        <w:trPr>
          <w:gridAfter w:val="2"/>
          <w:wAfter w:w="203" w:type="pct"/>
          <w:trHeight w:val="670" w:hRule="atLeast"/>
        </w:trPr>
        <w:tc>
          <w:tcPr>
            <w:tcW w:w="15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主管部门及代码</w:t>
            </w:r>
          </w:p>
        </w:tc>
        <w:tc>
          <w:tcPr>
            <w:tcW w:w="15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eastAsia="仿宋_GB2312"/>
                <w:color w:val="000000"/>
                <w:sz w:val="24"/>
                <w:lang w:val="en-US" w:eastAsia="zh-CN"/>
              </w:rPr>
            </w:pPr>
            <w:r>
              <w:rPr>
                <w:rFonts w:hint="eastAsia"/>
                <w:color w:val="000000"/>
                <w:sz w:val="24"/>
                <w:lang w:val="en-US" w:eastAsia="zh-CN"/>
              </w:rPr>
              <w:t>187001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实施单位</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eastAsia="仿宋_GB2312"/>
                <w:color w:val="000000"/>
                <w:sz w:val="24"/>
                <w:lang w:val="en-US" w:eastAsia="zh-CN"/>
              </w:rPr>
            </w:pPr>
            <w:r>
              <w:rPr>
                <w:rFonts w:hint="eastAsia"/>
                <w:color w:val="000000"/>
                <w:sz w:val="24"/>
                <w:lang w:val="en-US" w:eastAsia="zh-CN"/>
              </w:rPr>
              <w:t>退役军人事务局</w:t>
            </w:r>
          </w:p>
        </w:tc>
      </w:tr>
      <w:tr>
        <w:tblPrEx>
          <w:tblCellMar>
            <w:top w:w="0" w:type="dxa"/>
            <w:left w:w="108" w:type="dxa"/>
            <w:bottom w:w="0" w:type="dxa"/>
            <w:right w:w="108" w:type="dxa"/>
          </w:tblCellMar>
        </w:tblPrEx>
        <w:trPr>
          <w:gridAfter w:val="2"/>
          <w:wAfter w:w="203" w:type="pct"/>
          <w:trHeight w:val="726" w:hRule="atLeast"/>
        </w:trPr>
        <w:tc>
          <w:tcPr>
            <w:tcW w:w="153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项目预算</w:t>
            </w:r>
            <w:r>
              <w:rPr>
                <w:color w:val="000000"/>
                <w:kern w:val="0"/>
                <w:sz w:val="24"/>
                <w:lang w:bidi="ar"/>
              </w:rPr>
              <w:br w:type="textWrapping"/>
            </w:r>
            <w:r>
              <w:rPr>
                <w:color w:val="000000"/>
                <w:kern w:val="0"/>
                <w:sz w:val="24"/>
                <w:lang w:bidi="ar"/>
              </w:rPr>
              <w:t>执行情况</w:t>
            </w:r>
            <w:r>
              <w:rPr>
                <w:color w:val="000000"/>
                <w:kern w:val="0"/>
                <w:sz w:val="24"/>
                <w:lang w:bidi="ar"/>
              </w:rPr>
              <w:br w:type="textWrapping"/>
            </w:r>
            <w:r>
              <w:rPr>
                <w:color w:val="000000"/>
                <w:kern w:val="0"/>
                <w:sz w:val="24"/>
                <w:lang w:bidi="ar"/>
              </w:rPr>
              <w:t>（万元）</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 xml:space="preserve"> 预算数：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eastAsia="仿宋_GB2312"/>
                <w:color w:val="000000"/>
                <w:sz w:val="24"/>
                <w:lang w:val="en-US" w:eastAsia="zh-CN"/>
              </w:rPr>
            </w:pPr>
            <w:r>
              <w:rPr>
                <w:rFonts w:hint="eastAsia"/>
                <w:color w:val="000000"/>
                <w:sz w:val="24"/>
                <w:lang w:val="en-US" w:eastAsia="zh-CN"/>
              </w:rPr>
              <w:t>70.87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 xml:space="preserve"> 执行数：</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center"/>
              <w:rPr>
                <w:rFonts w:hint="default" w:eastAsia="仿宋_GB2312"/>
                <w:color w:val="000000"/>
                <w:sz w:val="24"/>
                <w:lang w:val="en-US" w:eastAsia="zh-CN"/>
              </w:rPr>
            </w:pPr>
            <w:r>
              <w:rPr>
                <w:rFonts w:hint="eastAsia"/>
                <w:color w:val="000000"/>
                <w:sz w:val="24"/>
                <w:lang w:val="en-US" w:eastAsia="zh-CN"/>
              </w:rPr>
              <w:t>28.22</w:t>
            </w:r>
          </w:p>
        </w:tc>
      </w:tr>
      <w:tr>
        <w:tblPrEx>
          <w:tblCellMar>
            <w:top w:w="0" w:type="dxa"/>
            <w:left w:w="108" w:type="dxa"/>
            <w:bottom w:w="0" w:type="dxa"/>
            <w:right w:w="108" w:type="dxa"/>
          </w:tblCellMar>
        </w:tblPrEx>
        <w:trPr>
          <w:gridAfter w:val="2"/>
          <w:wAfter w:w="203" w:type="pct"/>
          <w:trHeight w:val="577" w:hRule="atLeast"/>
        </w:trPr>
        <w:tc>
          <w:tcPr>
            <w:tcW w:w="15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kern w:val="0"/>
                <w:sz w:val="24"/>
                <w:lang w:bidi="ar"/>
              </w:rPr>
            </w:pPr>
            <w:r>
              <w:rPr>
                <w:color w:val="000000"/>
                <w:kern w:val="0"/>
                <w:sz w:val="24"/>
                <w:lang w:bidi="ar"/>
              </w:rPr>
              <w:t>其中：</w:t>
            </w:r>
          </w:p>
          <w:p>
            <w:pPr>
              <w:widowControl/>
              <w:spacing w:line="320" w:lineRule="exact"/>
              <w:jc w:val="left"/>
              <w:textAlignment w:val="center"/>
              <w:rPr>
                <w:color w:val="000000"/>
                <w:sz w:val="24"/>
              </w:rPr>
            </w:pPr>
            <w:r>
              <w:rPr>
                <w:color w:val="000000"/>
                <w:kern w:val="0"/>
                <w:sz w:val="24"/>
                <w:lang w:bidi="ar"/>
              </w:rPr>
              <w:t>财政拨款</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eastAsia="仿宋_GB2312"/>
                <w:color w:val="000000"/>
                <w:sz w:val="24"/>
                <w:lang w:val="en-US" w:eastAsia="zh-CN"/>
              </w:rPr>
            </w:pPr>
            <w:r>
              <w:rPr>
                <w:rFonts w:hint="eastAsia"/>
                <w:color w:val="000000"/>
                <w:sz w:val="24"/>
                <w:lang w:val="en-US" w:eastAsia="zh-CN"/>
              </w:rPr>
              <w:t>70.87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kern w:val="0"/>
                <w:sz w:val="24"/>
                <w:lang w:bidi="ar"/>
              </w:rPr>
            </w:pPr>
            <w:r>
              <w:rPr>
                <w:color w:val="000000"/>
                <w:kern w:val="0"/>
                <w:sz w:val="24"/>
                <w:lang w:bidi="ar"/>
              </w:rPr>
              <w:t>其中：</w:t>
            </w:r>
          </w:p>
          <w:p>
            <w:pPr>
              <w:widowControl/>
              <w:spacing w:line="320" w:lineRule="exact"/>
              <w:jc w:val="left"/>
              <w:textAlignment w:val="center"/>
              <w:rPr>
                <w:color w:val="000000"/>
                <w:sz w:val="24"/>
              </w:rPr>
            </w:pPr>
            <w:r>
              <w:rPr>
                <w:color w:val="000000"/>
                <w:kern w:val="0"/>
                <w:sz w:val="24"/>
                <w:lang w:bidi="ar"/>
              </w:rPr>
              <w:t>财政拨款</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eastAsia="仿宋_GB2312"/>
                <w:color w:val="000000"/>
                <w:sz w:val="24"/>
                <w:lang w:val="en-US" w:eastAsia="zh-CN"/>
              </w:rPr>
            </w:pPr>
            <w:r>
              <w:rPr>
                <w:rFonts w:hint="eastAsia"/>
                <w:color w:val="000000"/>
                <w:sz w:val="24"/>
                <w:lang w:val="en-US" w:eastAsia="zh-CN"/>
              </w:rPr>
              <w:t>28.22</w:t>
            </w:r>
          </w:p>
        </w:tc>
      </w:tr>
      <w:tr>
        <w:tblPrEx>
          <w:tblCellMar>
            <w:top w:w="0" w:type="dxa"/>
            <w:left w:w="108" w:type="dxa"/>
            <w:bottom w:w="0" w:type="dxa"/>
            <w:right w:w="108" w:type="dxa"/>
          </w:tblCellMar>
        </w:tblPrEx>
        <w:trPr>
          <w:gridAfter w:val="2"/>
          <w:wAfter w:w="203" w:type="pct"/>
          <w:trHeight w:val="541" w:hRule="atLeast"/>
        </w:trPr>
        <w:tc>
          <w:tcPr>
            <w:tcW w:w="15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其他资金</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其他资金</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p>
        </w:tc>
      </w:tr>
      <w:tr>
        <w:tblPrEx>
          <w:tblCellMar>
            <w:top w:w="0" w:type="dxa"/>
            <w:left w:w="108" w:type="dxa"/>
            <w:bottom w:w="0" w:type="dxa"/>
            <w:right w:w="108" w:type="dxa"/>
          </w:tblCellMar>
        </w:tblPrEx>
        <w:trPr>
          <w:gridAfter w:val="2"/>
          <w:wAfter w:w="203" w:type="pct"/>
          <w:trHeight w:val="217" w:hRule="atLeast"/>
        </w:trPr>
        <w:tc>
          <w:tcPr>
            <w:tcW w:w="9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4"/>
                <w:lang w:bidi="ar"/>
              </w:rPr>
            </w:pPr>
            <w:r>
              <w:rPr>
                <w:color w:val="000000"/>
                <w:kern w:val="0"/>
                <w:sz w:val="24"/>
                <w:lang w:bidi="ar"/>
              </w:rPr>
              <w:t>年度总体目标</w:t>
            </w:r>
          </w:p>
          <w:p>
            <w:pPr>
              <w:widowControl/>
              <w:spacing w:line="320" w:lineRule="exact"/>
              <w:jc w:val="center"/>
              <w:textAlignment w:val="center"/>
              <w:rPr>
                <w:color w:val="000000"/>
                <w:sz w:val="24"/>
              </w:rPr>
            </w:pPr>
            <w:r>
              <w:rPr>
                <w:color w:val="000000"/>
                <w:kern w:val="0"/>
                <w:sz w:val="24"/>
                <w:lang w:bidi="ar"/>
              </w:rPr>
              <w:t>完成情况</w:t>
            </w:r>
          </w:p>
        </w:tc>
        <w:tc>
          <w:tcPr>
            <w:tcW w:w="21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预期目标</w:t>
            </w:r>
          </w:p>
        </w:tc>
        <w:tc>
          <w:tcPr>
            <w:tcW w:w="17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目标实际完成情况</w:t>
            </w:r>
          </w:p>
        </w:tc>
      </w:tr>
      <w:tr>
        <w:tblPrEx>
          <w:tblCellMar>
            <w:top w:w="0" w:type="dxa"/>
            <w:left w:w="108" w:type="dxa"/>
            <w:bottom w:w="0" w:type="dxa"/>
            <w:right w:w="108" w:type="dxa"/>
          </w:tblCellMar>
        </w:tblPrEx>
        <w:trPr>
          <w:gridAfter w:val="2"/>
          <w:wAfter w:w="203" w:type="pct"/>
          <w:trHeight w:val="1297" w:hRule="atLeast"/>
        </w:trPr>
        <w:tc>
          <w:tcPr>
            <w:tcW w:w="9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2106" w:type="pct"/>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eastAsia="仿宋_GB2312"/>
                <w:color w:val="000000"/>
                <w:sz w:val="24"/>
                <w:lang w:val="en-US" w:eastAsia="zh-CN"/>
              </w:rPr>
            </w:pPr>
            <w:r>
              <w:rPr>
                <w:rFonts w:hint="default" w:eastAsia="仿宋_GB2312"/>
                <w:color w:val="000000"/>
                <w:sz w:val="24"/>
                <w:lang w:val="en-US" w:eastAsia="zh-CN"/>
              </w:rPr>
              <w:t>通过发放优抚对象医疗补助资金，对优抚对象参保缴费住院和门诊费用进行补助，有效帮助解决优抚对象医疗难问题。</w:t>
            </w:r>
          </w:p>
        </w:tc>
        <w:tc>
          <w:tcPr>
            <w:tcW w:w="1706" w:type="pct"/>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eastAsia="仿宋_GB2312"/>
                <w:color w:val="000000"/>
                <w:sz w:val="24"/>
                <w:lang w:val="en-US" w:eastAsia="zh-CN"/>
              </w:rPr>
            </w:pPr>
            <w:r>
              <w:rPr>
                <w:rFonts w:hint="eastAsia"/>
                <w:color w:val="000000"/>
                <w:sz w:val="24"/>
                <w:lang w:val="en-US" w:eastAsia="zh-CN"/>
              </w:rPr>
              <w:t>发放优抚对象抚恤和生活补助28.22万元，发放人次528人次。</w:t>
            </w:r>
          </w:p>
        </w:tc>
      </w:tr>
      <w:tr>
        <w:tblPrEx>
          <w:tblCellMar>
            <w:top w:w="0" w:type="dxa"/>
            <w:left w:w="108" w:type="dxa"/>
            <w:bottom w:w="0" w:type="dxa"/>
            <w:right w:w="108" w:type="dxa"/>
          </w:tblCellMar>
        </w:tblPrEx>
        <w:trPr>
          <w:gridAfter w:val="2"/>
          <w:wAfter w:w="203" w:type="pct"/>
          <w:trHeight w:val="738" w:hRule="atLeast"/>
        </w:trPr>
        <w:tc>
          <w:tcPr>
            <w:tcW w:w="982"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年度绩效指标完成情况</w:t>
            </w:r>
          </w:p>
        </w:tc>
        <w:tc>
          <w:tcPr>
            <w:tcW w:w="552" w:type="pct"/>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一级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二级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三级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预期指标值</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实际完成指标值</w:t>
            </w:r>
          </w:p>
        </w:tc>
      </w:tr>
      <w:tr>
        <w:tblPrEx>
          <w:tblCellMar>
            <w:top w:w="0" w:type="dxa"/>
            <w:left w:w="108" w:type="dxa"/>
            <w:bottom w:w="0" w:type="dxa"/>
            <w:right w:w="108" w:type="dxa"/>
          </w:tblCellMar>
        </w:tblPrEx>
        <w:trPr>
          <w:gridAfter w:val="2"/>
          <w:wAfter w:w="203" w:type="pct"/>
          <w:trHeight w:val="480" w:hRule="atLeast"/>
        </w:trPr>
        <w:tc>
          <w:tcPr>
            <w:tcW w:w="98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8"/>
                <w:szCs w:val="28"/>
                <w:lang w:bidi="ar"/>
              </w:rPr>
            </w:pPr>
            <w:r>
              <w:rPr>
                <w:color w:val="000000"/>
                <w:kern w:val="0"/>
                <w:sz w:val="28"/>
                <w:szCs w:val="28"/>
                <w:lang w:bidi="ar"/>
              </w:rPr>
              <w:t>完成</w:t>
            </w:r>
          </w:p>
          <w:p>
            <w:pPr>
              <w:widowControl/>
              <w:spacing w:line="320" w:lineRule="exact"/>
              <w:jc w:val="center"/>
              <w:textAlignment w:val="bottom"/>
              <w:rPr>
                <w:color w:val="000000"/>
                <w:sz w:val="28"/>
                <w:szCs w:val="28"/>
              </w:rPr>
            </w:pPr>
            <w:r>
              <w:rPr>
                <w:color w:val="000000"/>
                <w:kern w:val="0"/>
                <w:sz w:val="28"/>
                <w:szCs w:val="28"/>
                <w:lang w:bidi="ar"/>
              </w:rPr>
              <w:t>指标</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4"/>
                <w:szCs w:val="24"/>
              </w:rPr>
            </w:pPr>
            <w:r>
              <w:rPr>
                <w:color w:val="000000"/>
                <w:kern w:val="0"/>
                <w:sz w:val="24"/>
                <w:szCs w:val="24"/>
                <w:lang w:bidi="ar"/>
              </w:rPr>
              <w:t>数量指标</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default" w:ascii="Times New Roman" w:hAnsi="Times New Roman" w:cs="Times New Roman"/>
                <w:color w:val="000000"/>
                <w:kern w:val="0"/>
                <w:sz w:val="24"/>
                <w:lang w:val="en-US" w:eastAsia="zh-CN" w:bidi="ar"/>
              </w:rPr>
            </w:pPr>
            <w:r>
              <w:rPr>
                <w:rFonts w:hint="eastAsia" w:ascii="Times New Roman" w:hAnsi="Times New Roman" w:cs="Times New Roman"/>
                <w:color w:val="000000"/>
                <w:kern w:val="0"/>
                <w:sz w:val="24"/>
                <w:lang w:val="en-US" w:eastAsia="zh-CN" w:bidi="ar"/>
              </w:rPr>
              <w:t>发放人次</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default" w:ascii="Times New Roman" w:hAnsi="Times New Roman" w:cs="Times New Roman"/>
                <w:color w:val="000000"/>
                <w:kern w:val="0"/>
                <w:sz w:val="24"/>
                <w:lang w:val="en-US" w:eastAsia="zh-CN" w:bidi="ar"/>
              </w:rPr>
            </w:pPr>
            <w:r>
              <w:rPr>
                <w:rFonts w:hint="eastAsia" w:cs="Times New Roman"/>
                <w:color w:val="000000"/>
                <w:kern w:val="0"/>
                <w:sz w:val="24"/>
                <w:lang w:val="en-US" w:eastAsia="zh-CN" w:bidi="ar"/>
              </w:rPr>
              <w:t>500人次</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default" w:ascii="Times New Roman" w:hAnsi="Times New Roman" w:cs="Times New Roman"/>
                <w:color w:val="000000"/>
                <w:kern w:val="0"/>
                <w:sz w:val="24"/>
                <w:lang w:val="en-US" w:eastAsia="zh-CN" w:bidi="ar"/>
              </w:rPr>
            </w:pPr>
            <w:r>
              <w:rPr>
                <w:rFonts w:hint="eastAsia" w:cs="Times New Roman"/>
                <w:color w:val="000000"/>
                <w:kern w:val="0"/>
                <w:sz w:val="24"/>
                <w:lang w:val="en-US" w:eastAsia="zh-CN" w:bidi="ar"/>
              </w:rPr>
              <w:t>528人次</w:t>
            </w:r>
          </w:p>
        </w:tc>
      </w:tr>
      <w:tr>
        <w:tblPrEx>
          <w:tblCellMar>
            <w:top w:w="0" w:type="dxa"/>
            <w:left w:w="108" w:type="dxa"/>
            <w:bottom w:w="0" w:type="dxa"/>
            <w:right w:w="108" w:type="dxa"/>
          </w:tblCellMar>
        </w:tblPrEx>
        <w:trPr>
          <w:gridAfter w:val="2"/>
          <w:wAfter w:w="203" w:type="pct"/>
          <w:trHeight w:val="480" w:hRule="atLeast"/>
        </w:trPr>
        <w:tc>
          <w:tcPr>
            <w:tcW w:w="98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4"/>
                <w:szCs w:val="24"/>
              </w:rPr>
            </w:pPr>
            <w:r>
              <w:rPr>
                <w:color w:val="000000"/>
                <w:kern w:val="0"/>
                <w:sz w:val="24"/>
                <w:szCs w:val="24"/>
                <w:lang w:bidi="ar"/>
              </w:rPr>
              <w:t>质量指标</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default" w:ascii="Times New Roman" w:hAnsi="Times New Roman" w:cs="Times New Roman"/>
                <w:color w:val="000000"/>
                <w:kern w:val="0"/>
                <w:sz w:val="24"/>
                <w:lang w:val="en-US" w:eastAsia="zh-CN" w:bidi="ar"/>
              </w:rPr>
            </w:pPr>
            <w:r>
              <w:rPr>
                <w:rFonts w:hint="eastAsia" w:ascii="Times New Roman" w:hAnsi="Times New Roman" w:cs="Times New Roman"/>
                <w:color w:val="000000"/>
                <w:kern w:val="0"/>
                <w:sz w:val="24"/>
                <w:lang w:val="en-US" w:eastAsia="zh-CN" w:bidi="ar"/>
              </w:rPr>
              <w:t>资金按政策足额支付率</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default" w:ascii="Times New Roman" w:hAnsi="Times New Roman" w:cs="Times New Roman"/>
                <w:color w:val="000000"/>
                <w:kern w:val="0"/>
                <w:sz w:val="24"/>
                <w:lang w:val="en-US" w:eastAsia="zh-CN" w:bidi="ar"/>
              </w:rPr>
            </w:pPr>
            <w:r>
              <w:rPr>
                <w:rFonts w:hint="eastAsia" w:ascii="Times New Roman" w:hAnsi="Times New Roman" w:cs="Times New Roman"/>
                <w:color w:val="000000"/>
                <w:kern w:val="0"/>
                <w:sz w:val="24"/>
                <w:lang w:val="en-US" w:eastAsia="zh-CN" w:bidi="ar"/>
              </w:rPr>
              <w:t>100%</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default" w:ascii="Times New Roman" w:hAnsi="Times New Roman" w:cs="Times New Roman"/>
                <w:color w:val="000000"/>
                <w:kern w:val="0"/>
                <w:sz w:val="24"/>
                <w:lang w:val="en-US" w:eastAsia="zh-CN" w:bidi="ar"/>
              </w:rPr>
            </w:pPr>
            <w:r>
              <w:rPr>
                <w:rFonts w:hint="eastAsia" w:ascii="Times New Roman" w:hAnsi="Times New Roman" w:cs="Times New Roman"/>
                <w:color w:val="000000"/>
                <w:kern w:val="0"/>
                <w:sz w:val="24"/>
                <w:lang w:val="en-US" w:eastAsia="zh-CN" w:bidi="ar"/>
              </w:rPr>
              <w:t>100%</w:t>
            </w:r>
          </w:p>
        </w:tc>
      </w:tr>
      <w:tr>
        <w:tblPrEx>
          <w:tblCellMar>
            <w:top w:w="0" w:type="dxa"/>
            <w:left w:w="108" w:type="dxa"/>
            <w:bottom w:w="0" w:type="dxa"/>
            <w:right w:w="108" w:type="dxa"/>
          </w:tblCellMar>
        </w:tblPrEx>
        <w:trPr>
          <w:gridAfter w:val="2"/>
          <w:wAfter w:w="203" w:type="pct"/>
          <w:trHeight w:val="480" w:hRule="atLeast"/>
        </w:trPr>
        <w:tc>
          <w:tcPr>
            <w:tcW w:w="98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4"/>
                <w:szCs w:val="24"/>
              </w:rPr>
            </w:pPr>
            <w:r>
              <w:rPr>
                <w:color w:val="000000"/>
                <w:kern w:val="0"/>
                <w:sz w:val="24"/>
                <w:szCs w:val="24"/>
                <w:lang w:bidi="ar"/>
              </w:rPr>
              <w:t>时效指标</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default" w:ascii="Times New Roman" w:hAnsi="Times New Roman" w:cs="Times New Roman"/>
                <w:color w:val="000000"/>
                <w:kern w:val="0"/>
                <w:sz w:val="24"/>
                <w:lang w:val="en-US" w:eastAsia="zh-CN" w:bidi="ar"/>
              </w:rPr>
            </w:pPr>
            <w:r>
              <w:rPr>
                <w:rFonts w:hint="eastAsia" w:ascii="Times New Roman" w:hAnsi="Times New Roman" w:cs="Times New Roman"/>
                <w:color w:val="000000"/>
                <w:kern w:val="0"/>
                <w:sz w:val="24"/>
                <w:lang w:val="en-US" w:eastAsia="zh-CN" w:bidi="ar"/>
              </w:rPr>
              <w:t>拨付时间</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default" w:ascii="Times New Roman" w:hAnsi="Times New Roman" w:cs="Times New Roman"/>
                <w:color w:val="000000"/>
                <w:kern w:val="0"/>
                <w:sz w:val="24"/>
                <w:lang w:val="en-US" w:eastAsia="zh-CN" w:bidi="ar"/>
              </w:rPr>
            </w:pPr>
            <w:r>
              <w:rPr>
                <w:rFonts w:hint="eastAsia" w:ascii="Times New Roman" w:hAnsi="Times New Roman" w:cs="Times New Roman"/>
                <w:color w:val="000000"/>
                <w:kern w:val="0"/>
                <w:sz w:val="24"/>
                <w:lang w:val="en-US" w:eastAsia="zh-CN" w:bidi="ar"/>
              </w:rPr>
              <w:t>按</w:t>
            </w:r>
            <w:r>
              <w:rPr>
                <w:rFonts w:hint="eastAsia" w:cs="Times New Roman"/>
                <w:color w:val="000000"/>
                <w:kern w:val="0"/>
                <w:sz w:val="24"/>
                <w:lang w:val="en-US" w:eastAsia="zh-CN" w:bidi="ar"/>
              </w:rPr>
              <w:t>季</w:t>
            </w:r>
            <w:r>
              <w:rPr>
                <w:rFonts w:hint="eastAsia" w:ascii="Times New Roman" w:hAnsi="Times New Roman" w:cs="Times New Roman"/>
                <w:color w:val="000000"/>
                <w:kern w:val="0"/>
                <w:sz w:val="24"/>
                <w:lang w:val="en-US" w:eastAsia="zh-CN" w:bidi="ar"/>
              </w:rPr>
              <w:t>拨付</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default" w:ascii="Times New Roman" w:hAnsi="Times New Roman" w:cs="Times New Roman"/>
                <w:color w:val="000000"/>
                <w:kern w:val="0"/>
                <w:sz w:val="24"/>
                <w:lang w:val="en-US" w:eastAsia="zh-CN" w:bidi="ar"/>
              </w:rPr>
            </w:pPr>
            <w:r>
              <w:rPr>
                <w:rFonts w:hint="eastAsia" w:cs="Times New Roman"/>
                <w:color w:val="000000"/>
                <w:kern w:val="0"/>
                <w:sz w:val="24"/>
                <w:lang w:val="en-US" w:eastAsia="zh-CN" w:bidi="ar"/>
              </w:rPr>
              <w:t>实付3个季度</w:t>
            </w:r>
          </w:p>
        </w:tc>
      </w:tr>
      <w:tr>
        <w:tblPrEx>
          <w:tblCellMar>
            <w:top w:w="0" w:type="dxa"/>
            <w:left w:w="108" w:type="dxa"/>
            <w:bottom w:w="0" w:type="dxa"/>
            <w:right w:w="108" w:type="dxa"/>
          </w:tblCellMar>
        </w:tblPrEx>
        <w:trPr>
          <w:gridAfter w:val="2"/>
          <w:wAfter w:w="203" w:type="pct"/>
          <w:trHeight w:val="480" w:hRule="atLeast"/>
        </w:trPr>
        <w:tc>
          <w:tcPr>
            <w:tcW w:w="98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4"/>
                <w:szCs w:val="24"/>
              </w:rPr>
            </w:pPr>
            <w:r>
              <w:rPr>
                <w:color w:val="000000"/>
                <w:kern w:val="0"/>
                <w:sz w:val="24"/>
                <w:szCs w:val="24"/>
                <w:lang w:bidi="ar"/>
              </w:rPr>
              <w:t>成本指标</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default" w:ascii="Times New Roman" w:hAnsi="Times New Roman" w:cs="Times New Roman"/>
                <w:color w:val="000000"/>
                <w:kern w:val="0"/>
                <w:sz w:val="24"/>
                <w:lang w:val="en-US" w:eastAsia="zh-CN" w:bidi="ar"/>
              </w:rPr>
            </w:pPr>
            <w:r>
              <w:rPr>
                <w:rFonts w:hint="eastAsia" w:ascii="Times New Roman" w:hAnsi="Times New Roman" w:cs="Times New Roman"/>
                <w:color w:val="000000"/>
                <w:kern w:val="0"/>
                <w:sz w:val="24"/>
                <w:lang w:val="en-US" w:eastAsia="zh-CN" w:bidi="ar"/>
              </w:rPr>
              <w:t>地方经济补助金</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default" w:ascii="Times New Roman" w:hAnsi="Times New Roman" w:cs="Times New Roman"/>
                <w:color w:val="000000"/>
                <w:kern w:val="0"/>
                <w:sz w:val="24"/>
                <w:lang w:val="en-US" w:eastAsia="zh-CN" w:bidi="ar"/>
              </w:rPr>
            </w:pPr>
            <w:r>
              <w:rPr>
                <w:rFonts w:hint="eastAsia" w:cs="Times New Roman"/>
                <w:color w:val="000000"/>
                <w:kern w:val="0"/>
                <w:sz w:val="24"/>
                <w:lang w:val="en-US" w:eastAsia="zh-CN" w:bidi="ar"/>
              </w:rPr>
              <w:t>70.87万元</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default" w:ascii="Times New Roman" w:hAnsi="Times New Roman" w:cs="Times New Roman"/>
                <w:color w:val="000000"/>
                <w:kern w:val="0"/>
                <w:sz w:val="24"/>
                <w:lang w:val="en-US" w:eastAsia="zh-CN" w:bidi="ar"/>
              </w:rPr>
            </w:pPr>
            <w:r>
              <w:rPr>
                <w:rFonts w:hint="eastAsia" w:cs="Times New Roman"/>
                <w:color w:val="000000"/>
                <w:kern w:val="0"/>
                <w:sz w:val="24"/>
                <w:lang w:val="en-US" w:eastAsia="zh-CN" w:bidi="ar"/>
              </w:rPr>
              <w:t>28.22万元</w:t>
            </w:r>
          </w:p>
        </w:tc>
      </w:tr>
      <w:tr>
        <w:tblPrEx>
          <w:tblCellMar>
            <w:top w:w="0" w:type="dxa"/>
            <w:left w:w="108" w:type="dxa"/>
            <w:bottom w:w="0" w:type="dxa"/>
            <w:right w:w="108" w:type="dxa"/>
          </w:tblCellMar>
        </w:tblPrEx>
        <w:trPr>
          <w:gridAfter w:val="2"/>
          <w:wAfter w:w="203" w:type="pct"/>
          <w:trHeight w:val="480" w:hRule="atLeast"/>
        </w:trPr>
        <w:tc>
          <w:tcPr>
            <w:tcW w:w="98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8"/>
                <w:szCs w:val="28"/>
              </w:rPr>
            </w:pPr>
            <w:r>
              <w:rPr>
                <w:color w:val="000000"/>
                <w:kern w:val="0"/>
                <w:sz w:val="28"/>
                <w:szCs w:val="28"/>
                <w:lang w:bidi="ar"/>
              </w:rPr>
              <w:t>效益</w:t>
            </w:r>
            <w:r>
              <w:rPr>
                <w:color w:val="000000"/>
                <w:kern w:val="0"/>
                <w:sz w:val="28"/>
                <w:szCs w:val="28"/>
                <w:lang w:bidi="ar"/>
              </w:rPr>
              <w:br w:type="textWrapping"/>
            </w:r>
            <w:r>
              <w:rPr>
                <w:color w:val="000000"/>
                <w:kern w:val="0"/>
                <w:sz w:val="28"/>
                <w:szCs w:val="28"/>
                <w:lang w:bidi="ar"/>
              </w:rPr>
              <w:t>指标</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4"/>
                <w:szCs w:val="24"/>
              </w:rPr>
            </w:pPr>
            <w:r>
              <w:rPr>
                <w:color w:val="000000"/>
                <w:kern w:val="0"/>
                <w:sz w:val="24"/>
                <w:szCs w:val="24"/>
                <w:lang w:bidi="ar"/>
              </w:rPr>
              <w:t>经济效益  指标</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Times New Roman" w:hAnsi="Times New Roman" w:cs="Times New Roman"/>
                <w:color w:val="000000"/>
                <w:kern w:val="0"/>
                <w:sz w:val="24"/>
                <w:lang w:bidi="ar"/>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Times New Roman" w:hAnsi="Times New Roman" w:cs="Times New Roman"/>
                <w:color w:val="000000"/>
                <w:kern w:val="0"/>
                <w:sz w:val="24"/>
                <w:lang w:bidi="ar"/>
              </w:rPr>
            </w:pP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Times New Roman" w:hAnsi="Times New Roman" w:cs="Times New Roman"/>
                <w:color w:val="000000"/>
                <w:kern w:val="0"/>
                <w:sz w:val="24"/>
                <w:lang w:bidi="ar"/>
              </w:rPr>
            </w:pPr>
          </w:p>
        </w:tc>
      </w:tr>
      <w:tr>
        <w:tblPrEx>
          <w:tblCellMar>
            <w:top w:w="0" w:type="dxa"/>
            <w:left w:w="108" w:type="dxa"/>
            <w:bottom w:w="0" w:type="dxa"/>
            <w:right w:w="108" w:type="dxa"/>
          </w:tblCellMar>
        </w:tblPrEx>
        <w:trPr>
          <w:gridAfter w:val="2"/>
          <w:wAfter w:w="203" w:type="pct"/>
          <w:trHeight w:val="480" w:hRule="atLeast"/>
        </w:trPr>
        <w:tc>
          <w:tcPr>
            <w:tcW w:w="98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4"/>
                <w:szCs w:val="24"/>
              </w:rPr>
            </w:pPr>
            <w:r>
              <w:rPr>
                <w:color w:val="000000"/>
                <w:kern w:val="0"/>
                <w:sz w:val="24"/>
                <w:szCs w:val="24"/>
                <w:lang w:bidi="ar"/>
              </w:rPr>
              <w:t>社会效益  指标</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default" w:ascii="Times New Roman" w:hAnsi="Times New Roman" w:cs="Times New Roman"/>
                <w:color w:val="000000"/>
                <w:kern w:val="0"/>
                <w:sz w:val="24"/>
                <w:lang w:val="en-US" w:eastAsia="zh-CN" w:bidi="ar"/>
              </w:rPr>
            </w:pPr>
            <w:r>
              <w:rPr>
                <w:rFonts w:hint="eastAsia" w:ascii="Times New Roman" w:hAnsi="Times New Roman" w:cs="Times New Roman"/>
                <w:color w:val="000000"/>
                <w:kern w:val="0"/>
                <w:sz w:val="24"/>
                <w:lang w:val="en-US" w:eastAsia="zh-CN" w:bidi="ar"/>
              </w:rPr>
              <w:t>优抚对象医疗难问题改善情况</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default" w:ascii="Times New Roman" w:hAnsi="Times New Roman" w:cs="Times New Roman"/>
                <w:color w:val="000000"/>
                <w:kern w:val="0"/>
                <w:sz w:val="24"/>
                <w:lang w:val="en-US" w:eastAsia="zh-CN" w:bidi="ar"/>
              </w:rPr>
            </w:pPr>
            <w:r>
              <w:rPr>
                <w:rFonts w:hint="eastAsia" w:ascii="Times New Roman" w:hAnsi="Times New Roman" w:cs="Times New Roman"/>
                <w:color w:val="000000"/>
                <w:kern w:val="0"/>
                <w:sz w:val="24"/>
                <w:lang w:val="en-US" w:eastAsia="zh-CN" w:bidi="ar"/>
              </w:rPr>
              <w:t>有效提升</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default" w:ascii="Times New Roman" w:hAnsi="Times New Roman" w:cs="Times New Roman"/>
                <w:color w:val="000000"/>
                <w:kern w:val="0"/>
                <w:sz w:val="24"/>
                <w:lang w:val="en-US" w:eastAsia="zh-CN" w:bidi="ar"/>
              </w:rPr>
            </w:pPr>
            <w:r>
              <w:rPr>
                <w:rFonts w:hint="eastAsia" w:ascii="Times New Roman" w:hAnsi="Times New Roman" w:cs="Times New Roman"/>
                <w:color w:val="000000"/>
                <w:kern w:val="0"/>
                <w:sz w:val="24"/>
                <w:lang w:val="en-US" w:eastAsia="zh-CN" w:bidi="ar"/>
              </w:rPr>
              <w:t>有效</w:t>
            </w:r>
            <w:r>
              <w:rPr>
                <w:rFonts w:hint="eastAsia" w:cs="Times New Roman"/>
                <w:color w:val="000000"/>
                <w:kern w:val="0"/>
                <w:sz w:val="24"/>
                <w:lang w:val="en-US" w:eastAsia="zh-CN" w:bidi="ar"/>
              </w:rPr>
              <w:t>提升</w:t>
            </w:r>
          </w:p>
        </w:tc>
      </w:tr>
      <w:tr>
        <w:tblPrEx>
          <w:tblCellMar>
            <w:top w:w="0" w:type="dxa"/>
            <w:left w:w="108" w:type="dxa"/>
            <w:bottom w:w="0" w:type="dxa"/>
            <w:right w:w="108" w:type="dxa"/>
          </w:tblCellMar>
        </w:tblPrEx>
        <w:trPr>
          <w:gridAfter w:val="2"/>
          <w:wAfter w:w="203" w:type="pct"/>
          <w:trHeight w:val="577" w:hRule="atLeast"/>
        </w:trPr>
        <w:tc>
          <w:tcPr>
            <w:tcW w:w="98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518" w:leftChars="87" w:hanging="240" w:hangingChars="100"/>
              <w:jc w:val="both"/>
              <w:textAlignment w:val="bottom"/>
              <w:rPr>
                <w:color w:val="000000"/>
                <w:sz w:val="24"/>
                <w:szCs w:val="24"/>
              </w:rPr>
            </w:pPr>
            <w:r>
              <w:rPr>
                <w:color w:val="000000"/>
                <w:kern w:val="0"/>
                <w:sz w:val="24"/>
                <w:szCs w:val="24"/>
                <w:lang w:bidi="ar"/>
              </w:rPr>
              <w:t>生态效益  指标</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Times New Roman" w:hAnsi="Times New Roman" w:cs="Times New Roman"/>
                <w:color w:val="000000"/>
                <w:kern w:val="0"/>
                <w:sz w:val="24"/>
                <w:lang w:bidi="ar"/>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Times New Roman" w:hAnsi="Times New Roman" w:cs="Times New Roman"/>
                <w:color w:val="000000"/>
                <w:kern w:val="0"/>
                <w:sz w:val="24"/>
                <w:lang w:bidi="ar"/>
              </w:rPr>
            </w:pP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Times New Roman" w:hAnsi="Times New Roman" w:cs="Times New Roman"/>
                <w:color w:val="000000"/>
                <w:kern w:val="0"/>
                <w:sz w:val="24"/>
                <w:lang w:bidi="ar"/>
              </w:rPr>
            </w:pPr>
          </w:p>
        </w:tc>
      </w:tr>
      <w:tr>
        <w:tblPrEx>
          <w:tblCellMar>
            <w:top w:w="0" w:type="dxa"/>
            <w:left w:w="108" w:type="dxa"/>
            <w:bottom w:w="0" w:type="dxa"/>
            <w:right w:w="108" w:type="dxa"/>
          </w:tblCellMar>
        </w:tblPrEx>
        <w:trPr>
          <w:gridAfter w:val="2"/>
          <w:wAfter w:w="203" w:type="pct"/>
          <w:trHeight w:val="480" w:hRule="atLeast"/>
        </w:trPr>
        <w:tc>
          <w:tcPr>
            <w:tcW w:w="98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4"/>
                <w:szCs w:val="24"/>
              </w:rPr>
            </w:pPr>
            <w:r>
              <w:rPr>
                <w:color w:val="000000"/>
                <w:kern w:val="0"/>
                <w:sz w:val="24"/>
                <w:szCs w:val="24"/>
                <w:lang w:bidi="ar"/>
              </w:rPr>
              <w:t>可持续影响 指标</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Times New Roman" w:hAnsi="Times New Roman" w:cs="Times New Roman"/>
                <w:color w:val="000000"/>
                <w:kern w:val="0"/>
                <w:sz w:val="24"/>
                <w:lang w:bidi="ar"/>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Times New Roman" w:hAnsi="Times New Roman" w:cs="Times New Roman"/>
                <w:color w:val="000000"/>
                <w:kern w:val="0"/>
                <w:sz w:val="24"/>
                <w:lang w:bidi="ar"/>
              </w:rPr>
            </w:pP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Times New Roman" w:hAnsi="Times New Roman" w:cs="Times New Roman"/>
                <w:color w:val="000000"/>
                <w:kern w:val="0"/>
                <w:sz w:val="24"/>
                <w:lang w:bidi="ar"/>
              </w:rPr>
            </w:pPr>
          </w:p>
        </w:tc>
      </w:tr>
      <w:tr>
        <w:tblPrEx>
          <w:tblCellMar>
            <w:top w:w="0" w:type="dxa"/>
            <w:left w:w="108" w:type="dxa"/>
            <w:bottom w:w="0" w:type="dxa"/>
            <w:right w:w="108" w:type="dxa"/>
          </w:tblCellMar>
        </w:tblPrEx>
        <w:trPr>
          <w:gridAfter w:val="2"/>
          <w:wAfter w:w="203" w:type="pct"/>
          <w:trHeight w:val="480" w:hRule="atLeast"/>
        </w:trPr>
        <w:tc>
          <w:tcPr>
            <w:tcW w:w="982" w:type="pct"/>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满意</w:t>
            </w:r>
            <w:r>
              <w:rPr>
                <w:color w:val="000000"/>
                <w:kern w:val="0"/>
                <w:sz w:val="28"/>
                <w:szCs w:val="28"/>
                <w:lang w:bidi="ar"/>
              </w:rPr>
              <w:br w:type="textWrapping"/>
            </w:r>
            <w:r>
              <w:rPr>
                <w:color w:val="000000"/>
                <w:kern w:val="0"/>
                <w:sz w:val="28"/>
                <w:szCs w:val="28"/>
                <w:lang w:bidi="ar"/>
              </w:rPr>
              <w:t>度指标</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kern w:val="0"/>
                <w:sz w:val="24"/>
                <w:szCs w:val="24"/>
                <w:lang w:bidi="ar"/>
              </w:rPr>
            </w:pPr>
            <w:r>
              <w:rPr>
                <w:color w:val="000000"/>
                <w:kern w:val="0"/>
                <w:sz w:val="24"/>
                <w:szCs w:val="24"/>
                <w:lang w:bidi="ar"/>
              </w:rPr>
              <w:t>满意度</w:t>
            </w:r>
          </w:p>
          <w:p>
            <w:pPr>
              <w:widowControl/>
              <w:spacing w:line="320" w:lineRule="exact"/>
              <w:jc w:val="center"/>
              <w:textAlignment w:val="bottom"/>
              <w:rPr>
                <w:color w:val="000000"/>
                <w:sz w:val="24"/>
                <w:szCs w:val="24"/>
              </w:rPr>
            </w:pPr>
            <w:r>
              <w:rPr>
                <w:color w:val="000000"/>
                <w:kern w:val="0"/>
                <w:sz w:val="24"/>
                <w:szCs w:val="24"/>
                <w:lang w:bidi="ar"/>
              </w:rPr>
              <w:t>指标</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default" w:ascii="Times New Roman" w:hAnsi="Times New Roman" w:cs="Times New Roman"/>
                <w:color w:val="000000"/>
                <w:kern w:val="0"/>
                <w:sz w:val="24"/>
                <w:lang w:val="en-US" w:eastAsia="zh-CN" w:bidi="ar"/>
              </w:rPr>
            </w:pPr>
            <w:r>
              <w:rPr>
                <w:rFonts w:hint="eastAsia" w:ascii="Times New Roman" w:hAnsi="Times New Roman" w:cs="Times New Roman"/>
                <w:color w:val="000000"/>
                <w:kern w:val="0"/>
                <w:sz w:val="24"/>
                <w:lang w:val="en-US" w:eastAsia="zh-CN" w:bidi="ar"/>
              </w:rPr>
              <w:t>优抚对象满意度</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Times New Roman" w:hAnsi="Times New Roman" w:cs="Times New Roman"/>
                <w:color w:val="000000"/>
                <w:kern w:val="0"/>
                <w:sz w:val="24"/>
                <w:lang w:bidi="ar"/>
              </w:rPr>
            </w:pPr>
            <w:r>
              <w:rPr>
                <w:rFonts w:hint="eastAsia" w:ascii="Times New Roman" w:hAnsi="Times New Roman" w:cs="Times New Roman"/>
                <w:color w:val="000000"/>
                <w:kern w:val="0"/>
                <w:sz w:val="24"/>
                <w:lang w:bidi="ar"/>
              </w:rPr>
              <w:t>≥90%</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Times New Roman" w:hAnsi="Times New Roman" w:cs="Times New Roman"/>
                <w:color w:val="000000"/>
                <w:kern w:val="0"/>
                <w:sz w:val="24"/>
                <w:lang w:bidi="ar"/>
              </w:rPr>
            </w:pPr>
            <w:r>
              <w:rPr>
                <w:rFonts w:hint="eastAsia" w:ascii="Times New Roman" w:hAnsi="Times New Roman" w:cs="Times New Roman"/>
                <w:color w:val="000000"/>
                <w:kern w:val="0"/>
                <w:sz w:val="24"/>
                <w:lang w:bidi="ar"/>
              </w:rPr>
              <w:t>≥90%</w:t>
            </w:r>
          </w:p>
        </w:tc>
      </w:tr>
    </w:tbl>
    <w:p>
      <w:pPr>
        <w:adjustRightInd w:val="0"/>
        <w:snapToGrid w:val="0"/>
        <w:spacing w:line="560" w:lineRule="exact"/>
        <w:ind w:firstLine="72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5D31EF"/>
    <w:multiLevelType w:val="singleLevel"/>
    <w:tmpl w:val="FA5D31E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C455A"/>
    <w:rsid w:val="003414A3"/>
    <w:rsid w:val="00515A0C"/>
    <w:rsid w:val="00866E99"/>
    <w:rsid w:val="0EDB478C"/>
    <w:rsid w:val="18C12A8F"/>
    <w:rsid w:val="1C7B5687"/>
    <w:rsid w:val="291C455A"/>
    <w:rsid w:val="36926D0C"/>
    <w:rsid w:val="4DAF2BCF"/>
    <w:rsid w:val="4DDB6F66"/>
    <w:rsid w:val="709F7BF9"/>
    <w:rsid w:val="74AE17FA"/>
    <w:rsid w:val="792F2AEE"/>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宋体"/>
      <w:sz w:val="18"/>
      <w:szCs w:val="18"/>
    </w:rPr>
  </w:style>
  <w:style w:type="paragraph" w:customStyle="1" w:styleId="5">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133</Words>
  <Characters>762</Characters>
  <Lines>6</Lines>
  <Paragraphs>1</Paragraphs>
  <TotalTime>12</TotalTime>
  <ScaleCrop>false</ScaleCrop>
  <LinksUpToDate>false</LinksUpToDate>
  <CharactersWithSpaces>894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卫</cp:lastModifiedBy>
  <dcterms:modified xsi:type="dcterms:W3CDTF">2023-05-15T09:52:28Z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AC4B9520FE464B60886929463F748981</vt:lpwstr>
  </property>
</Properties>
</file>