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附件6</w:t>
      </w:r>
      <w:r>
        <w:rPr>
          <w:rFonts w:hint="eastAsia" w:ascii="黑体" w:hAnsi="黑体" w:eastAsia="黑体"/>
          <w:lang w:val="en-US" w:eastAsia="zh-CN"/>
        </w:rPr>
        <w:t>-1</w:t>
      </w:r>
    </w:p>
    <w:p>
      <w:pPr>
        <w:tabs>
          <w:tab w:val="left" w:pos="1440"/>
        </w:tabs>
        <w:spacing w:line="560" w:lineRule="exact"/>
        <w:rPr>
          <w:rFonts w:ascii="宋体" w:hAnsi="宋体" w:eastAsia="宋体"/>
          <w:sz w:val="30"/>
          <w:szCs w:val="30"/>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优抚对象抚恤和生活补助</w:t>
      </w:r>
      <w:r>
        <w:rPr>
          <w:rFonts w:hint="eastAsia" w:ascii="方正小标宋简体" w:hAnsi="宋体" w:eastAsia="方正小标宋简体"/>
          <w:sz w:val="44"/>
          <w:szCs w:val="44"/>
        </w:rPr>
        <w:t>预算项目支出绩效自评报告</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w:t>
      </w:r>
      <w:r>
        <w:rPr>
          <w:rFonts w:hint="eastAsia" w:ascii="方正小标宋简体" w:hAnsi="宋体" w:eastAsia="方正小标宋简体"/>
          <w:sz w:val="32"/>
          <w:szCs w:val="32"/>
          <w:lang w:val="en-US" w:eastAsia="zh-CN"/>
        </w:rPr>
        <w:t>攀枝花市仁和区退役军人事务局</w:t>
      </w:r>
      <w:r>
        <w:rPr>
          <w:rFonts w:hint="eastAsia" w:ascii="方正小标宋简体" w:hAnsi="宋体" w:eastAsia="方正小标宋简体"/>
          <w:sz w:val="32"/>
          <w:szCs w:val="32"/>
          <w:lang w:eastAsia="zh-CN"/>
        </w:rPr>
        <w:t>）</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宋体"/>
          <w:lang w:val="zh-CN"/>
        </w:rPr>
      </w:pPr>
      <w:r>
        <w:rPr>
          <w:rFonts w:hint="eastAsia" w:ascii="仿宋_GB2312" w:hAnsi="宋体"/>
          <w:lang w:val="en-US" w:eastAsia="zh-CN"/>
        </w:rPr>
        <w:t>根据四川省退役军人事务厅、财政厅《关于调整部分优抚对象等人员抚恤和生活补助标准的通知》（川退役军人发【2022】117号）要求，自2022年8月1日起调整部分优抚对象等人员抚恤和生活补助标准。通过发放优抚对象抚恤和生活补助，提高优抚对象生活水平，生</w:t>
      </w:r>
      <w:r>
        <w:rPr>
          <w:rFonts w:hint="eastAsia" w:ascii="仿宋_GB2312" w:hAnsi="宋体"/>
          <w:lang w:val="zh-CN"/>
        </w:rPr>
        <w:t>活得到有效保障。</w:t>
      </w:r>
    </w:p>
    <w:p>
      <w:pPr>
        <w:adjustRightInd w:val="0"/>
        <w:snapToGrid w:val="0"/>
        <w:spacing w:line="560" w:lineRule="exact"/>
        <w:ind w:firstLine="720"/>
        <w:rPr>
          <w:rFonts w:hint="default" w:ascii="仿宋_GB2312" w:hAnsi="宋体"/>
          <w:lang w:val="en-US" w:eastAsia="zh-CN"/>
        </w:rPr>
      </w:pPr>
      <w:r>
        <w:rPr>
          <w:rFonts w:hint="eastAsia" w:ascii="楷体_GB2312" w:hAnsi="宋体" w:eastAsia="楷体_GB2312"/>
          <w:b/>
          <w:lang w:val="zh-CN"/>
        </w:rPr>
        <w:t>（一）项目资金申报及批复情况。</w:t>
      </w:r>
      <w:r>
        <w:rPr>
          <w:rFonts w:hint="eastAsia" w:ascii="仿宋_GB2312" w:hAnsi="宋体"/>
          <w:lang w:val="en-US" w:eastAsia="zh-CN"/>
        </w:rPr>
        <w:t>此项资金为直达资金，由中央、省级、市级专项资金构成。市局根据全市各区县服务对象人数及结构分配。</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（二）项目绩效目标。</w:t>
      </w:r>
      <w:r>
        <w:rPr>
          <w:rFonts w:hint="eastAsia" w:ascii="仿宋_GB2312" w:hAnsi="宋体"/>
          <w:lang w:val="zh-CN"/>
        </w:rPr>
        <w:t>项目主要内容</w:t>
      </w:r>
      <w:r>
        <w:rPr>
          <w:rFonts w:hint="eastAsia" w:ascii="仿宋_GB2312" w:hAnsi="宋体"/>
          <w:lang w:val="en-US" w:eastAsia="zh-CN"/>
        </w:rPr>
        <w:t>为按月，按标准为全区重点优抚对象发放抚恤和生活补助。全区优抚对象人数为动态管理，人数在932-942之间。经费足额拨付率100%，及时拨付率100%，优抚对象幸福感、获得感、荣誉感得到有效提升，优抚对象满意度≥90%</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项目申报内容与具体实施内容相符、申报目标合理可行。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default" w:ascii="楷体_GB2312" w:hAnsi="宋体" w:eastAsia="楷体_GB2312"/>
          <w:lang w:val="en-US"/>
        </w:rPr>
      </w:pPr>
      <w:r>
        <w:rPr>
          <w:rFonts w:hint="eastAsia" w:ascii="楷体_GB2312" w:hAnsi="宋体" w:eastAsia="楷体_GB2312"/>
          <w:lang w:val="zh-CN"/>
        </w:rPr>
        <w:t>1．资金计划及到位。</w:t>
      </w:r>
      <w:r>
        <w:rPr>
          <w:rFonts w:hint="eastAsia" w:ascii="仿宋_GB2312" w:hAnsi="宋体"/>
          <w:lang w:val="en-US" w:eastAsia="zh-CN"/>
        </w:rPr>
        <w:t>2022年1月由区财政区提前批次下达中央及省级专项资金703.39万元，8月下达中央及省级专项资金97.16万元，12月下达省级专项资金55.2万元。全年共下达上级财政专项资金到位849.97万元。</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en-US" w:eastAsia="zh-CN"/>
        </w:rPr>
        <w:t>2022年支出优抚833.14万元。区退役军人事务局每月中旬汇总当月死亡、新增优抚对象人员，《关于调整部分优抚对象等人员抚恤和生活补助标准的通知》标准，经一体化平台审核通过后，通过一卡通发放到优抚对象社保卡。支付依据合规合法，资金支付与预算基本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default" w:ascii="Times New Roman" w:hAnsi="Times New Roman" w:eastAsia="方正仿宋_GBK" w:cs="Times New Roman"/>
          <w:kern w:val="0"/>
          <w:sz w:val="32"/>
          <w:szCs w:val="32"/>
          <w:lang w:val="en-US" w:eastAsia="zh-CN"/>
        </w:rPr>
        <w:t>仁和区退役军人事务局健全了财务管理制度和财务工作人员管理制度，在工作推进中</w:t>
      </w:r>
      <w:r>
        <w:rPr>
          <w:rFonts w:hint="default" w:ascii="Times New Roman" w:hAnsi="Times New Roman" w:eastAsia="方正仿宋_GBK" w:cs="Times New Roman"/>
          <w:kern w:val="0"/>
          <w:sz w:val="32"/>
          <w:szCs w:val="32"/>
        </w:rPr>
        <w:t>严格执行</w:t>
      </w:r>
      <w:r>
        <w:rPr>
          <w:rFonts w:hint="default" w:ascii="Times New Roman" w:hAnsi="Times New Roman" w:eastAsia="方正仿宋_GBK" w:cs="Times New Roman"/>
          <w:kern w:val="0"/>
          <w:sz w:val="32"/>
          <w:szCs w:val="32"/>
          <w:lang w:val="en-US" w:eastAsia="zh-CN"/>
        </w:rPr>
        <w:t>相关</w:t>
      </w:r>
      <w:r>
        <w:rPr>
          <w:rFonts w:hint="default" w:ascii="Times New Roman" w:hAnsi="Times New Roman" w:eastAsia="方正仿宋_GBK" w:cs="Times New Roman"/>
          <w:kern w:val="0"/>
          <w:sz w:val="32"/>
          <w:szCs w:val="32"/>
        </w:rPr>
        <w:t>财务管理制度，账务处理及时，会计核算规范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费用支出依法依规、专款专用，未出现资金违规使用情况。</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优抚对象抚恤和生活补助经费为转移支付直达资金，由市退役军人事务根据各区县优抚对象人数统筹分配到各区县，区财政局将项目资金调拨到位后，区退役军人事务局依据相关职能职责和工作程序，依法依规，有序开展费用的核算和支付。</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2022年共发放优抚对象抚恤和生活补助金833.14万元，发放人次11189人次，每月通过一卡通按时足额发放到人。结余省级资金16.83万元，转次年支付。</w:t>
      </w:r>
    </w:p>
    <w:p>
      <w:pPr>
        <w:adjustRightInd w:val="0"/>
        <w:snapToGrid w:val="0"/>
        <w:spacing w:line="560" w:lineRule="exact"/>
        <w:ind w:firstLine="720"/>
        <w:rPr>
          <w:rFonts w:hint="default" w:ascii="仿宋_GB2312" w:hAnsi="宋体"/>
          <w:lang w:val="en-US" w:eastAsia="zh-CN"/>
        </w:rPr>
      </w:pPr>
      <w:r>
        <w:rPr>
          <w:rFonts w:hint="eastAsia" w:ascii="楷体_GB2312" w:hAnsi="宋体" w:eastAsia="楷体_GB2312"/>
          <w:b/>
          <w:lang w:val="zh-CN"/>
        </w:rPr>
        <w:t>（二）项目效益情况。</w:t>
      </w:r>
      <w:r>
        <w:rPr>
          <w:rFonts w:hint="eastAsia" w:ascii="仿宋_GB2312" w:hAnsi="宋体"/>
          <w:lang w:val="en-US" w:eastAsia="zh-CN"/>
        </w:rPr>
        <w:t>通过发放优抚对象抚恤和生活补助金，使优抚对象等人员的基本生活得到有效保障。有效地提升优抚对象的幸福感、获得感、荣誉感，优抚对象满意度≥90%</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无</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无</w:t>
      </w:r>
    </w:p>
    <w:p>
      <w:pPr>
        <w:adjustRightInd w:val="0"/>
        <w:snapToGrid w:val="0"/>
        <w:spacing w:line="560" w:lineRule="exact"/>
        <w:ind w:firstLine="720"/>
      </w:pPr>
    </w:p>
    <w:p>
      <w:pPr>
        <w:adjustRightInd w:val="0"/>
        <w:snapToGrid w:val="0"/>
        <w:spacing w:line="560" w:lineRule="exact"/>
        <w:ind w:firstLine="720"/>
        <w:rPr>
          <w:rFonts w:hint="eastAsia"/>
          <w:lang w:val="en-US" w:eastAsia="zh-CN"/>
        </w:rPr>
      </w:pPr>
      <w:r>
        <w:rPr>
          <w:rFonts w:hint="eastAsia"/>
          <w:lang w:val="en-US" w:eastAsia="zh-CN"/>
        </w:rPr>
        <w:t>附件：特定目标类部门预算项目绩效目标自评表</w:t>
      </w: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tbl>
      <w:tblPr>
        <w:tblStyle w:val="3"/>
        <w:tblpPr w:leftFromText="180" w:rightFromText="180" w:vertAnchor="text" w:horzAnchor="page" w:tblpX="1256" w:tblpY="221"/>
        <w:tblOverlap w:val="never"/>
        <w:tblW w:w="5724" w:type="pct"/>
        <w:tblInd w:w="0" w:type="dxa"/>
        <w:tblLayout w:type="autofit"/>
        <w:tblCellMar>
          <w:top w:w="0" w:type="dxa"/>
          <w:left w:w="108" w:type="dxa"/>
          <w:bottom w:w="0" w:type="dxa"/>
          <w:right w:w="108" w:type="dxa"/>
        </w:tblCellMar>
      </w:tblPr>
      <w:tblGrid>
        <w:gridCol w:w="1916"/>
        <w:gridCol w:w="1079"/>
        <w:gridCol w:w="1602"/>
        <w:gridCol w:w="1428"/>
        <w:gridCol w:w="1567"/>
        <w:gridCol w:w="1762"/>
        <w:gridCol w:w="176"/>
        <w:gridCol w:w="226"/>
      </w:tblGrid>
      <w:tr>
        <w:tblPrEx>
          <w:tblCellMar>
            <w:top w:w="0" w:type="dxa"/>
            <w:left w:w="108" w:type="dxa"/>
            <w:bottom w:w="0" w:type="dxa"/>
            <w:right w:w="108" w:type="dxa"/>
          </w:tblCellMar>
        </w:tblPrEx>
        <w:trPr>
          <w:trHeight w:val="675" w:hRule="atLeast"/>
        </w:trPr>
        <w:tc>
          <w:tcPr>
            <w:tcW w:w="4883" w:type="pct"/>
            <w:gridSpan w:val="7"/>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c>
          <w:tcPr>
            <w:tcW w:w="116"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2"/>
          <w:wAfter w:w="203" w:type="pct"/>
          <w:trHeight w:val="670" w:hRule="atLeast"/>
        </w:trPr>
        <w:tc>
          <w:tcPr>
            <w:tcW w:w="1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187001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退役军人事务局</w:t>
            </w:r>
          </w:p>
        </w:tc>
      </w:tr>
      <w:tr>
        <w:tblPrEx>
          <w:tblCellMar>
            <w:top w:w="0" w:type="dxa"/>
            <w:left w:w="108" w:type="dxa"/>
            <w:bottom w:w="0" w:type="dxa"/>
            <w:right w:w="108" w:type="dxa"/>
          </w:tblCellMar>
        </w:tblPrEx>
        <w:trPr>
          <w:gridAfter w:val="2"/>
          <w:wAfter w:w="203" w:type="pct"/>
          <w:trHeight w:val="726" w:hRule="atLeast"/>
        </w:trPr>
        <w:tc>
          <w:tcPr>
            <w:tcW w:w="15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849.97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default" w:eastAsia="仿宋_GB2312"/>
                <w:color w:val="000000"/>
                <w:sz w:val="24"/>
                <w:lang w:val="en-US" w:eastAsia="zh-CN"/>
              </w:rPr>
            </w:pPr>
            <w:r>
              <w:rPr>
                <w:rFonts w:hint="eastAsia"/>
                <w:color w:val="000000"/>
                <w:sz w:val="24"/>
                <w:lang w:val="en-US" w:eastAsia="zh-CN"/>
              </w:rPr>
              <w:t>833.14</w:t>
            </w:r>
          </w:p>
        </w:tc>
      </w:tr>
      <w:tr>
        <w:tblPrEx>
          <w:tblCellMar>
            <w:top w:w="0" w:type="dxa"/>
            <w:left w:w="108" w:type="dxa"/>
            <w:bottom w:w="0" w:type="dxa"/>
            <w:right w:w="108" w:type="dxa"/>
          </w:tblCellMar>
        </w:tblPrEx>
        <w:trPr>
          <w:gridAfter w:val="2"/>
          <w:wAfter w:w="203" w:type="pct"/>
          <w:trHeight w:val="577" w:hRule="atLeast"/>
        </w:trPr>
        <w:tc>
          <w:tcPr>
            <w:tcW w:w="15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849.97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833.14</w:t>
            </w:r>
          </w:p>
        </w:tc>
      </w:tr>
      <w:tr>
        <w:tblPrEx>
          <w:tblCellMar>
            <w:top w:w="0" w:type="dxa"/>
            <w:left w:w="108" w:type="dxa"/>
            <w:bottom w:w="0" w:type="dxa"/>
            <w:right w:w="108" w:type="dxa"/>
          </w:tblCellMar>
        </w:tblPrEx>
        <w:trPr>
          <w:gridAfter w:val="2"/>
          <w:wAfter w:w="203" w:type="pct"/>
          <w:trHeight w:val="541" w:hRule="atLeast"/>
        </w:trPr>
        <w:tc>
          <w:tcPr>
            <w:tcW w:w="15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2"/>
          <w:wAfter w:w="203" w:type="pct"/>
          <w:trHeight w:val="217" w:hRule="atLeast"/>
        </w:trPr>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1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2"/>
          <w:wAfter w:w="203" w:type="pct"/>
          <w:trHeight w:val="1297" w:hRule="atLeast"/>
        </w:trPr>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10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000000"/>
                <w:sz w:val="24"/>
                <w:lang w:val="en-US" w:eastAsia="zh-CN"/>
              </w:rPr>
            </w:pPr>
            <w:r>
              <w:rPr>
                <w:rFonts w:hint="default" w:eastAsia="仿宋_GB2312"/>
                <w:color w:val="000000"/>
                <w:sz w:val="24"/>
                <w:lang w:val="en-US" w:eastAsia="zh-CN"/>
              </w:rPr>
              <w:t>通过发放优抚对象抚恤补助资金，使优抚对象等人员的基本生活得到有效保障。</w:t>
            </w:r>
          </w:p>
        </w:tc>
        <w:tc>
          <w:tcPr>
            <w:tcW w:w="1706"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000000"/>
                <w:sz w:val="24"/>
                <w:lang w:val="en-US" w:eastAsia="zh-CN"/>
              </w:rPr>
            </w:pPr>
            <w:r>
              <w:rPr>
                <w:rFonts w:hint="eastAsia"/>
                <w:color w:val="000000"/>
                <w:sz w:val="24"/>
                <w:lang w:val="en-US" w:eastAsia="zh-CN"/>
              </w:rPr>
              <w:t>发放优抚对象抚恤和生活补助833.14万元，发放人次11189人次。</w:t>
            </w:r>
          </w:p>
        </w:tc>
      </w:tr>
      <w:tr>
        <w:tblPrEx>
          <w:tblCellMar>
            <w:top w:w="0" w:type="dxa"/>
            <w:left w:w="108" w:type="dxa"/>
            <w:bottom w:w="0" w:type="dxa"/>
            <w:right w:w="108" w:type="dxa"/>
          </w:tblCellMar>
        </w:tblPrEx>
        <w:trPr>
          <w:gridAfter w:val="2"/>
          <w:wAfter w:w="203" w:type="pct"/>
          <w:trHeight w:val="738" w:hRule="atLeast"/>
        </w:trPr>
        <w:tc>
          <w:tcPr>
            <w:tcW w:w="982"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552"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数量指标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发放人次</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11304</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11189</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质量指标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资金按政策足额支付率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100%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100%</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时效指标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拨付时间</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按月拨付</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按月拨付</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成本指标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地方经济补助金</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849.97万元</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833.14万元</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效益</w:t>
            </w:r>
            <w:r>
              <w:rPr>
                <w:color w:val="000000"/>
                <w:kern w:val="0"/>
                <w:sz w:val="28"/>
                <w:szCs w:val="28"/>
                <w:lang w:bidi="ar"/>
              </w:rPr>
              <w:br w:type="textWrapping"/>
            </w:r>
            <w:r>
              <w:rPr>
                <w:color w:val="000000"/>
                <w:kern w:val="0"/>
                <w:sz w:val="28"/>
                <w:szCs w:val="28"/>
                <w:lang w:bidi="ar"/>
              </w:rPr>
              <w:t>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经济效益  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社会效益  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优抚对象幸福感、获得感、荣誉感</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有效提升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有效</w:t>
            </w:r>
            <w:r>
              <w:rPr>
                <w:rFonts w:hint="eastAsia" w:cs="Times New Roman"/>
                <w:color w:val="000000"/>
                <w:kern w:val="0"/>
                <w:sz w:val="24"/>
                <w:lang w:val="en-US" w:eastAsia="zh-CN" w:bidi="ar"/>
              </w:rPr>
              <w:t>提升</w:t>
            </w:r>
            <w:bookmarkStart w:id="0" w:name="_GoBack"/>
            <w:bookmarkEnd w:id="0"/>
          </w:p>
        </w:tc>
      </w:tr>
      <w:tr>
        <w:tblPrEx>
          <w:tblCellMar>
            <w:top w:w="0" w:type="dxa"/>
            <w:left w:w="108" w:type="dxa"/>
            <w:bottom w:w="0" w:type="dxa"/>
            <w:right w:w="108" w:type="dxa"/>
          </w:tblCellMar>
        </w:tblPrEx>
        <w:trPr>
          <w:gridAfter w:val="2"/>
          <w:wAfter w:w="203" w:type="pct"/>
          <w:trHeight w:val="577"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518" w:leftChars="87" w:hanging="240" w:hangingChars="100"/>
              <w:jc w:val="both"/>
              <w:textAlignment w:val="bottom"/>
              <w:rPr>
                <w:color w:val="000000"/>
                <w:sz w:val="24"/>
                <w:szCs w:val="24"/>
              </w:rPr>
            </w:pPr>
            <w:r>
              <w:rPr>
                <w:color w:val="000000"/>
                <w:kern w:val="0"/>
                <w:sz w:val="24"/>
                <w:szCs w:val="24"/>
                <w:lang w:bidi="ar"/>
              </w:rPr>
              <w:t>生态效益  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可持续影响 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4"/>
                <w:szCs w:val="24"/>
                <w:lang w:bidi="ar"/>
              </w:rPr>
            </w:pPr>
            <w:r>
              <w:rPr>
                <w:color w:val="000000"/>
                <w:kern w:val="0"/>
                <w:sz w:val="24"/>
                <w:szCs w:val="24"/>
                <w:lang w:bidi="ar"/>
              </w:rPr>
              <w:t>满意度</w:t>
            </w:r>
          </w:p>
          <w:p>
            <w:pPr>
              <w:widowControl/>
              <w:spacing w:line="320" w:lineRule="exact"/>
              <w:jc w:val="center"/>
              <w:textAlignment w:val="bottom"/>
              <w:rPr>
                <w:color w:val="000000"/>
                <w:sz w:val="24"/>
                <w:szCs w:val="24"/>
              </w:rPr>
            </w:pPr>
            <w:r>
              <w:rPr>
                <w:color w:val="000000"/>
                <w:kern w:val="0"/>
                <w:sz w:val="24"/>
                <w:szCs w:val="24"/>
                <w:lang w:bidi="ar"/>
              </w:rPr>
              <w:t>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优抚对象满意度</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≥90%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≥90%</w:t>
            </w:r>
          </w:p>
        </w:tc>
      </w:tr>
    </w:tbl>
    <w:p>
      <w:pPr>
        <w:adjustRightInd w:val="0"/>
        <w:snapToGrid w:val="0"/>
        <w:spacing w:line="560" w:lineRule="exact"/>
        <w:ind w:firstLine="72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EDB478C"/>
    <w:rsid w:val="1C7B5687"/>
    <w:rsid w:val="291C455A"/>
    <w:rsid w:val="36926D0C"/>
    <w:rsid w:val="4A286314"/>
    <w:rsid w:val="4DAF2BCF"/>
    <w:rsid w:val="4DDB6F66"/>
    <w:rsid w:val="709F7BF9"/>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6</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卫</cp:lastModifiedBy>
  <dcterms:modified xsi:type="dcterms:W3CDTF">2023-05-15T09:52:52Z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AC4B9520FE464B60886929463F748981</vt:lpwstr>
  </property>
</Properties>
</file>