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256" w:tblpY="221"/>
        <w:tblOverlap w:val="never"/>
        <w:tblW w:w="517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1019"/>
        <w:gridCol w:w="1565"/>
        <w:gridCol w:w="2287"/>
        <w:gridCol w:w="1356"/>
        <w:gridCol w:w="1326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Cs w:val="32"/>
              </w:rPr>
            </w:pPr>
            <w:r>
              <w:rPr>
                <w:rFonts w:eastAsia="宋体"/>
                <w:b/>
                <w:color w:val="000000"/>
                <w:szCs w:val="32"/>
              </w:rPr>
              <w:t>2022年50万元以上（含）特定目标类部门预算项目绩效目标自评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254" w:hRule="atLeast"/>
        </w:trPr>
        <w:tc>
          <w:tcPr>
            <w:tcW w:w="15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1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341" w:hRule="atLeast"/>
        </w:trPr>
        <w:tc>
          <w:tcPr>
            <w:tcW w:w="152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项目预算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执行情况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577" w:hRule="atLeast"/>
        </w:trPr>
        <w:tc>
          <w:tcPr>
            <w:tcW w:w="152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183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341" w:hRule="atLeast"/>
        </w:trPr>
        <w:tc>
          <w:tcPr>
            <w:tcW w:w="152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217" w:hRule="atLeast"/>
        </w:trPr>
        <w:tc>
          <w:tcPr>
            <w:tcW w:w="10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25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13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1297" w:hRule="atLeast"/>
        </w:trPr>
        <w:tc>
          <w:tcPr>
            <w:tcW w:w="10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5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项目建设攀枝花市工业电机节能工程技术研究中心，购置相关设备，组建专业人才队伍，以电机节能技术服务为主要服务领域，以技术中心为依托，为我国重工业企业提供节能技术改造服务，提升节能改造总承包服务能力。该项目计划总投资1300万元，其中固定资产投资1000万元，预计销售收入2500万元，创利税800万元。项目实际完成核定投资1224万元，实现销售收入3446万元，利税总额810万元。</w:t>
            </w:r>
          </w:p>
        </w:tc>
        <w:tc>
          <w:tcPr>
            <w:tcW w:w="13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该项目计划总投资1300万元，其中固定资产投资1000万元，预计销售收入2500万元，创利税800万元。项目实际完成核定投资1224万元，实现销售收入3446万元，利税总额810万元。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738" w:hRule="atLeast"/>
        </w:trPr>
        <w:tc>
          <w:tcPr>
            <w:tcW w:w="10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5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480" w:hRule="atLeast"/>
        </w:trPr>
        <w:tc>
          <w:tcPr>
            <w:tcW w:w="10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投资情况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1220万元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完成1224万元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480" w:hRule="atLeast"/>
        </w:trPr>
        <w:tc>
          <w:tcPr>
            <w:tcW w:w="10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tbl>
            <w:tblPr>
              <w:tblStyle w:val="6"/>
              <w:tblW w:w="2071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570" w:hRule="atLeast"/>
              </w:trPr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开发新产品（新技术）数量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申请知识产权数量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获得认定、许可、制定标准数量</w:t>
                  </w:r>
                </w:p>
              </w:tc>
            </w:tr>
          </w:tbl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tbl>
            <w:tblPr>
              <w:tblStyle w:val="6"/>
              <w:tblW w:w="1140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tbl>
            <w:tblPr>
              <w:tblStyle w:val="6"/>
              <w:tblW w:w="1110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480" w:hRule="atLeast"/>
        </w:trPr>
        <w:tc>
          <w:tcPr>
            <w:tcW w:w="10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tbl>
            <w:tblPr>
              <w:tblStyle w:val="6"/>
              <w:tblW w:w="2071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是否在规定时间完成项目投资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是否在规定时间拨付资金</w:t>
                  </w:r>
                </w:p>
              </w:tc>
            </w:tr>
          </w:tbl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tbl>
            <w:tblPr>
              <w:tblStyle w:val="6"/>
              <w:tblW w:w="1140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1220万元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183</w:t>
                  </w:r>
                </w:p>
              </w:tc>
            </w:tr>
          </w:tbl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tbl>
            <w:tblPr>
              <w:tblStyle w:val="6"/>
              <w:tblW w:w="1110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完成1224万元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已拨183</w:t>
                  </w:r>
                </w:p>
              </w:tc>
            </w:tr>
          </w:tbl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480" w:hRule="atLeast"/>
        </w:trPr>
        <w:tc>
          <w:tcPr>
            <w:tcW w:w="10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tbl>
            <w:tblPr>
              <w:tblStyle w:val="6"/>
              <w:tblW w:w="2071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企业成本降低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企业生产效率提升</w:t>
                  </w:r>
                </w:p>
              </w:tc>
            </w:tr>
          </w:tbl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tbl>
            <w:tblPr>
              <w:tblStyle w:val="6"/>
              <w:tblW w:w="1110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成本降低8%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提升12%</w:t>
                  </w:r>
                </w:p>
              </w:tc>
            </w:tr>
          </w:tbl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tbl>
            <w:tblPr>
              <w:tblStyle w:val="6"/>
              <w:tblW w:w="1110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成本降低10%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提升15%</w:t>
                  </w:r>
                </w:p>
              </w:tc>
            </w:tr>
          </w:tbl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480" w:hRule="atLeast"/>
        </w:trPr>
        <w:tc>
          <w:tcPr>
            <w:tcW w:w="10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效益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经济效益  指标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带动投资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4200万元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4500万元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480" w:hRule="atLeast"/>
        </w:trPr>
        <w:tc>
          <w:tcPr>
            <w:tcW w:w="10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新增利税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800万元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577" w:hRule="atLeast"/>
        </w:trPr>
        <w:tc>
          <w:tcPr>
            <w:tcW w:w="10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ind w:left="558" w:leftChars="87" w:hanging="280" w:hangingChars="100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生态效益  指标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节能减排指标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节约标煤约约1450吨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节约标煤约约1500吨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480" w:hRule="atLeast"/>
        </w:trPr>
        <w:tc>
          <w:tcPr>
            <w:tcW w:w="10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可持续影响 指标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增强企业投资信心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完成投资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完成投资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480" w:hRule="atLeast"/>
        </w:trPr>
        <w:tc>
          <w:tcPr>
            <w:tcW w:w="10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95</w:t>
            </w:r>
          </w:p>
        </w:tc>
      </w:tr>
    </w:tbl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</w:rPr>
      </w:pPr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4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NGI4ZGZmZTc3MTEwNjU3YTc4YjA2NTYyN2QwYTY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DC31556"/>
    <w:rsid w:val="1A3D6143"/>
    <w:rsid w:val="1C013801"/>
    <w:rsid w:val="2D527252"/>
    <w:rsid w:val="2E8C038F"/>
    <w:rsid w:val="2EAE55F2"/>
    <w:rsid w:val="2EDF4302"/>
    <w:rsid w:val="38742D42"/>
    <w:rsid w:val="40AF492D"/>
    <w:rsid w:val="47550EBA"/>
    <w:rsid w:val="4A424663"/>
    <w:rsid w:val="6636451A"/>
    <w:rsid w:val="6EF65E9C"/>
    <w:rsid w:val="71397E03"/>
    <w:rsid w:val="77FFA8F9"/>
    <w:rsid w:val="7A9314AC"/>
    <w:rsid w:val="7C631402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rPr>
      <w:rFonts w:ascii="宋体" w:eastAsia="宋体"/>
      <w:sz w:val="18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四号正文"/>
    <w:basedOn w:val="1"/>
    <w:link w:val="11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1">
    <w:name w:val="四号正文 Char"/>
    <w:basedOn w:val="8"/>
    <w:link w:val="10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2">
    <w:name w:val="文档结构图 Char"/>
    <w:basedOn w:val="8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3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2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2</Pages>
  <Words>667</Words>
  <Characters>755</Characters>
  <Lines>5</Lines>
  <Paragraphs>1</Paragraphs>
  <TotalTime>2</TotalTime>
  <ScaleCrop>false</ScaleCrop>
  <LinksUpToDate>false</LinksUpToDate>
  <CharactersWithSpaces>764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Administrator</cp:lastModifiedBy>
  <cp:lastPrinted>2022-03-26T08:26:00Z</cp:lastPrinted>
  <dcterms:modified xsi:type="dcterms:W3CDTF">2023-05-14T09:08:40Z</dcterms:modified>
  <dc:title>区域性就业培训基地建设项目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366F6D37DD454EE6847D68B9784D366B_13</vt:lpwstr>
  </property>
</Properties>
</file>