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附件6</w:t>
      </w:r>
    </w:p>
    <w:p>
      <w:pPr>
        <w:pStyle w:val="5"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攀枝花市仁和区交通运输局</w:t>
      </w:r>
    </w:p>
    <w:p>
      <w:pPr>
        <w:pStyle w:val="5"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/>
        </w:rPr>
        <w:t>2023年</w:t>
      </w:r>
      <w:r>
        <w:rPr>
          <w:rFonts w:hint="eastAsia" w:ascii="方正小标宋简体" w:hAnsi="宋体" w:eastAsia="方正小标宋简体"/>
          <w:sz w:val="44"/>
          <w:szCs w:val="44"/>
        </w:rPr>
        <w:t>预算项目支出绩效自评</w:t>
      </w:r>
    </w:p>
    <w:p>
      <w:pPr>
        <w:pStyle w:val="5"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报告（务本乡新飞路改造）</w:t>
      </w:r>
    </w:p>
    <w:p>
      <w:pPr>
        <w:pStyle w:val="5"/>
        <w:spacing w:line="560" w:lineRule="exact"/>
        <w:jc w:val="both"/>
        <w:rPr>
          <w:rFonts w:ascii="仿宋_GB2312" w:hAnsi="宋体" w:eastAsia="仿宋_GB2312"/>
          <w:color w:val="auto"/>
          <w:kern w:val="2"/>
          <w:sz w:val="32"/>
          <w:szCs w:val="32"/>
        </w:rPr>
      </w:pPr>
    </w:p>
    <w:p>
      <w:pPr>
        <w:pStyle w:val="5"/>
        <w:spacing w:line="560" w:lineRule="exact"/>
        <w:ind w:firstLine="640"/>
        <w:jc w:val="center"/>
        <w:rPr>
          <w:rFonts w:ascii="宋体" w:hAnsi="宋体"/>
          <w:color w:val="auto"/>
          <w:kern w:val="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hint="eastAsia" w:ascii="黑体" w:hAnsi="宋体" w:eastAsia="黑体"/>
        </w:rPr>
        <w:t>一、</w:t>
      </w:r>
      <w:r>
        <w:rPr>
          <w:rFonts w:hint="eastAsia" w:ascii="黑体" w:hAnsi="宋体" w:eastAsia="黑体"/>
          <w:lang w:val="zh-CN"/>
        </w:rPr>
        <w:t>项目概况</w:t>
      </w:r>
    </w:p>
    <w:p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（一）项目资金申报及批复情况。</w:t>
      </w:r>
      <w:r>
        <w:rPr>
          <w:rFonts w:hint="eastAsia" w:ascii="仿宋_GB2312" w:hAnsi="宋体"/>
          <w:lang w:val="zh-CN"/>
        </w:rPr>
        <w:t>完成新建2公里4.5米宽水泥混凝土路面，厚度18厘米，改建0.95公里及其附属设施2.95公里范围内防护及护栏、标志标线等安全设施。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jc w:val="both"/>
        <w:textAlignment w:val="auto"/>
        <w:rPr>
          <w:rFonts w:ascii="仿宋_GB2312" w:hAnsi="宋体"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（二）项目绩效目标。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为了确保</w:t>
      </w:r>
      <w:r>
        <w:rPr>
          <w:rFonts w:hint="eastAsia" w:ascii="仿宋_GB2312" w:hAnsi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沿线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群众的出行、农产品的运输提供了安全、舒适的交通环境，推动地方经济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工作的稳步推进，对工程项目开展情况进行检查和督促，我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做到专款专用，专账核算，依程序按时拨付，不挪用、不挤占项目资金，确保工程进度和质量安全。</w:t>
      </w:r>
    </w:p>
    <w:p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（三）项目资金申报相符性。</w:t>
      </w:r>
      <w:r>
        <w:rPr>
          <w:rFonts w:hint="eastAsia" w:ascii="仿宋_GB2312" w:hAnsi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依据相关文件队我单位对务本乡新飞</w:t>
      </w:r>
      <w:r>
        <w:rPr>
          <w:rFonts w:hint="eastAsia" w:ascii="仿宋_GB2312" w:hAnsi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公路改造项目列入预算编报中。</w:t>
      </w:r>
    </w:p>
    <w:p>
      <w:pPr>
        <w:adjustRightInd w:val="0"/>
        <w:snapToGrid w:val="0"/>
        <w:spacing w:line="560" w:lineRule="exact"/>
        <w:ind w:firstLine="72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二、项目实施及管理情况</w:t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仿宋_GB2312" w:hAnsi="宋体"/>
          <w:lang w:val="zh-CN"/>
        </w:rPr>
        <w:tab/>
      </w:r>
      <w:r>
        <w:rPr>
          <w:rFonts w:hint="eastAsia" w:ascii="楷体_GB2312" w:hAnsi="宋体" w:eastAsia="楷体_GB2312"/>
          <w:b/>
          <w:lang w:val="zh-CN"/>
        </w:rPr>
        <w:t>（一）资金计划、到位及使用情况。</w:t>
      </w:r>
    </w:p>
    <w:p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hint="eastAsia" w:ascii="楷体_GB2312" w:hAnsi="宋体" w:eastAsia="楷体_GB2312"/>
          <w:lang w:val="zh-CN"/>
        </w:rPr>
        <w:t>1．资金计划及到位。</w:t>
      </w:r>
      <w:r>
        <w:rPr>
          <w:rFonts w:hint="eastAsia"/>
          <w:kern w:val="0"/>
          <w:sz w:val="32"/>
          <w:szCs w:val="32"/>
          <w:lang w:val="en-US" w:eastAsia="zh-CN"/>
        </w:rPr>
        <w:t>根据攀仁财资经建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【</w:t>
      </w:r>
      <w:r>
        <w:rPr>
          <w:rFonts w:hint="eastAsia" w:ascii="Times New Roman" w:hAnsi="Times New Roman" w:eastAsia="楷体_GB2312"/>
          <w:kern w:val="0"/>
          <w:sz w:val="32"/>
          <w:szCs w:val="32"/>
          <w:lang w:val="en-US" w:eastAsia="zh-CN"/>
        </w:rPr>
        <w:t>202</w:t>
      </w:r>
      <w:r>
        <w:rPr>
          <w:rFonts w:hint="eastAsia" w:eastAsia="楷体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】</w:t>
      </w:r>
      <w:r>
        <w:rPr>
          <w:rFonts w:hint="eastAsia" w:eastAsia="楷体_GB2312"/>
          <w:kern w:val="0"/>
          <w:sz w:val="32"/>
          <w:szCs w:val="32"/>
          <w:lang w:val="en-US" w:eastAsia="zh-CN"/>
        </w:rPr>
        <w:t>9</w:t>
      </w:r>
      <w:r>
        <w:rPr>
          <w:rFonts w:hint="eastAsia"/>
          <w:kern w:val="0"/>
          <w:sz w:val="32"/>
          <w:szCs w:val="32"/>
          <w:lang w:val="en-US" w:eastAsia="zh-CN"/>
        </w:rPr>
        <w:t>号文件规定</w:t>
      </w:r>
      <w:r>
        <w:rPr>
          <w:rFonts w:hint="eastAsia" w:eastAsia="楷体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依据相关文件队我单位务本乡新飞</w:t>
      </w:r>
      <w:r>
        <w:rPr>
          <w:rFonts w:hint="eastAsia" w:ascii="仿宋_GB2312" w:hAnsi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公路改造项目列入预算编报中。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财政拨款</w:t>
      </w:r>
      <w:r>
        <w:rPr>
          <w:rFonts w:hint="eastAsia"/>
          <w:kern w:val="0"/>
          <w:sz w:val="32"/>
          <w:szCs w:val="32"/>
          <w:lang w:val="en-US" w:eastAsia="zh-CN"/>
        </w:rPr>
        <w:t>0.5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万元，</w:t>
      </w:r>
      <w:r>
        <w:rPr>
          <w:rFonts w:hint="eastAsia"/>
          <w:kern w:val="0"/>
          <w:sz w:val="32"/>
          <w:szCs w:val="32"/>
          <w:lang w:val="en-US" w:eastAsia="zh-CN"/>
        </w:rPr>
        <w:t>于2022年1月下达资金，资金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全部到位</w:t>
      </w:r>
      <w:r>
        <w:rPr>
          <w:rFonts w:hint="eastAsia"/>
          <w:kern w:val="0"/>
          <w:sz w:val="32"/>
          <w:szCs w:val="32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lang w:val="zh-CN"/>
        </w:rPr>
        <w:t>2．资金使用。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该项目开支款项必需有单位分管财务领导签字审批，严把支出关，一切根据财务管理制度来报销。</w:t>
      </w:r>
      <w:r>
        <w:rPr>
          <w:rFonts w:hint="eastAsia" w:ascii="楷体_GB2312" w:hAnsi="宋体" w:eastAsia="楷体_GB2312"/>
          <w:b/>
          <w:lang w:val="zh-CN"/>
        </w:rPr>
        <w:t>（二）项目财务管理情况。</w:t>
      </w:r>
    </w:p>
    <w:p>
      <w:pPr>
        <w:adjustRightInd w:val="0"/>
        <w:snapToGrid w:val="0"/>
        <w:spacing w:line="560" w:lineRule="exact"/>
        <w:ind w:firstLine="72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我单位在财务管理、项目资金管理制度健全，财务人员严格执行财务管理制度，账务处理及时，会计核算规范，完善单位的内控制度，确保会计工作的完整性、真实性。</w:t>
      </w:r>
    </w:p>
    <w:p>
      <w:pPr>
        <w:adjustRightInd w:val="0"/>
        <w:snapToGrid w:val="0"/>
        <w:spacing w:line="560" w:lineRule="exact"/>
        <w:ind w:firstLine="72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lang w:val="zh-CN"/>
        </w:rPr>
        <w:t>（三）项目组织实施情况。</w:t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lang w:val="zh-CN"/>
        </w:rPr>
        <w:t>1．</w:t>
      </w:r>
      <w:r>
        <w:rPr>
          <w:rFonts w:ascii="Times New Roman" w:hAnsi="Times New Roman" w:eastAsia="楷体_GB2312"/>
          <w:kern w:val="0"/>
          <w:sz w:val="32"/>
          <w:szCs w:val="32"/>
        </w:rPr>
        <w:t>项目组织架构及实施流程。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按照预期目标完成各项任务。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eastAsia="楷体_GB2312"/>
          <w:kern w:val="0"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楷体_GB2312"/>
          <w:kern w:val="0"/>
          <w:sz w:val="32"/>
          <w:szCs w:val="32"/>
        </w:rPr>
        <w:t>项目管理情况。</w:t>
      </w:r>
      <w:r>
        <w:rPr>
          <w:rFonts w:ascii="Times New Roman" w:hAnsi="Times New Roman" w:eastAsia="仿宋_GB2312"/>
          <w:kern w:val="0"/>
          <w:sz w:val="32"/>
          <w:szCs w:val="32"/>
        </w:rPr>
        <w:t>结合项目特点，总体评价</w:t>
      </w:r>
      <w:r>
        <w:rPr>
          <w:rFonts w:hint="eastAsia"/>
          <w:kern w:val="0"/>
          <w:sz w:val="32"/>
          <w:szCs w:val="32"/>
          <w:lang w:eastAsia="zh-CN"/>
        </w:rPr>
        <w:t>该</w:t>
      </w:r>
      <w:r>
        <w:rPr>
          <w:rFonts w:ascii="Times New Roman" w:hAnsi="Times New Roman" w:eastAsia="仿宋_GB2312"/>
          <w:kern w:val="0"/>
          <w:sz w:val="32"/>
          <w:szCs w:val="32"/>
        </w:rPr>
        <w:t>项目实施单位执行相关法律法规及项目管理制度等情况，如招投标、政府采购、项目公示制等相关规定。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kern w:val="0"/>
          <w:sz w:val="32"/>
          <w:szCs w:val="32"/>
          <w:lang w:val="en-US" w:eastAsia="zh-CN"/>
        </w:rPr>
        <w:t>3.</w:t>
      </w:r>
      <w:r>
        <w:rPr>
          <w:rFonts w:ascii="Times New Roman" w:hAnsi="Times New Roman" w:eastAsia="楷体_GB2312"/>
          <w:kern w:val="0"/>
          <w:sz w:val="32"/>
          <w:szCs w:val="32"/>
        </w:rPr>
        <w:t>项目监管情况。</w:t>
      </w:r>
      <w:r>
        <w:rPr>
          <w:rFonts w:ascii="Times New Roman" w:hAnsi="Times New Roman" w:eastAsia="仿宋_GB2312"/>
          <w:kern w:val="0"/>
          <w:sz w:val="32"/>
          <w:szCs w:val="32"/>
        </w:rPr>
        <w:t>项目主管部门为加强项目管理所采取的监管手段、监管程序、监管工作开展情况及实现的效果等。</w:t>
      </w:r>
    </w:p>
    <w:p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hint="eastAsia" w:ascii="黑体" w:hAnsi="宋体" w:eastAsia="黑体"/>
        </w:rPr>
        <w:t>三、项目绩效情况</w:t>
      </w:r>
      <w:r>
        <w:rPr>
          <w:rFonts w:hint="eastAsia" w:ascii="仿宋_GB2312" w:hAnsi="宋体"/>
          <w:lang w:val="zh-CN"/>
        </w:rPr>
        <w:tab/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（一）项目完成情况。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960" w:firstLineChars="30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数量指标：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仁和区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务本乡新飞路2公里</w:t>
      </w:r>
      <w:r>
        <w:rPr>
          <w:rFonts w:hint="eastAsia" w:ascii="仿宋_GB2312" w:hAnsi="宋体"/>
          <w:lang w:val="zh-CN"/>
        </w:rPr>
        <w:t>4.5米宽水泥混凝土路面，厚度18厘米，改建0.95公里及其附属设施2.95公里范围内防护及护栏、标志标线等安全设施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质量指标：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根据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要求达到国际性强制性技术标准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。时效指标：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年1-12月。成本指标：</w:t>
      </w:r>
      <w:r>
        <w:rPr>
          <w:rFonts w:hint="eastAsia" w:ascii="仿宋_GB2312" w:hAnsi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务本乡新飞</w:t>
      </w:r>
      <w:r>
        <w:rPr>
          <w:rFonts w:hint="eastAsia" w:ascii="仿宋_GB2312" w:hAnsi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公路改造预算资金0.5万元。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964" w:firstLineChars="300"/>
        <w:jc w:val="both"/>
        <w:textAlignment w:val="auto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（二）项目效益情况。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效益指标：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为群众出行提供保障，维护一方平安。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服务对象满意度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群众满意。</w:t>
      </w:r>
    </w:p>
    <w:p>
      <w:pPr>
        <w:adjustRightInd w:val="0"/>
        <w:snapToGrid w:val="0"/>
        <w:spacing w:line="560" w:lineRule="exact"/>
        <w:ind w:firstLine="72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四、问题及建议</w:t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（一）存在的问题。无。</w:t>
      </w:r>
    </w:p>
    <w:p>
      <w:pPr>
        <w:adjustRightInd w:val="0"/>
        <w:snapToGrid w:val="0"/>
        <w:spacing w:line="560" w:lineRule="exact"/>
        <w:ind w:firstLine="720"/>
        <w:rPr>
          <w:rFonts w:hint="eastAsia" w:ascii="仿宋_GB2312" w:hAnsi="宋体"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（二）相关建议。无</w:t>
      </w:r>
      <w:r>
        <w:rPr>
          <w:rFonts w:hint="eastAsia" w:ascii="仿宋_GB2312" w:hAnsi="宋体"/>
          <w:lang w:val="zh-CN"/>
        </w:rPr>
        <w:t>。</w:t>
      </w:r>
    </w:p>
    <w:p>
      <w:pPr>
        <w:pStyle w:val="2"/>
        <w:rPr>
          <w:rFonts w:hint="eastAsia" w:ascii="仿宋_GB2312" w:hAnsi="宋体"/>
          <w:lang w:val="zh-CN"/>
        </w:rPr>
      </w:pPr>
    </w:p>
    <w:p>
      <w:pPr>
        <w:rPr>
          <w:rFonts w:hint="eastAsia" w:ascii="仿宋_GB2312" w:hAnsi="宋体"/>
          <w:lang w:val="zh-CN"/>
        </w:rPr>
      </w:pPr>
    </w:p>
    <w:p>
      <w:pPr>
        <w:pStyle w:val="2"/>
        <w:rPr>
          <w:rFonts w:hint="eastAsia" w:ascii="仿宋_GB2312" w:hAnsi="宋体"/>
          <w:lang w:val="zh-CN"/>
        </w:rPr>
      </w:pPr>
    </w:p>
    <w:p>
      <w:pPr>
        <w:rPr>
          <w:rFonts w:hint="eastAsia" w:ascii="仿宋_GB2312" w:hAnsi="宋体"/>
          <w:lang w:val="zh-CN"/>
        </w:rPr>
      </w:pPr>
    </w:p>
    <w:p>
      <w:pPr>
        <w:pStyle w:val="2"/>
        <w:rPr>
          <w:rFonts w:hint="eastAsia" w:ascii="仿宋_GB2312" w:hAnsi="宋体"/>
          <w:lang w:val="zh-CN"/>
        </w:rPr>
      </w:pPr>
    </w:p>
    <w:p>
      <w:pPr>
        <w:rPr>
          <w:rFonts w:hint="eastAsia" w:ascii="仿宋_GB2312" w:hAnsi="宋体"/>
          <w:lang w:val="zh-CN"/>
        </w:rPr>
      </w:pPr>
    </w:p>
    <w:p>
      <w:pPr>
        <w:pStyle w:val="2"/>
        <w:rPr>
          <w:rFonts w:hint="eastAsia" w:ascii="仿宋_GB2312" w:hAnsi="宋体"/>
          <w:lang w:val="zh-CN"/>
        </w:rPr>
      </w:pPr>
    </w:p>
    <w:p>
      <w:pPr>
        <w:rPr>
          <w:rFonts w:hint="eastAsia" w:ascii="仿宋_GB2312" w:hAnsi="宋体"/>
          <w:lang w:val="zh-CN"/>
        </w:rPr>
      </w:pPr>
    </w:p>
    <w:p>
      <w:pPr>
        <w:pStyle w:val="2"/>
        <w:rPr>
          <w:rFonts w:hint="eastAsia" w:ascii="仿宋_GB2312" w:hAnsi="宋体"/>
          <w:lang w:val="zh-CN"/>
        </w:rPr>
      </w:pPr>
    </w:p>
    <w:p>
      <w:pPr>
        <w:rPr>
          <w:rFonts w:hint="eastAsia" w:ascii="仿宋_GB2312" w:hAnsi="宋体"/>
          <w:lang w:val="zh-CN"/>
        </w:rPr>
      </w:pPr>
    </w:p>
    <w:p>
      <w:pPr>
        <w:pStyle w:val="2"/>
        <w:rPr>
          <w:rFonts w:hint="eastAsia" w:ascii="仿宋_GB2312" w:hAnsi="宋体"/>
          <w:lang w:val="zh-CN"/>
        </w:rPr>
      </w:pPr>
    </w:p>
    <w:p>
      <w:pPr>
        <w:rPr>
          <w:rFonts w:hint="eastAsia" w:ascii="仿宋_GB2312" w:hAnsi="宋体"/>
          <w:lang w:val="zh-CN"/>
        </w:rPr>
      </w:pPr>
    </w:p>
    <w:p>
      <w:pPr>
        <w:pStyle w:val="2"/>
        <w:rPr>
          <w:rFonts w:hint="eastAsia" w:ascii="仿宋_GB2312" w:hAnsi="宋体"/>
          <w:lang w:val="zh-CN"/>
        </w:rPr>
      </w:pPr>
    </w:p>
    <w:p>
      <w:pPr>
        <w:rPr>
          <w:rFonts w:hint="eastAsia" w:ascii="仿宋_GB2312" w:hAnsi="宋体"/>
          <w:lang w:val="zh-CN"/>
        </w:rPr>
      </w:pPr>
    </w:p>
    <w:p>
      <w:pPr>
        <w:pStyle w:val="2"/>
        <w:rPr>
          <w:rFonts w:hint="eastAsia" w:ascii="仿宋_GB2312" w:hAnsi="宋体"/>
          <w:lang w:val="zh-CN"/>
        </w:rPr>
      </w:pPr>
    </w:p>
    <w:p>
      <w:pPr>
        <w:rPr>
          <w:rFonts w:hint="eastAsia" w:ascii="仿宋_GB2312" w:hAnsi="宋体"/>
          <w:lang w:val="zh-CN"/>
        </w:rPr>
      </w:pPr>
    </w:p>
    <w:p>
      <w:pPr>
        <w:pStyle w:val="2"/>
        <w:rPr>
          <w:rFonts w:hint="eastAsia" w:ascii="仿宋_GB2312" w:hAnsi="宋体"/>
          <w:lang w:val="zh-CN"/>
        </w:rPr>
      </w:pPr>
    </w:p>
    <w:p>
      <w:pPr>
        <w:rPr>
          <w:rFonts w:hint="eastAsia"/>
          <w:lang w:val="zh-CN"/>
        </w:rPr>
      </w:pPr>
    </w:p>
    <w:p>
      <w:pPr>
        <w:pStyle w:val="2"/>
        <w:rPr>
          <w:rFonts w:hint="eastAsia" w:ascii="仿宋_GB2312" w:hAnsi="宋体"/>
          <w:lang w:val="zh-CN"/>
        </w:rPr>
      </w:pPr>
    </w:p>
    <w:p>
      <w:pPr>
        <w:rPr>
          <w:rFonts w:hint="eastAsia"/>
          <w:lang w:val="zh-CN"/>
        </w:rPr>
      </w:pPr>
    </w:p>
    <w:p>
      <w:pPr>
        <w:pStyle w:val="2"/>
        <w:ind w:firstLine="4080" w:firstLineChars="1700"/>
        <w:rPr>
          <w:rFonts w:hint="eastAsia"/>
          <w:lang w:val="zh-CN"/>
        </w:rPr>
      </w:pPr>
      <w:r>
        <w:rPr>
          <w:rFonts w:hint="eastAsia"/>
          <w:lang w:val="zh-CN"/>
        </w:rPr>
        <w:t>攀枝花市仁和区交通运输局</w:t>
      </w:r>
    </w:p>
    <w:p>
      <w:pPr>
        <w:ind w:firstLine="4480" w:firstLineChars="1400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2023年5月9日</w:t>
      </w:r>
    </w:p>
    <w:p>
      <w:pPr>
        <w:pStyle w:val="2"/>
        <w:rPr>
          <w:rFonts w:hint="eastAsia"/>
          <w:lang w:val="zh-CN"/>
        </w:rPr>
      </w:pPr>
    </w:p>
    <w:p>
      <w:pPr>
        <w:rPr>
          <w:rFonts w:hint="eastAsia"/>
          <w:lang w:val="zh-CN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page" w:tblpX="1256" w:tblpY="221"/>
        <w:tblOverlap w:val="never"/>
        <w:tblW w:w="5343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1146"/>
        <w:gridCol w:w="1634"/>
        <w:gridCol w:w="1115"/>
        <w:gridCol w:w="1618"/>
        <w:gridCol w:w="1379"/>
        <w:gridCol w:w="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8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Cs w:val="32"/>
              </w:rPr>
            </w:pPr>
            <w:r>
              <w:rPr>
                <w:rFonts w:eastAsia="宋体"/>
                <w:b/>
                <w:color w:val="000000"/>
                <w:szCs w:val="32"/>
              </w:rPr>
              <w:t>2022年50万元以上（含）特定目标类部门预算项目绩效目标自评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pct"/>
          <w:trHeight w:val="254" w:hRule="atLeast"/>
        </w:trPr>
        <w:tc>
          <w:tcPr>
            <w:tcW w:w="171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主管部门及代码</w:t>
            </w:r>
          </w:p>
        </w:tc>
        <w:tc>
          <w:tcPr>
            <w:tcW w:w="15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攀枝花市仁和区交通运输局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实施单位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仁和区务本乡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pct"/>
          <w:trHeight w:val="601" w:hRule="atLeast"/>
        </w:trPr>
        <w:tc>
          <w:tcPr>
            <w:tcW w:w="1714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项目预算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执行情况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 预算数：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0.5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 执行数：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pct"/>
          <w:trHeight w:val="577" w:hRule="atLeast"/>
        </w:trPr>
        <w:tc>
          <w:tcPr>
            <w:tcW w:w="1714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其中：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财政拨款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0.5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其中：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财政拨款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pct"/>
          <w:trHeight w:val="341" w:hRule="atLeast"/>
        </w:trPr>
        <w:tc>
          <w:tcPr>
            <w:tcW w:w="1714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其他资金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其他资金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pct"/>
          <w:trHeight w:val="217" w:hRule="atLeast"/>
        </w:trPr>
        <w:tc>
          <w:tcPr>
            <w:tcW w:w="10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年度总体目标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完成情况</w:t>
            </w:r>
          </w:p>
        </w:tc>
        <w:tc>
          <w:tcPr>
            <w:tcW w:w="213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预期目标</w:t>
            </w:r>
          </w:p>
        </w:tc>
        <w:tc>
          <w:tcPr>
            <w:tcW w:w="16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目标实际完成情况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pct"/>
          <w:trHeight w:val="1802" w:hRule="atLeast"/>
        </w:trPr>
        <w:tc>
          <w:tcPr>
            <w:tcW w:w="10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13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jc w:val="left"/>
              <w:textAlignment w:val="top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完成新建2公里4.5米宽水泥混凝土路面，厚度18厘米，改建0.95公里。</w:t>
            </w:r>
          </w:p>
        </w:tc>
        <w:tc>
          <w:tcPr>
            <w:tcW w:w="16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按时完成工程建设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pct"/>
          <w:trHeight w:val="738" w:hRule="atLeast"/>
        </w:trPr>
        <w:tc>
          <w:tcPr>
            <w:tcW w:w="108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年度绩效指标完成情况</w:t>
            </w:r>
          </w:p>
        </w:tc>
        <w:tc>
          <w:tcPr>
            <w:tcW w:w="6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一级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二级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三级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预期指标值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实际完成指标值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pct"/>
          <w:trHeight w:val="775" w:hRule="atLeast"/>
        </w:trPr>
        <w:tc>
          <w:tcPr>
            <w:tcW w:w="10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完成</w:t>
            </w:r>
          </w:p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数量指标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新建公路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2公里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</w:rPr>
              <w:t>新建2公里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pct"/>
          <w:trHeight w:val="700" w:hRule="atLeast"/>
        </w:trPr>
        <w:tc>
          <w:tcPr>
            <w:tcW w:w="10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质量指标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路面厚度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厚度18厘米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pct"/>
          <w:trHeight w:val="790" w:hRule="atLeast"/>
        </w:trPr>
        <w:tc>
          <w:tcPr>
            <w:tcW w:w="10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时效指标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2022年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2022年1月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pct"/>
          <w:trHeight w:val="805" w:hRule="atLeast"/>
        </w:trPr>
        <w:tc>
          <w:tcPr>
            <w:tcW w:w="10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成本指标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0.5万元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0.5万元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pct"/>
          <w:trHeight w:val="480" w:hRule="atLeast"/>
        </w:trPr>
        <w:tc>
          <w:tcPr>
            <w:tcW w:w="10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效益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经济效益  指标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pct"/>
          <w:trHeight w:val="890" w:hRule="atLeast"/>
        </w:trPr>
        <w:tc>
          <w:tcPr>
            <w:tcW w:w="10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社会效益  指标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沿线百姓经济收入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显著调高，人均增收1000元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pct"/>
          <w:trHeight w:val="577" w:hRule="atLeast"/>
        </w:trPr>
        <w:tc>
          <w:tcPr>
            <w:tcW w:w="10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ind w:left="558" w:leftChars="87" w:hanging="280" w:hangingChars="100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生态效益  指标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pct"/>
          <w:trHeight w:val="480" w:hRule="atLeast"/>
        </w:trPr>
        <w:tc>
          <w:tcPr>
            <w:tcW w:w="10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可持续影响 指标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pct"/>
          <w:trHeight w:val="935" w:hRule="atLeast"/>
        </w:trPr>
        <w:tc>
          <w:tcPr>
            <w:tcW w:w="108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满意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度指标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满意度</w:t>
            </w:r>
          </w:p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沿线百姓满意度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满意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95%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完成</w:t>
            </w:r>
          </w:p>
        </w:tc>
      </w:tr>
    </w:tbl>
    <w:p>
      <w:pPr>
        <w:adjustRightInd w:val="0"/>
        <w:snapToGrid w:val="0"/>
        <w:spacing w:line="560" w:lineRule="exact"/>
        <w:ind w:firstLine="720"/>
        <w:rPr>
          <w:rFonts w:hint="eastAsia" w:ascii="仿宋_GB2312" w:hAnsi="宋体"/>
          <w:lang w:val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YzYwNmU5ZTAzYmFjYmM3MTdjMjM5NjA5NTlkOWIifQ=="/>
  </w:docVars>
  <w:rsids>
    <w:rsidRoot w:val="291C455A"/>
    <w:rsid w:val="003414A3"/>
    <w:rsid w:val="00515A0C"/>
    <w:rsid w:val="00866E99"/>
    <w:rsid w:val="033C0707"/>
    <w:rsid w:val="0EDB478C"/>
    <w:rsid w:val="0F6E4136"/>
    <w:rsid w:val="1CEA23C3"/>
    <w:rsid w:val="1FDF5CAE"/>
    <w:rsid w:val="267E163F"/>
    <w:rsid w:val="291C455A"/>
    <w:rsid w:val="2D99461C"/>
    <w:rsid w:val="36926D0C"/>
    <w:rsid w:val="3C073EEA"/>
    <w:rsid w:val="3CB821C1"/>
    <w:rsid w:val="427F077C"/>
    <w:rsid w:val="492928A1"/>
    <w:rsid w:val="4A4D25BF"/>
    <w:rsid w:val="4DAF2BCF"/>
    <w:rsid w:val="4DDB6F66"/>
    <w:rsid w:val="54372316"/>
    <w:rsid w:val="58450D79"/>
    <w:rsid w:val="59991333"/>
    <w:rsid w:val="5A9575FD"/>
    <w:rsid w:val="64775197"/>
    <w:rsid w:val="6B563D9E"/>
    <w:rsid w:val="6F8A5598"/>
    <w:rsid w:val="706E4EB9"/>
    <w:rsid w:val="72B83BF5"/>
    <w:rsid w:val="769245DD"/>
    <w:rsid w:val="78E81581"/>
    <w:rsid w:val="792F2AEE"/>
    <w:rsid w:val="7D352F6C"/>
    <w:rsid w:val="7D900786"/>
    <w:rsid w:val="7EA11A59"/>
    <w:rsid w:val="BFFE83F2"/>
    <w:rsid w:val="D7FDD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0" w:beforeAutospacing="0" w:after="120" w:afterLines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5">
    <w:name w:val="四号正文"/>
    <w:basedOn w:val="1"/>
    <w:qFormat/>
    <w:uiPriority w:val="0"/>
    <w:pPr>
      <w:spacing w:line="360" w:lineRule="auto"/>
    </w:pPr>
    <w:rPr>
      <w:rFonts w:ascii="??" w:hAnsi="??" w:eastAsia="宋体"/>
      <w:color w:val="000000"/>
      <w:kern w:val="0"/>
      <w:sz w:val="28"/>
      <w:szCs w:val="21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5</Pages>
  <Words>1240</Words>
  <Characters>1316</Characters>
  <Lines>6</Lines>
  <Paragraphs>1</Paragraphs>
  <TotalTime>1</TotalTime>
  <ScaleCrop>false</ScaleCrop>
  <LinksUpToDate>false</LinksUpToDate>
  <CharactersWithSpaces>1335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2020-07-01T00:19:00Z</dcterms:created>
  <dc:creator>Administrator</dc:creator>
  <cp:lastModifiedBy>Administrator</cp:lastModifiedBy>
  <dcterms:modified xsi:type="dcterms:W3CDTF">2023-05-11T01:46:24Z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75C41FF5450A4F3B90BA17BDC2CED470_12</vt:lpwstr>
  </property>
</Properties>
</file>