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黑体" w:hAnsi="黑体" w:eastAsia="黑体"/>
          <w:lang w:val="en-US" w:eastAsia="zh-CN"/>
        </w:rPr>
      </w:pPr>
      <w:r>
        <w:rPr>
          <w:rFonts w:hint="eastAsia" w:ascii="黑体" w:hAnsi="黑体" w:eastAsia="黑体"/>
        </w:rPr>
        <w:t>附件</w:t>
      </w:r>
      <w:r>
        <w:rPr>
          <w:rFonts w:hint="eastAsia" w:ascii="黑体" w:hAnsi="黑体" w:eastAsia="黑体"/>
          <w:lang w:val="en-US" w:eastAsia="zh-CN"/>
        </w:rPr>
        <w:t>3-3</w:t>
      </w:r>
      <w:bookmarkStart w:id="0" w:name="_GoBack"/>
      <w:bookmarkEnd w:id="0"/>
    </w:p>
    <w:p>
      <w:pPr>
        <w:tabs>
          <w:tab w:val="left" w:pos="1440"/>
        </w:tabs>
        <w:spacing w:line="560" w:lineRule="exact"/>
        <w:rPr>
          <w:rFonts w:ascii="宋体" w:hAnsi="宋体" w:eastAsia="宋体"/>
          <w:sz w:val="30"/>
          <w:szCs w:val="30"/>
        </w:rPr>
      </w:pPr>
    </w:p>
    <w:p>
      <w:pPr>
        <w:pStyle w:val="4"/>
        <w:spacing w:line="560" w:lineRule="exact"/>
        <w:jc w:val="center"/>
        <w:rPr>
          <w:rFonts w:ascii="方正小标宋简体" w:hAnsi="宋体" w:eastAsia="方正小标宋简体"/>
          <w:sz w:val="44"/>
          <w:szCs w:val="44"/>
        </w:rPr>
      </w:pPr>
      <w:r>
        <w:rPr>
          <w:rFonts w:hint="default" w:ascii="Times New Roman" w:hAnsi="Times New Roman" w:eastAsia="方正小标宋简体" w:cs="Times New Roman"/>
          <w:sz w:val="52"/>
          <w:szCs w:val="52"/>
          <w:lang w:val="en-US"/>
        </w:rPr>
        <w:t>2023</w:t>
      </w:r>
      <w:r>
        <w:rPr>
          <w:rFonts w:hint="eastAsia" w:ascii="方正小标宋简体" w:hAnsi="宋体" w:eastAsia="方正小标宋简体"/>
          <w:sz w:val="44"/>
          <w:szCs w:val="44"/>
          <w:lang w:val="en-US"/>
        </w:rPr>
        <w:t>年</w:t>
      </w:r>
      <w:r>
        <w:rPr>
          <w:rFonts w:hint="eastAsia" w:ascii="方正小标宋简体" w:hAnsi="宋体" w:eastAsia="方正小标宋简体"/>
          <w:sz w:val="44"/>
          <w:szCs w:val="44"/>
          <w:lang w:val="en-US" w:eastAsia="zh-CN"/>
        </w:rPr>
        <w:t>医疗运转经费</w:t>
      </w:r>
      <w:r>
        <w:rPr>
          <w:rFonts w:hint="eastAsia" w:ascii="方正小标宋简体" w:hAnsi="宋体" w:eastAsia="方正小标宋简体"/>
          <w:sz w:val="44"/>
          <w:szCs w:val="44"/>
        </w:rPr>
        <w:t>项目支出绩效自评</w:t>
      </w:r>
    </w:p>
    <w:p>
      <w:pPr>
        <w:pStyle w:val="4"/>
        <w:spacing w:line="560" w:lineRule="exact"/>
        <w:jc w:val="both"/>
        <w:rPr>
          <w:rFonts w:hint="default" w:ascii="宋体" w:hAnsi="宋体" w:eastAsia="宋体"/>
          <w:color w:val="auto"/>
          <w:kern w:val="2"/>
          <w:sz w:val="32"/>
          <w:szCs w:val="32"/>
          <w:lang w:val="en-US" w:eastAsia="zh-CN"/>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（一）项目资金申报及批复情况。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根据区财政全面预算管理通知的要求，区医院将医疗运转经费上缴财政平台后再由财政按支付计划下达指标计划。根据攀枝花市仁和区财政局《关于批复</w:t>
      </w:r>
      <w:r>
        <w:rPr>
          <w:rFonts w:hint="default" w:ascii="Times New Roman" w:hAnsi="Times New Roman" w:eastAsia="仿宋_GB2312" w:cs="Times New Roman"/>
          <w:sz w:val="32"/>
          <w:szCs w:val="32"/>
          <w:lang w:val="en-US" w:eastAsia="zh-CN"/>
        </w:rPr>
        <w:t>2022</w:t>
      </w:r>
      <w:r>
        <w:rPr>
          <w:rFonts w:hint="eastAsia" w:ascii="仿宋_GB2312" w:hAnsi="仿宋" w:eastAsia="仿宋_GB2312"/>
          <w:sz w:val="32"/>
          <w:szCs w:val="32"/>
          <w:lang w:val="en-US" w:eastAsia="zh-CN"/>
        </w:rPr>
        <w:t>年部门预算的通知》，我院计划收到</w:t>
      </w:r>
      <w:r>
        <w:rPr>
          <w:rFonts w:hint="default" w:ascii="Times New Roman" w:hAnsi="Times New Roman" w:eastAsia="仿宋_GB2312" w:cs="Times New Roman"/>
          <w:sz w:val="32"/>
          <w:szCs w:val="32"/>
          <w:lang w:val="en-US" w:eastAsia="zh-CN"/>
        </w:rPr>
        <w:t>2022</w:t>
      </w:r>
      <w:r>
        <w:rPr>
          <w:rFonts w:hint="eastAsia" w:ascii="仿宋_GB2312" w:hAnsi="仿宋" w:eastAsia="仿宋_GB2312"/>
          <w:sz w:val="32"/>
          <w:szCs w:val="32"/>
          <w:lang w:val="en-US" w:eastAsia="zh-CN"/>
        </w:rPr>
        <w:t>年医疗运转经费</w:t>
      </w:r>
      <w:r>
        <w:rPr>
          <w:rFonts w:hint="default" w:ascii="Times New Roman" w:hAnsi="Times New Roman" w:eastAsia="仿宋_GB2312" w:cs="Times New Roman"/>
          <w:sz w:val="32"/>
          <w:szCs w:val="32"/>
          <w:lang w:val="en-US" w:eastAsia="zh-CN"/>
        </w:rPr>
        <w:t>14387</w:t>
      </w:r>
      <w:r>
        <w:rPr>
          <w:rFonts w:hint="eastAsia" w:ascii="仿宋_GB2312" w:hAnsi="仿宋" w:eastAsia="仿宋_GB2312"/>
          <w:sz w:val="32"/>
          <w:szCs w:val="32"/>
          <w:lang w:val="en-US" w:eastAsia="zh-CN"/>
        </w:rPr>
        <w:t>.</w:t>
      </w:r>
      <w:r>
        <w:rPr>
          <w:rFonts w:hint="default" w:ascii="Times New Roman" w:hAnsi="Times New Roman" w:eastAsia="仿宋_GB2312" w:cs="Times New Roman"/>
          <w:sz w:val="32"/>
          <w:szCs w:val="32"/>
          <w:lang w:val="en-US" w:eastAsia="zh-CN"/>
        </w:rPr>
        <w:t>61</w:t>
      </w:r>
      <w:r>
        <w:rPr>
          <w:rFonts w:hint="eastAsia" w:ascii="仿宋_GB2312" w:hAnsi="仿宋" w:eastAsia="仿宋_GB2312"/>
          <w:sz w:val="32"/>
          <w:szCs w:val="32"/>
          <w:lang w:val="en-US" w:eastAsia="zh-CN"/>
        </w:rPr>
        <w:t>万元。</w:t>
      </w:r>
    </w:p>
    <w:p>
      <w:pPr>
        <w:numPr>
          <w:ilvl w:val="0"/>
          <w:numId w:val="1"/>
        </w:num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项目绩效目标。</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项目计划实现的定性目标为深化公立医院综合改革，建立健全现代医院管理制度，协调推进医疗价格、人事薪酬、药品流通、医保支付改革，提高医疗卫生服务质量；减轻群众经济负担，满足群众医疗卫生服务需求，改善就医环境，巩固等级医院的建设，服务质量持续改进。</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定量目标为维持医院正常运转，完成特定目标任务，保证全院约</w:t>
      </w:r>
      <w:r>
        <w:rPr>
          <w:rFonts w:hint="default" w:ascii="Times New Roman" w:hAnsi="Times New Roman" w:eastAsia="仿宋_GB2312" w:cs="Times New Roman"/>
          <w:sz w:val="32"/>
          <w:szCs w:val="32"/>
          <w:lang w:val="en-US" w:eastAsia="zh-CN"/>
        </w:rPr>
        <w:t>430</w:t>
      </w:r>
      <w:r>
        <w:rPr>
          <w:rFonts w:hint="eastAsia" w:ascii="仿宋_GB2312" w:hAnsi="仿宋" w:eastAsia="仿宋_GB2312"/>
          <w:sz w:val="32"/>
          <w:szCs w:val="32"/>
          <w:lang w:val="en-US" w:eastAsia="zh-CN"/>
        </w:rPr>
        <w:t>余名职工工资及保险的正常发放及缴纳，每年为约</w:t>
      </w:r>
      <w:r>
        <w:rPr>
          <w:rFonts w:hint="default" w:ascii="Times New Roman" w:hAnsi="Times New Roman" w:eastAsia="仿宋_GB2312" w:cs="Times New Roman"/>
          <w:sz w:val="32"/>
          <w:szCs w:val="32"/>
          <w:lang w:val="en-US" w:eastAsia="zh-CN"/>
        </w:rPr>
        <w:t>40</w:t>
      </w:r>
      <w:r>
        <w:rPr>
          <w:rFonts w:hint="eastAsia" w:ascii="仿宋_GB2312" w:hAnsi="仿宋" w:eastAsia="仿宋_GB2312"/>
          <w:sz w:val="32"/>
          <w:szCs w:val="32"/>
          <w:lang w:val="en-US" w:eastAsia="zh-CN"/>
        </w:rPr>
        <w:t>万名患者提供优质的医疗服务。项目按照年初计划进行。</w:t>
      </w:r>
    </w:p>
    <w:p>
      <w:pPr>
        <w:numPr>
          <w:ilvl w:val="0"/>
          <w:numId w:val="0"/>
        </w:numPr>
        <w:adjustRightInd w:val="0"/>
        <w:snapToGrid w:val="0"/>
        <w:spacing w:line="560" w:lineRule="exact"/>
        <w:ind w:left="720" w:leftChars="0"/>
        <w:rPr>
          <w:rFonts w:hint="eastAsia" w:ascii="楷体_GB2312" w:hAnsi="宋体" w:eastAsia="楷体_GB2312"/>
          <w:b/>
          <w:lang w:val="zh-CN"/>
        </w:rPr>
      </w:pPr>
      <w:r>
        <w:rPr>
          <w:rFonts w:hint="eastAsia" w:ascii="楷体_GB2312" w:hAnsi="宋体" w:eastAsia="楷体_GB2312"/>
          <w:b/>
          <w:lang w:val="zh-CN"/>
        </w:rPr>
        <w:t>（</w:t>
      </w:r>
      <w:r>
        <w:rPr>
          <w:rFonts w:hint="eastAsia" w:ascii="楷体_GB2312" w:hAnsi="宋体" w:eastAsia="楷体_GB2312"/>
          <w:b/>
          <w:lang w:val="en-US" w:eastAsia="zh-CN"/>
        </w:rPr>
        <w:t>三</w:t>
      </w:r>
      <w:r>
        <w:rPr>
          <w:rFonts w:hint="eastAsia" w:ascii="楷体_GB2312" w:hAnsi="宋体" w:eastAsia="楷体_GB2312"/>
          <w:b/>
          <w:lang w:val="zh-CN"/>
        </w:rPr>
        <w:t>）项目资金申报相符性。</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项目申报内容与具体实施内容相符，申报目标合理可行。</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hint="eastAsia" w:ascii="楷体_GB2312" w:hAnsi="宋体" w:eastAsia="楷体_GB2312"/>
          <w:lang w:val="zh-CN"/>
        </w:rPr>
      </w:pPr>
      <w:r>
        <w:rPr>
          <w:rFonts w:hint="default" w:ascii="Times New Roman" w:hAnsi="Times New Roman" w:eastAsia="楷体_GB2312" w:cs="Times New Roman"/>
          <w:sz w:val="32"/>
          <w:szCs w:val="32"/>
          <w:lang w:val="zh-CN"/>
        </w:rPr>
        <w:t>1</w:t>
      </w:r>
      <w:r>
        <w:rPr>
          <w:rFonts w:hint="eastAsia" w:ascii="楷体_GB2312" w:hAnsi="宋体" w:eastAsia="楷体_GB2312"/>
          <w:lang w:val="zh-CN"/>
        </w:rPr>
        <w:t>．资金计划及到位。</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根据攀枝花市仁和区财政局《关于批复</w:t>
      </w:r>
      <w:r>
        <w:rPr>
          <w:rFonts w:hint="default" w:ascii="Times New Roman" w:hAnsi="Times New Roman" w:eastAsia="仿宋_GB2312" w:cs="Times New Roman"/>
          <w:sz w:val="32"/>
          <w:szCs w:val="32"/>
          <w:lang w:val="en-US" w:eastAsia="zh-CN"/>
        </w:rPr>
        <w:t>2022</w:t>
      </w:r>
      <w:r>
        <w:rPr>
          <w:rFonts w:hint="eastAsia" w:ascii="仿宋_GB2312" w:hAnsi="仿宋" w:eastAsia="仿宋_GB2312"/>
          <w:sz w:val="32"/>
          <w:szCs w:val="32"/>
          <w:lang w:val="en-US" w:eastAsia="zh-CN"/>
        </w:rPr>
        <w:t>年部门预算的通知》，我院计划收到</w:t>
      </w:r>
      <w:r>
        <w:rPr>
          <w:rFonts w:hint="default" w:ascii="Times New Roman" w:hAnsi="Times New Roman" w:eastAsia="仿宋_GB2312" w:cs="Times New Roman"/>
          <w:sz w:val="32"/>
          <w:szCs w:val="32"/>
          <w:lang w:val="en-US" w:eastAsia="zh-CN"/>
        </w:rPr>
        <w:t>2022</w:t>
      </w:r>
      <w:r>
        <w:rPr>
          <w:rFonts w:hint="eastAsia" w:ascii="仿宋_GB2312" w:hAnsi="仿宋" w:eastAsia="仿宋_GB2312"/>
          <w:sz w:val="32"/>
          <w:szCs w:val="32"/>
          <w:lang w:val="en-US" w:eastAsia="zh-CN"/>
        </w:rPr>
        <w:t>年医疗运转经费</w:t>
      </w:r>
      <w:r>
        <w:rPr>
          <w:rFonts w:hint="default" w:ascii="Times New Roman" w:hAnsi="Times New Roman" w:eastAsia="仿宋_GB2312" w:cs="Times New Roman"/>
          <w:sz w:val="32"/>
          <w:szCs w:val="32"/>
          <w:lang w:val="en-US" w:eastAsia="zh-CN"/>
        </w:rPr>
        <w:t>14387</w:t>
      </w:r>
      <w:r>
        <w:rPr>
          <w:rFonts w:hint="eastAsia" w:ascii="仿宋_GB2312" w:hAnsi="仿宋" w:eastAsia="仿宋_GB2312"/>
          <w:sz w:val="32"/>
          <w:szCs w:val="32"/>
          <w:lang w:val="en-US" w:eastAsia="zh-CN"/>
        </w:rPr>
        <w:t>.</w:t>
      </w:r>
      <w:r>
        <w:rPr>
          <w:rFonts w:hint="default" w:ascii="Times New Roman" w:hAnsi="Times New Roman" w:eastAsia="仿宋_GB2312" w:cs="Times New Roman"/>
          <w:sz w:val="32"/>
          <w:szCs w:val="32"/>
          <w:lang w:val="en-US" w:eastAsia="zh-CN"/>
        </w:rPr>
        <w:t>61</w:t>
      </w:r>
      <w:r>
        <w:rPr>
          <w:rFonts w:hint="eastAsia" w:ascii="仿宋_GB2312" w:hAnsi="仿宋" w:eastAsia="仿宋_GB2312"/>
          <w:sz w:val="32"/>
          <w:szCs w:val="32"/>
          <w:lang w:val="en-US" w:eastAsia="zh-CN"/>
        </w:rPr>
        <w:t>万元，资金计划实际下达</w:t>
      </w:r>
      <w:r>
        <w:rPr>
          <w:rFonts w:hint="default" w:ascii="Times New Roman" w:hAnsi="Times New Roman" w:eastAsia="仿宋_GB2312" w:cs="Times New Roman"/>
          <w:sz w:val="32"/>
          <w:szCs w:val="32"/>
          <w:lang w:val="en-US" w:eastAsia="zh-CN"/>
        </w:rPr>
        <w:t>5364</w:t>
      </w:r>
      <w:r>
        <w:rPr>
          <w:rFonts w:hint="eastAsia" w:ascii="仿宋_GB2312" w:hAnsi="仿宋" w:eastAsia="仿宋_GB2312"/>
          <w:sz w:val="32"/>
          <w:szCs w:val="32"/>
          <w:lang w:val="en-US" w:eastAsia="zh-CN"/>
        </w:rPr>
        <w:t>.</w:t>
      </w:r>
      <w:r>
        <w:rPr>
          <w:rFonts w:hint="default" w:ascii="Times New Roman" w:hAnsi="Times New Roman" w:eastAsia="仿宋_GB2312" w:cs="Times New Roman"/>
          <w:sz w:val="32"/>
          <w:szCs w:val="32"/>
          <w:lang w:val="en-US" w:eastAsia="zh-CN"/>
        </w:rPr>
        <w:t>17</w:t>
      </w:r>
      <w:r>
        <w:rPr>
          <w:rFonts w:hint="eastAsia" w:ascii="仿宋_GB2312" w:hAnsi="仿宋" w:eastAsia="仿宋_GB2312"/>
          <w:sz w:val="32"/>
          <w:szCs w:val="32"/>
          <w:lang w:val="en-US" w:eastAsia="zh-CN"/>
        </w:rPr>
        <w:t>万元。计划未完全下达的原因是从</w:t>
      </w:r>
      <w:r>
        <w:rPr>
          <w:rFonts w:hint="default" w:ascii="Times New Roman" w:hAnsi="Times New Roman" w:eastAsia="仿宋_GB2312" w:cs="Times New Roman"/>
          <w:sz w:val="32"/>
          <w:szCs w:val="32"/>
          <w:lang w:val="en-US" w:eastAsia="zh-CN"/>
        </w:rPr>
        <w:t>2022</w:t>
      </w:r>
      <w:r>
        <w:rPr>
          <w:rFonts w:hint="eastAsia" w:ascii="仿宋_GB2312" w:hAnsi="仿宋" w:eastAsia="仿宋_GB2312"/>
          <w:sz w:val="32"/>
          <w:szCs w:val="32"/>
          <w:lang w:val="en-US" w:eastAsia="zh-CN"/>
        </w:rPr>
        <w:t>年起医院的医疗运转经费不再完全上缴财政平台，只是分别在一、二季度进行资金归垫</w:t>
      </w:r>
      <w:r>
        <w:rPr>
          <w:rFonts w:hint="default" w:ascii="Times New Roman" w:hAnsi="Times New Roman" w:eastAsia="仿宋_GB2312" w:cs="Times New Roman"/>
          <w:sz w:val="32"/>
          <w:szCs w:val="32"/>
          <w:lang w:val="en-US" w:eastAsia="zh-CN"/>
        </w:rPr>
        <w:t>4014</w:t>
      </w:r>
      <w:r>
        <w:rPr>
          <w:rFonts w:hint="eastAsia" w:ascii="仿宋_GB2312" w:hAnsi="仿宋" w:eastAsia="仿宋_GB2312"/>
          <w:sz w:val="32"/>
          <w:szCs w:val="32"/>
          <w:lang w:val="en-US" w:eastAsia="zh-CN"/>
        </w:rPr>
        <w:t>.</w:t>
      </w:r>
      <w:r>
        <w:rPr>
          <w:rFonts w:hint="default" w:ascii="Times New Roman" w:hAnsi="Times New Roman" w:eastAsia="仿宋_GB2312" w:cs="Times New Roman"/>
          <w:sz w:val="32"/>
          <w:szCs w:val="32"/>
          <w:lang w:val="en-US" w:eastAsia="zh-CN"/>
        </w:rPr>
        <w:t>17</w:t>
      </w:r>
      <w:r>
        <w:rPr>
          <w:rFonts w:hint="eastAsia" w:ascii="仿宋_GB2312" w:hAnsi="仿宋" w:eastAsia="仿宋_GB2312"/>
          <w:sz w:val="32"/>
          <w:szCs w:val="32"/>
          <w:lang w:val="en-US" w:eastAsia="zh-CN"/>
        </w:rPr>
        <w:t>万元，上缴平台</w:t>
      </w:r>
      <w:r>
        <w:rPr>
          <w:rFonts w:hint="default" w:ascii="Times New Roman" w:hAnsi="Times New Roman" w:eastAsia="仿宋_GB2312" w:cs="Times New Roman"/>
          <w:sz w:val="32"/>
          <w:szCs w:val="32"/>
          <w:lang w:val="en-US" w:eastAsia="zh-CN"/>
        </w:rPr>
        <w:t>1350</w:t>
      </w:r>
      <w:r>
        <w:rPr>
          <w:rFonts w:hint="eastAsia" w:ascii="仿宋_GB2312" w:hAnsi="仿宋" w:eastAsia="仿宋_GB2312"/>
          <w:sz w:val="32"/>
          <w:szCs w:val="32"/>
          <w:lang w:val="en-US" w:eastAsia="zh-CN"/>
        </w:rPr>
        <w:t>.</w:t>
      </w:r>
      <w:r>
        <w:rPr>
          <w:rFonts w:hint="default" w:ascii="Times New Roman" w:hAnsi="Times New Roman" w:eastAsia="仿宋_GB2312" w:cs="Times New Roman"/>
          <w:sz w:val="32"/>
          <w:szCs w:val="32"/>
          <w:lang w:val="en-US" w:eastAsia="zh-CN"/>
        </w:rPr>
        <w:t>0</w:t>
      </w:r>
      <w:r>
        <w:rPr>
          <w:rFonts w:hint="eastAsia" w:ascii="仿宋_GB2312" w:hAnsi="仿宋" w:eastAsia="仿宋_GB2312"/>
          <w:sz w:val="32"/>
          <w:szCs w:val="32"/>
          <w:lang w:val="en-US" w:eastAsia="zh-CN"/>
        </w:rPr>
        <w:t>万元用于药品及卫生材料等的支付。</w:t>
      </w:r>
    </w:p>
    <w:p>
      <w:pPr>
        <w:numPr>
          <w:ilvl w:val="0"/>
          <w:numId w:val="2"/>
        </w:numPr>
        <w:adjustRightInd w:val="0"/>
        <w:snapToGrid w:val="0"/>
        <w:spacing w:line="560" w:lineRule="exact"/>
        <w:ind w:firstLine="720"/>
        <w:rPr>
          <w:rFonts w:hint="eastAsia" w:ascii="仿宋_GB2312" w:hAnsi="宋体"/>
          <w:lang w:val="zh-CN"/>
        </w:rPr>
      </w:pPr>
      <w:r>
        <w:rPr>
          <w:rFonts w:hint="eastAsia" w:ascii="楷体_GB2312" w:hAnsi="宋体" w:eastAsia="楷体_GB2312"/>
          <w:lang w:val="zh-CN"/>
        </w:rPr>
        <w:t>资金使用。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截止</w:t>
      </w:r>
      <w:r>
        <w:rPr>
          <w:rFonts w:hint="default" w:ascii="Times New Roman" w:hAnsi="Times New Roman" w:eastAsia="仿宋_GB2312" w:cs="Times New Roman"/>
          <w:sz w:val="32"/>
          <w:szCs w:val="32"/>
          <w:lang w:val="en-US" w:eastAsia="zh-CN"/>
        </w:rPr>
        <w:t>2022</w:t>
      </w:r>
      <w:r>
        <w:rPr>
          <w:rFonts w:hint="eastAsia" w:ascii="仿宋_GB2312" w:hAnsi="仿宋" w:eastAsia="仿宋_GB2312"/>
          <w:sz w:val="32"/>
          <w:szCs w:val="32"/>
          <w:lang w:val="en-US" w:eastAsia="zh-CN"/>
        </w:rPr>
        <w:t>年底下达的</w:t>
      </w:r>
      <w:r>
        <w:rPr>
          <w:rFonts w:hint="default" w:ascii="Times New Roman" w:hAnsi="Times New Roman" w:eastAsia="仿宋_GB2312" w:cs="Times New Roman"/>
          <w:sz w:val="32"/>
          <w:szCs w:val="32"/>
          <w:lang w:val="en-US" w:eastAsia="zh-CN"/>
        </w:rPr>
        <w:t>5364</w:t>
      </w:r>
      <w:r>
        <w:rPr>
          <w:rFonts w:hint="eastAsia" w:ascii="仿宋_GB2312" w:hAnsi="仿宋" w:eastAsia="仿宋_GB2312"/>
          <w:sz w:val="32"/>
          <w:szCs w:val="32"/>
          <w:lang w:val="en-US" w:eastAsia="zh-CN"/>
        </w:rPr>
        <w:t>.</w:t>
      </w:r>
      <w:r>
        <w:rPr>
          <w:rFonts w:hint="default" w:ascii="Times New Roman" w:hAnsi="Times New Roman" w:eastAsia="仿宋_GB2312" w:cs="Times New Roman"/>
          <w:sz w:val="32"/>
          <w:szCs w:val="32"/>
          <w:lang w:val="en-US" w:eastAsia="zh-CN"/>
        </w:rPr>
        <w:t>17</w:t>
      </w:r>
      <w:r>
        <w:rPr>
          <w:rFonts w:hint="eastAsia" w:ascii="仿宋_GB2312" w:hAnsi="仿宋" w:eastAsia="仿宋_GB2312"/>
          <w:sz w:val="32"/>
          <w:szCs w:val="32"/>
          <w:lang w:val="en-US" w:eastAsia="zh-CN"/>
        </w:rPr>
        <w:t>万元医疗运转经费已全部支付，资金支付率为</w:t>
      </w:r>
      <w:r>
        <w:rPr>
          <w:rFonts w:hint="default" w:ascii="Times New Roman" w:hAnsi="Times New Roman" w:eastAsia="仿宋_GB2312" w:cs="Times New Roman"/>
          <w:sz w:val="32"/>
          <w:szCs w:val="32"/>
          <w:lang w:val="en-US" w:eastAsia="zh-CN"/>
        </w:rPr>
        <w:t>100</w:t>
      </w:r>
      <w:r>
        <w:rPr>
          <w:rFonts w:hint="eastAsia" w:ascii="仿宋_GB2312" w:hAnsi="仿宋" w:eastAsia="仿宋_GB2312"/>
          <w:sz w:val="32"/>
          <w:szCs w:val="32"/>
          <w:lang w:val="en-US" w:eastAsia="zh-CN"/>
        </w:rPr>
        <w:t>.</w:t>
      </w:r>
      <w:r>
        <w:rPr>
          <w:rFonts w:hint="default" w:ascii="Times New Roman" w:hAnsi="Times New Roman" w:eastAsia="仿宋_GB2312" w:cs="Times New Roman"/>
          <w:sz w:val="32"/>
          <w:szCs w:val="32"/>
          <w:lang w:val="en-US" w:eastAsia="zh-CN"/>
        </w:rPr>
        <w:t>0</w:t>
      </w:r>
      <w:r>
        <w:rPr>
          <w:rFonts w:hint="eastAsia" w:ascii="仿宋_GB2312" w:hAnsi="仿宋" w:eastAsia="仿宋_GB2312"/>
          <w:sz w:val="32"/>
          <w:szCs w:val="32"/>
          <w:lang w:val="en-US" w:eastAsia="zh-CN"/>
        </w:rPr>
        <w:t>%。支付依据合规合法，资金支付与年初部门支出经济分类科目批复未完全相符，原因为归垫资金计划未按照实际支付分类补下达。</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hint="eastAsia" w:ascii="方正仿宋_GB2312" w:hAnsi="方正仿宋_GB2312" w:eastAsia="方正仿宋_GB2312" w:cs="方正仿宋_GB2312"/>
          <w:lang w:val="en-US" w:eastAsia="zh-CN"/>
        </w:rPr>
      </w:pPr>
      <w:r>
        <w:rPr>
          <w:rFonts w:hint="eastAsia" w:ascii="仿宋_GB2312" w:hAnsi="仿宋" w:eastAsia="仿宋_GB2312"/>
          <w:sz w:val="32"/>
          <w:szCs w:val="32"/>
          <w:lang w:val="en-US" w:eastAsia="zh-CN"/>
        </w:rPr>
        <w:t>医疗运转经费项目严格执行财务管理制度，区财政根据资金使用计划安排医院上缴经费及完成资金归垫。医院按照业务发生月份进行账务处理，财务处理及时规范</w:t>
      </w:r>
      <w:r>
        <w:rPr>
          <w:rFonts w:hint="eastAsia" w:ascii="方正仿宋_GB2312" w:hAnsi="方正仿宋_GB2312" w:eastAsia="方正仿宋_GB2312" w:cs="方正仿宋_GB2312"/>
          <w:lang w:val="en-US" w:eastAsia="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项目由医院财务科根据年初预算批复进行资金使用计划。其中归垫资金</w:t>
      </w:r>
      <w:r>
        <w:rPr>
          <w:rFonts w:hint="default" w:ascii="Times New Roman" w:hAnsi="Times New Roman" w:eastAsia="仿宋_GB2312" w:cs="Times New Roman"/>
          <w:sz w:val="32"/>
          <w:szCs w:val="32"/>
          <w:lang w:val="en-US" w:eastAsia="zh-CN"/>
        </w:rPr>
        <w:t>4014</w:t>
      </w:r>
      <w:r>
        <w:rPr>
          <w:rFonts w:hint="eastAsia" w:ascii="仿宋_GB2312" w:hAnsi="仿宋" w:eastAsia="仿宋_GB2312"/>
          <w:sz w:val="32"/>
          <w:szCs w:val="32"/>
          <w:lang w:val="en-US" w:eastAsia="zh-CN"/>
        </w:rPr>
        <w:t>.</w:t>
      </w:r>
      <w:r>
        <w:rPr>
          <w:rFonts w:hint="default" w:ascii="Times New Roman" w:hAnsi="Times New Roman" w:eastAsia="仿宋_GB2312" w:cs="Times New Roman"/>
          <w:sz w:val="32"/>
          <w:szCs w:val="32"/>
          <w:lang w:val="en-US" w:eastAsia="zh-CN"/>
        </w:rPr>
        <w:t>17</w:t>
      </w:r>
      <w:r>
        <w:rPr>
          <w:rFonts w:hint="eastAsia" w:ascii="仿宋_GB2312" w:hAnsi="仿宋" w:eastAsia="仿宋_GB2312"/>
          <w:sz w:val="32"/>
          <w:szCs w:val="32"/>
          <w:lang w:val="en-US" w:eastAsia="zh-CN"/>
        </w:rPr>
        <w:t>万元已由医院先行支付工资及各种保险，后再办理归垫；上缴财政平台</w:t>
      </w:r>
      <w:r>
        <w:rPr>
          <w:rFonts w:hint="default" w:ascii="Times New Roman" w:hAnsi="Times New Roman" w:eastAsia="仿宋_GB2312" w:cs="Times New Roman"/>
          <w:sz w:val="32"/>
          <w:szCs w:val="32"/>
          <w:lang w:val="en-US" w:eastAsia="zh-CN"/>
        </w:rPr>
        <w:t>1350</w:t>
      </w:r>
      <w:r>
        <w:rPr>
          <w:rFonts w:hint="eastAsia" w:ascii="仿宋_GB2312" w:hAnsi="仿宋" w:eastAsia="仿宋_GB2312"/>
          <w:sz w:val="32"/>
          <w:szCs w:val="32"/>
          <w:lang w:val="en-US" w:eastAsia="zh-CN"/>
        </w:rPr>
        <w:t>.</w:t>
      </w:r>
      <w:r>
        <w:rPr>
          <w:rFonts w:hint="default" w:ascii="Times New Roman" w:hAnsi="Times New Roman" w:eastAsia="仿宋_GB2312" w:cs="Times New Roman"/>
          <w:sz w:val="32"/>
          <w:szCs w:val="32"/>
          <w:lang w:val="en-US" w:eastAsia="zh-CN"/>
        </w:rPr>
        <w:t>0</w:t>
      </w:r>
      <w:r>
        <w:rPr>
          <w:rFonts w:hint="eastAsia" w:ascii="仿宋_GB2312" w:hAnsi="仿宋" w:eastAsia="仿宋_GB2312"/>
          <w:sz w:val="32"/>
          <w:szCs w:val="32"/>
          <w:lang w:val="en-US" w:eastAsia="zh-CN"/>
        </w:rPr>
        <w:t>万元用于支付医院购置药品及卫材款项。</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项目根据下达指标用于支付职工工资、绩效工资、奖励性绩效</w:t>
      </w:r>
      <w:r>
        <w:rPr>
          <w:rFonts w:hint="default" w:ascii="Times New Roman" w:hAnsi="Times New Roman" w:eastAsia="仿宋_GB2312" w:cs="Times New Roman"/>
          <w:sz w:val="32"/>
          <w:szCs w:val="32"/>
          <w:lang w:val="en-US" w:eastAsia="zh-CN"/>
        </w:rPr>
        <w:t>30</w:t>
      </w:r>
      <w:r>
        <w:rPr>
          <w:rFonts w:hint="eastAsia" w:ascii="仿宋_GB2312" w:hAnsi="仿宋" w:eastAsia="仿宋_GB2312"/>
          <w:sz w:val="32"/>
          <w:szCs w:val="32"/>
          <w:lang w:val="en-US" w:eastAsia="zh-CN"/>
        </w:rPr>
        <w:t>%及各种保险、药品和卫生材料款项等。</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（二）项目效益情况。</w:t>
      </w:r>
    </w:p>
    <w:tbl>
      <w:tblPr>
        <w:tblStyle w:val="2"/>
        <w:tblW w:w="0" w:type="auto"/>
        <w:tblInd w:w="0" w:type="dxa"/>
        <w:tblLayout w:type="autofit"/>
        <w:tblCellMar>
          <w:top w:w="0" w:type="dxa"/>
          <w:left w:w="108" w:type="dxa"/>
          <w:bottom w:w="0" w:type="dxa"/>
          <w:right w:w="108" w:type="dxa"/>
        </w:tblCellMar>
      </w:tblPr>
      <w:tblGrid>
        <w:gridCol w:w="840"/>
        <w:gridCol w:w="806"/>
        <w:gridCol w:w="923"/>
        <w:gridCol w:w="835"/>
        <w:gridCol w:w="1464"/>
        <w:gridCol w:w="3654"/>
      </w:tblGrid>
      <w:tr>
        <w:tblPrEx>
          <w:tblCellMar>
            <w:top w:w="0" w:type="dxa"/>
            <w:left w:w="108" w:type="dxa"/>
            <w:bottom w:w="0" w:type="dxa"/>
            <w:right w:w="108" w:type="dxa"/>
          </w:tblCellMar>
        </w:tblPrEx>
        <w:trPr>
          <w:trHeight w:val="57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rPr>
              <w:t>年度总体目标</w:t>
            </w:r>
          </w:p>
        </w:tc>
        <w:tc>
          <w:tcPr>
            <w:tcW w:w="0" w:type="auto"/>
            <w:gridSpan w:val="3"/>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rPr>
              <w:t>预期目标</w:t>
            </w:r>
          </w:p>
        </w:tc>
        <w:tc>
          <w:tcPr>
            <w:tcW w:w="0" w:type="auto"/>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rPr>
              <w:t>目标实际完成情况</w:t>
            </w:r>
          </w:p>
        </w:tc>
      </w:tr>
      <w:tr>
        <w:tblPrEx>
          <w:tblCellMar>
            <w:top w:w="0" w:type="dxa"/>
            <w:left w:w="108" w:type="dxa"/>
            <w:bottom w:w="0" w:type="dxa"/>
            <w:right w:w="108" w:type="dxa"/>
          </w:tblCellMar>
        </w:tblPrEx>
        <w:trPr>
          <w:trHeight w:val="9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rPr>
              <w:t>完成情况</w:t>
            </w:r>
          </w:p>
        </w:tc>
        <w:tc>
          <w:tcPr>
            <w:tcW w:w="0" w:type="auto"/>
            <w:gridSpan w:val="3"/>
            <w:tcBorders>
              <w:top w:val="single" w:color="auto" w:sz="4" w:space="0"/>
              <w:left w:val="nil"/>
              <w:bottom w:val="single" w:color="auto" w:sz="4" w:space="0"/>
              <w:right w:val="single" w:color="000000" w:sz="4" w:space="0"/>
            </w:tcBorders>
            <w:shd w:val="clear" w:color="auto" w:fill="auto"/>
            <w:noWrap w:val="0"/>
            <w:vAlign w:val="top"/>
          </w:tcPr>
          <w:p>
            <w:pPr>
              <w:widowControl/>
              <w:jc w:val="left"/>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rPr>
              <w:t>保障医院正常运行，促进区政府对国有资产管控，把有限的资金用在刀刃上</w:t>
            </w:r>
          </w:p>
        </w:tc>
        <w:tc>
          <w:tcPr>
            <w:tcW w:w="0" w:type="auto"/>
            <w:gridSpan w:val="2"/>
            <w:tcBorders>
              <w:top w:val="single" w:color="auto" w:sz="4" w:space="0"/>
              <w:left w:val="nil"/>
              <w:bottom w:val="single" w:color="auto" w:sz="4" w:space="0"/>
              <w:right w:val="single" w:color="000000" w:sz="4" w:space="0"/>
            </w:tcBorders>
            <w:shd w:val="clear" w:color="auto" w:fill="auto"/>
            <w:noWrap w:val="0"/>
            <w:vAlign w:val="top"/>
          </w:tcPr>
          <w:p>
            <w:pPr>
              <w:widowControl/>
              <w:jc w:val="left"/>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rPr>
              <w:t>通过项目的实施，保障医院正常运行，促进区政府对国有资产管控，促进了医院在资金使用上更加规范化、制度化，全面提升医院综合水平</w:t>
            </w:r>
          </w:p>
        </w:tc>
      </w:tr>
      <w:tr>
        <w:tblPrEx>
          <w:tblCellMar>
            <w:top w:w="0" w:type="dxa"/>
            <w:left w:w="108" w:type="dxa"/>
            <w:bottom w:w="0" w:type="dxa"/>
            <w:right w:w="108" w:type="dxa"/>
          </w:tblCellMar>
        </w:tblPrEx>
        <w:trPr>
          <w:trHeight w:val="660" w:hRule="atLeast"/>
        </w:trPr>
        <w:tc>
          <w:tcPr>
            <w:tcW w:w="0" w:type="auto"/>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rPr>
              <w:t>年度绩效指标完成情况</w:t>
            </w:r>
          </w:p>
        </w:tc>
        <w:tc>
          <w:tcPr>
            <w:tcW w:w="0" w:type="auto"/>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rPr>
              <w:t>一级      指标</w:t>
            </w:r>
          </w:p>
        </w:tc>
        <w:tc>
          <w:tcPr>
            <w:tcW w:w="0" w:type="auto"/>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rPr>
              <w:t>二级          指标</w:t>
            </w:r>
          </w:p>
        </w:tc>
        <w:tc>
          <w:tcPr>
            <w:tcW w:w="0" w:type="auto"/>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rPr>
              <w:t>三级       指标</w:t>
            </w:r>
          </w:p>
        </w:tc>
        <w:tc>
          <w:tcPr>
            <w:tcW w:w="0" w:type="auto"/>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rPr>
              <w:t>预期指标值</w:t>
            </w:r>
          </w:p>
        </w:tc>
        <w:tc>
          <w:tcPr>
            <w:tcW w:w="0" w:type="auto"/>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rPr>
              <w:t>实际完成指标值</w:t>
            </w:r>
          </w:p>
        </w:tc>
      </w:tr>
      <w:tr>
        <w:tblPrEx>
          <w:tblCellMar>
            <w:top w:w="0" w:type="dxa"/>
            <w:left w:w="108" w:type="dxa"/>
            <w:bottom w:w="0" w:type="dxa"/>
            <w:right w:w="108" w:type="dxa"/>
          </w:tblCellMar>
        </w:tblPrEx>
        <w:trPr>
          <w:trHeight w:val="312" w:hRule="atLeast"/>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方正仿宋_GB2312" w:hAnsi="方正仿宋_GB2312" w:eastAsia="方正仿宋_GB2312" w:cs="方正仿宋_GB2312"/>
                <w:color w:val="000000"/>
                <w:kern w:val="0"/>
                <w:sz w:val="21"/>
                <w:szCs w:val="21"/>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方正仿宋_GB2312" w:hAnsi="方正仿宋_GB2312" w:eastAsia="方正仿宋_GB2312" w:cs="方正仿宋_GB2312"/>
                <w:color w:val="000000"/>
                <w:kern w:val="0"/>
                <w:sz w:val="21"/>
                <w:szCs w:val="21"/>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方正仿宋_GB2312" w:hAnsi="方正仿宋_GB2312" w:eastAsia="方正仿宋_GB2312" w:cs="方正仿宋_GB2312"/>
                <w:color w:val="000000"/>
                <w:kern w:val="0"/>
                <w:sz w:val="21"/>
                <w:szCs w:val="21"/>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方正仿宋_GB2312" w:hAnsi="方正仿宋_GB2312" w:eastAsia="方正仿宋_GB2312" w:cs="方正仿宋_GB2312"/>
                <w:color w:val="000000"/>
                <w:kern w:val="0"/>
                <w:sz w:val="21"/>
                <w:szCs w:val="21"/>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方正仿宋_GB2312" w:hAnsi="方正仿宋_GB2312" w:eastAsia="方正仿宋_GB2312" w:cs="方正仿宋_GB2312"/>
                <w:color w:val="000000"/>
                <w:kern w:val="0"/>
                <w:sz w:val="21"/>
                <w:szCs w:val="21"/>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方正仿宋_GB2312" w:hAnsi="方正仿宋_GB2312" w:eastAsia="方正仿宋_GB2312" w:cs="方正仿宋_GB2312"/>
                <w:color w:val="000000"/>
                <w:kern w:val="0"/>
                <w:sz w:val="21"/>
                <w:szCs w:val="21"/>
              </w:rPr>
            </w:pPr>
          </w:p>
        </w:tc>
      </w:tr>
      <w:tr>
        <w:tblPrEx>
          <w:tblCellMar>
            <w:top w:w="0" w:type="dxa"/>
            <w:left w:w="108" w:type="dxa"/>
            <w:bottom w:w="0" w:type="dxa"/>
            <w:right w:w="108" w:type="dxa"/>
          </w:tblCellMar>
        </w:tblPrEx>
        <w:trPr>
          <w:trHeight w:val="405" w:hRule="atLeast"/>
        </w:trPr>
        <w:tc>
          <w:tcPr>
            <w:tcW w:w="0" w:type="auto"/>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方正仿宋_GB2312" w:hAnsi="方正仿宋_GB2312" w:eastAsia="方正仿宋_GB2312" w:cs="方正仿宋_GB2312"/>
                <w:color w:val="000000"/>
                <w:kern w:val="0"/>
                <w:sz w:val="21"/>
                <w:szCs w:val="21"/>
              </w:rPr>
            </w:pPr>
          </w:p>
        </w:tc>
        <w:tc>
          <w:tcPr>
            <w:tcW w:w="0" w:type="auto"/>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rPr>
              <w:t>完成     指标</w:t>
            </w:r>
          </w:p>
        </w:tc>
        <w:tc>
          <w:tcPr>
            <w:tcW w:w="0" w:type="auto"/>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rPr>
              <w:t>数量指标</w:t>
            </w:r>
          </w:p>
        </w:tc>
        <w:tc>
          <w:tcPr>
            <w:tcW w:w="0" w:type="auto"/>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rPr>
              <w:t>　</w:t>
            </w:r>
          </w:p>
        </w:tc>
        <w:tc>
          <w:tcPr>
            <w:tcW w:w="0" w:type="auto"/>
            <w:tcBorders>
              <w:top w:val="nil"/>
              <w:left w:val="nil"/>
              <w:bottom w:val="single" w:color="auto" w:sz="4" w:space="0"/>
              <w:right w:val="single" w:color="auto" w:sz="4" w:space="0"/>
            </w:tcBorders>
            <w:shd w:val="clear" w:color="auto" w:fill="auto"/>
            <w:noWrap w:val="0"/>
            <w:vAlign w:val="top"/>
          </w:tcPr>
          <w:p>
            <w:pPr>
              <w:widowControl/>
              <w:jc w:val="left"/>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rPr>
              <w:t>预期指标执行率</w:t>
            </w:r>
            <w:r>
              <w:rPr>
                <w:rFonts w:hint="default" w:ascii="Times New Roman" w:hAnsi="Times New Roman" w:eastAsia="方正仿宋_GB2312" w:cs="Times New Roman"/>
                <w:color w:val="000000"/>
                <w:kern w:val="0"/>
                <w:sz w:val="21"/>
                <w:szCs w:val="21"/>
                <w:lang w:val="en-US" w:eastAsia="zh-CN"/>
              </w:rPr>
              <w:t>100</w:t>
            </w:r>
            <w:r>
              <w:rPr>
                <w:rFonts w:hint="eastAsia" w:ascii="方正仿宋_GB2312" w:hAnsi="方正仿宋_GB2312" w:eastAsia="方正仿宋_GB2312" w:cs="方正仿宋_GB2312"/>
                <w:color w:val="000000"/>
                <w:kern w:val="0"/>
                <w:sz w:val="21"/>
                <w:szCs w:val="21"/>
              </w:rPr>
              <w:t>%</w:t>
            </w:r>
          </w:p>
        </w:tc>
        <w:tc>
          <w:tcPr>
            <w:tcW w:w="0" w:type="auto"/>
            <w:tcBorders>
              <w:top w:val="nil"/>
              <w:left w:val="nil"/>
              <w:bottom w:val="single" w:color="auto" w:sz="4" w:space="0"/>
              <w:right w:val="single" w:color="auto" w:sz="4" w:space="0"/>
            </w:tcBorders>
            <w:shd w:val="clear" w:color="auto" w:fill="auto"/>
            <w:noWrap w:val="0"/>
            <w:vAlign w:val="top"/>
          </w:tcPr>
          <w:p>
            <w:pPr>
              <w:widowControl/>
              <w:jc w:val="left"/>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rPr>
              <w:t>实际完成指标值</w:t>
            </w:r>
            <w:r>
              <w:rPr>
                <w:rFonts w:hint="default" w:ascii="Times New Roman" w:hAnsi="Times New Roman" w:eastAsia="方正仿宋_GB2312" w:cs="Times New Roman"/>
                <w:color w:val="000000"/>
                <w:kern w:val="0"/>
                <w:sz w:val="21"/>
                <w:szCs w:val="21"/>
                <w:lang w:val="en-US" w:eastAsia="zh-CN"/>
              </w:rPr>
              <w:t>37</w:t>
            </w:r>
            <w:r>
              <w:rPr>
                <w:rFonts w:hint="eastAsia" w:ascii="方正仿宋_GB2312" w:hAnsi="方正仿宋_GB2312" w:eastAsia="方正仿宋_GB2312" w:cs="方正仿宋_GB2312"/>
                <w:color w:val="000000"/>
                <w:kern w:val="0"/>
                <w:sz w:val="21"/>
                <w:szCs w:val="21"/>
                <w:lang w:val="en-US" w:eastAsia="zh-CN"/>
              </w:rPr>
              <w:t>.</w:t>
            </w:r>
            <w:r>
              <w:rPr>
                <w:rFonts w:hint="default" w:ascii="Times New Roman" w:hAnsi="Times New Roman" w:eastAsia="方正仿宋_GB2312" w:cs="Times New Roman"/>
                <w:color w:val="000000"/>
                <w:kern w:val="0"/>
                <w:sz w:val="21"/>
                <w:szCs w:val="21"/>
                <w:lang w:val="en-US" w:eastAsia="zh-CN"/>
              </w:rPr>
              <w:t>28</w:t>
            </w:r>
            <w:r>
              <w:rPr>
                <w:rFonts w:hint="eastAsia" w:ascii="方正仿宋_GB2312" w:hAnsi="方正仿宋_GB2312" w:eastAsia="方正仿宋_GB2312" w:cs="方正仿宋_GB2312"/>
                <w:color w:val="000000"/>
                <w:kern w:val="0"/>
                <w:sz w:val="21"/>
                <w:szCs w:val="21"/>
              </w:rPr>
              <w:t>%</w:t>
            </w:r>
          </w:p>
        </w:tc>
      </w:tr>
      <w:tr>
        <w:tblPrEx>
          <w:tblCellMar>
            <w:top w:w="0" w:type="dxa"/>
            <w:left w:w="108" w:type="dxa"/>
            <w:bottom w:w="0" w:type="dxa"/>
            <w:right w:w="108" w:type="dxa"/>
          </w:tblCellMar>
        </w:tblPrEx>
        <w:trPr>
          <w:trHeight w:val="690" w:hRule="atLeast"/>
        </w:trPr>
        <w:tc>
          <w:tcPr>
            <w:tcW w:w="0" w:type="auto"/>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方正仿宋_GB2312" w:hAnsi="方正仿宋_GB2312" w:eastAsia="方正仿宋_GB2312" w:cs="方正仿宋_GB2312"/>
                <w:color w:val="000000"/>
                <w:kern w:val="0"/>
                <w:sz w:val="21"/>
                <w:szCs w:val="21"/>
              </w:rPr>
            </w:pPr>
          </w:p>
        </w:tc>
        <w:tc>
          <w:tcPr>
            <w:tcW w:w="0" w:type="auto"/>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方正仿宋_GB2312" w:hAnsi="方正仿宋_GB2312" w:eastAsia="方正仿宋_GB2312" w:cs="方正仿宋_GB2312"/>
                <w:color w:val="000000"/>
                <w:kern w:val="0"/>
                <w:sz w:val="21"/>
                <w:szCs w:val="21"/>
              </w:rPr>
            </w:pPr>
          </w:p>
        </w:tc>
        <w:tc>
          <w:tcPr>
            <w:tcW w:w="0" w:type="auto"/>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rPr>
              <w:t>质量指标</w:t>
            </w:r>
          </w:p>
        </w:tc>
        <w:tc>
          <w:tcPr>
            <w:tcW w:w="0" w:type="auto"/>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rPr>
              <w:t>　</w:t>
            </w:r>
          </w:p>
        </w:tc>
        <w:tc>
          <w:tcPr>
            <w:tcW w:w="0" w:type="auto"/>
            <w:tcBorders>
              <w:top w:val="nil"/>
              <w:left w:val="nil"/>
              <w:bottom w:val="single" w:color="auto" w:sz="4" w:space="0"/>
              <w:right w:val="single" w:color="auto" w:sz="4" w:space="0"/>
            </w:tcBorders>
            <w:shd w:val="clear" w:color="auto" w:fill="auto"/>
            <w:noWrap w:val="0"/>
            <w:vAlign w:val="top"/>
          </w:tcPr>
          <w:p>
            <w:pPr>
              <w:widowControl/>
              <w:jc w:val="left"/>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rPr>
              <w:t>加强财务管理，夯实经济管理基础，开源节流</w:t>
            </w:r>
          </w:p>
        </w:tc>
        <w:tc>
          <w:tcPr>
            <w:tcW w:w="0" w:type="auto"/>
            <w:tcBorders>
              <w:top w:val="nil"/>
              <w:left w:val="nil"/>
              <w:bottom w:val="single" w:color="auto" w:sz="4" w:space="0"/>
              <w:right w:val="single" w:color="auto" w:sz="4" w:space="0"/>
            </w:tcBorders>
            <w:shd w:val="clear" w:color="auto" w:fill="auto"/>
            <w:noWrap w:val="0"/>
            <w:vAlign w:val="top"/>
          </w:tcPr>
          <w:p>
            <w:pPr>
              <w:widowControl/>
              <w:jc w:val="left"/>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rPr>
              <w:t>减少了医院自筹资金支出，促进了医院健康持续发展</w:t>
            </w:r>
          </w:p>
        </w:tc>
      </w:tr>
      <w:tr>
        <w:tblPrEx>
          <w:tblCellMar>
            <w:top w:w="0" w:type="dxa"/>
            <w:left w:w="108" w:type="dxa"/>
            <w:bottom w:w="0" w:type="dxa"/>
            <w:right w:w="108" w:type="dxa"/>
          </w:tblCellMar>
        </w:tblPrEx>
        <w:trPr>
          <w:trHeight w:val="405" w:hRule="atLeast"/>
        </w:trPr>
        <w:tc>
          <w:tcPr>
            <w:tcW w:w="0" w:type="auto"/>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方正仿宋_GB2312" w:hAnsi="方正仿宋_GB2312" w:eastAsia="方正仿宋_GB2312" w:cs="方正仿宋_GB2312"/>
                <w:color w:val="000000"/>
                <w:kern w:val="0"/>
                <w:sz w:val="21"/>
                <w:szCs w:val="21"/>
              </w:rPr>
            </w:pPr>
          </w:p>
        </w:tc>
        <w:tc>
          <w:tcPr>
            <w:tcW w:w="0" w:type="auto"/>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方正仿宋_GB2312" w:hAnsi="方正仿宋_GB2312" w:eastAsia="方正仿宋_GB2312" w:cs="方正仿宋_GB2312"/>
                <w:color w:val="000000"/>
                <w:kern w:val="0"/>
                <w:sz w:val="21"/>
                <w:szCs w:val="21"/>
              </w:rPr>
            </w:pPr>
          </w:p>
        </w:tc>
        <w:tc>
          <w:tcPr>
            <w:tcW w:w="0" w:type="auto"/>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rPr>
              <w:t>时效指标</w:t>
            </w:r>
          </w:p>
        </w:tc>
        <w:tc>
          <w:tcPr>
            <w:tcW w:w="0" w:type="auto"/>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rPr>
              <w:t>　</w:t>
            </w:r>
          </w:p>
        </w:tc>
        <w:tc>
          <w:tcPr>
            <w:tcW w:w="0" w:type="auto"/>
            <w:tcBorders>
              <w:top w:val="nil"/>
              <w:left w:val="nil"/>
              <w:bottom w:val="single" w:color="auto" w:sz="4" w:space="0"/>
              <w:right w:val="single" w:color="auto" w:sz="4" w:space="0"/>
            </w:tcBorders>
            <w:shd w:val="clear" w:color="auto" w:fill="auto"/>
            <w:noWrap w:val="0"/>
            <w:vAlign w:val="center"/>
          </w:tcPr>
          <w:p>
            <w:pPr>
              <w:widowControl/>
              <w:jc w:val="left"/>
              <w:rPr>
                <w:rFonts w:hint="eastAsia" w:ascii="方正仿宋_GB2312" w:hAnsi="方正仿宋_GB2312" w:eastAsia="方正仿宋_GB2312" w:cs="方正仿宋_GB2312"/>
                <w:color w:val="000000"/>
                <w:kern w:val="0"/>
                <w:sz w:val="21"/>
                <w:szCs w:val="21"/>
              </w:rPr>
            </w:pPr>
            <w:r>
              <w:rPr>
                <w:rFonts w:hint="default" w:ascii="Times New Roman" w:hAnsi="Times New Roman" w:eastAsia="方正仿宋_GB2312" w:cs="Times New Roman"/>
                <w:color w:val="000000"/>
                <w:kern w:val="0"/>
                <w:sz w:val="21"/>
                <w:szCs w:val="21"/>
              </w:rPr>
              <w:t>2022</w:t>
            </w:r>
            <w:r>
              <w:rPr>
                <w:rFonts w:hint="eastAsia" w:ascii="方正仿宋_GB2312" w:hAnsi="方正仿宋_GB2312" w:eastAsia="方正仿宋_GB2312" w:cs="方正仿宋_GB2312"/>
                <w:color w:val="000000"/>
                <w:kern w:val="0"/>
                <w:sz w:val="21"/>
                <w:szCs w:val="21"/>
              </w:rPr>
              <w:t>年内完成</w:t>
            </w:r>
          </w:p>
        </w:tc>
        <w:tc>
          <w:tcPr>
            <w:tcW w:w="0" w:type="auto"/>
            <w:tcBorders>
              <w:top w:val="nil"/>
              <w:left w:val="nil"/>
              <w:bottom w:val="single" w:color="auto" w:sz="4" w:space="0"/>
              <w:right w:val="single" w:color="auto" w:sz="4" w:space="0"/>
            </w:tcBorders>
            <w:shd w:val="clear" w:color="auto" w:fill="auto"/>
            <w:noWrap w:val="0"/>
            <w:vAlign w:val="center"/>
          </w:tcPr>
          <w:p>
            <w:pPr>
              <w:widowControl/>
              <w:jc w:val="left"/>
              <w:rPr>
                <w:rFonts w:hint="eastAsia" w:ascii="方正仿宋_GB2312" w:hAnsi="方正仿宋_GB2312" w:eastAsia="方正仿宋_GB2312" w:cs="方正仿宋_GB2312"/>
                <w:color w:val="000000"/>
                <w:kern w:val="0"/>
                <w:sz w:val="21"/>
                <w:szCs w:val="21"/>
              </w:rPr>
            </w:pPr>
            <w:r>
              <w:rPr>
                <w:rFonts w:hint="default" w:ascii="Times New Roman" w:hAnsi="Times New Roman" w:eastAsia="方正仿宋_GB2312" w:cs="Times New Roman"/>
                <w:color w:val="000000"/>
                <w:kern w:val="0"/>
                <w:sz w:val="21"/>
                <w:szCs w:val="21"/>
              </w:rPr>
              <w:t>2022</w:t>
            </w:r>
            <w:r>
              <w:rPr>
                <w:rFonts w:hint="eastAsia" w:ascii="方正仿宋_GB2312" w:hAnsi="方正仿宋_GB2312" w:eastAsia="方正仿宋_GB2312" w:cs="方正仿宋_GB2312"/>
                <w:color w:val="000000"/>
                <w:kern w:val="0"/>
                <w:sz w:val="21"/>
                <w:szCs w:val="21"/>
              </w:rPr>
              <w:t>年末已完成</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方正仿宋_GB2312" w:hAnsi="方正仿宋_GB2312" w:eastAsia="方正仿宋_GB2312" w:cs="方正仿宋_GB2312"/>
                <w:color w:val="000000"/>
                <w:kern w:val="0"/>
                <w:sz w:val="21"/>
                <w:szCs w:val="21"/>
              </w:rPr>
            </w:pPr>
          </w:p>
        </w:tc>
        <w:tc>
          <w:tcPr>
            <w:tcW w:w="0" w:type="auto"/>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方正仿宋_GB2312" w:hAnsi="方正仿宋_GB2312" w:eastAsia="方正仿宋_GB2312" w:cs="方正仿宋_GB2312"/>
                <w:color w:val="000000"/>
                <w:kern w:val="0"/>
                <w:sz w:val="21"/>
                <w:szCs w:val="21"/>
              </w:rPr>
            </w:pPr>
          </w:p>
        </w:tc>
        <w:tc>
          <w:tcPr>
            <w:tcW w:w="0" w:type="auto"/>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rPr>
              <w:t>成本指标</w:t>
            </w:r>
          </w:p>
        </w:tc>
        <w:tc>
          <w:tcPr>
            <w:tcW w:w="0" w:type="auto"/>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rPr>
              <w:t>　</w:t>
            </w:r>
          </w:p>
        </w:tc>
        <w:tc>
          <w:tcPr>
            <w:tcW w:w="0" w:type="auto"/>
            <w:tcBorders>
              <w:top w:val="nil"/>
              <w:left w:val="nil"/>
              <w:bottom w:val="single" w:color="auto" w:sz="4" w:space="0"/>
              <w:right w:val="single" w:color="auto" w:sz="4" w:space="0"/>
            </w:tcBorders>
            <w:shd w:val="clear" w:color="auto" w:fill="auto"/>
            <w:noWrap w:val="0"/>
            <w:vAlign w:val="center"/>
          </w:tcPr>
          <w:p>
            <w:pPr>
              <w:widowControl/>
              <w:jc w:val="left"/>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rPr>
              <w:t>把成本控制在可控范围内</w:t>
            </w:r>
          </w:p>
        </w:tc>
        <w:tc>
          <w:tcPr>
            <w:tcW w:w="0" w:type="auto"/>
            <w:tcBorders>
              <w:top w:val="nil"/>
              <w:left w:val="nil"/>
              <w:bottom w:val="single" w:color="auto" w:sz="4" w:space="0"/>
              <w:right w:val="single" w:color="auto" w:sz="4" w:space="0"/>
            </w:tcBorders>
            <w:shd w:val="clear" w:color="auto" w:fill="auto"/>
            <w:noWrap w:val="0"/>
            <w:vAlign w:val="center"/>
          </w:tcPr>
          <w:p>
            <w:pPr>
              <w:widowControl/>
              <w:jc w:val="left"/>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rPr>
              <w:t>已完成</w:t>
            </w:r>
          </w:p>
        </w:tc>
      </w:tr>
      <w:tr>
        <w:tblPrEx>
          <w:tblCellMar>
            <w:top w:w="0" w:type="dxa"/>
            <w:left w:w="108" w:type="dxa"/>
            <w:bottom w:w="0" w:type="dxa"/>
            <w:right w:w="108" w:type="dxa"/>
          </w:tblCellMar>
        </w:tblPrEx>
        <w:trPr>
          <w:trHeight w:val="1560" w:hRule="atLeast"/>
        </w:trPr>
        <w:tc>
          <w:tcPr>
            <w:tcW w:w="0" w:type="auto"/>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方正仿宋_GB2312" w:hAnsi="方正仿宋_GB2312" w:eastAsia="方正仿宋_GB2312" w:cs="方正仿宋_GB2312"/>
                <w:color w:val="000000"/>
                <w:kern w:val="0"/>
                <w:sz w:val="21"/>
                <w:szCs w:val="21"/>
              </w:rPr>
            </w:pPr>
          </w:p>
        </w:tc>
        <w:tc>
          <w:tcPr>
            <w:tcW w:w="0" w:type="auto"/>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方正仿宋_GB2312" w:hAnsi="方正仿宋_GB2312" w:eastAsia="方正仿宋_GB2312" w:cs="方正仿宋_GB2312"/>
                <w:color w:val="000000"/>
                <w:kern w:val="0"/>
                <w:sz w:val="21"/>
                <w:szCs w:val="21"/>
              </w:rPr>
            </w:pPr>
          </w:p>
        </w:tc>
        <w:tc>
          <w:tcPr>
            <w:tcW w:w="0" w:type="auto"/>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rPr>
              <w:t>可持续影响 指标</w:t>
            </w:r>
          </w:p>
        </w:tc>
        <w:tc>
          <w:tcPr>
            <w:tcW w:w="0" w:type="auto"/>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rPr>
              <w:t>　</w:t>
            </w:r>
          </w:p>
        </w:tc>
        <w:tc>
          <w:tcPr>
            <w:tcW w:w="0" w:type="auto"/>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rPr>
              <w:t>　</w:t>
            </w:r>
          </w:p>
        </w:tc>
        <w:tc>
          <w:tcPr>
            <w:tcW w:w="0" w:type="auto"/>
            <w:tcBorders>
              <w:top w:val="nil"/>
              <w:left w:val="nil"/>
              <w:bottom w:val="single" w:color="auto" w:sz="4" w:space="0"/>
              <w:right w:val="single" w:color="auto" w:sz="4" w:space="0"/>
            </w:tcBorders>
            <w:shd w:val="clear" w:color="auto" w:fill="auto"/>
            <w:noWrap w:val="0"/>
            <w:vAlign w:val="top"/>
          </w:tcPr>
          <w:p>
            <w:pPr>
              <w:widowControl/>
              <w:jc w:val="left"/>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rPr>
              <w:t>全面提升医院综合水平，把医院建设成为医疗、预防、康复、保健、科研、教学、急救为一体的具有较强创新能力与教学水平的“三级”乙等医院</w:t>
            </w:r>
          </w:p>
        </w:tc>
      </w:tr>
      <w:tr>
        <w:tblPrEx>
          <w:tblCellMar>
            <w:top w:w="0" w:type="dxa"/>
            <w:left w:w="108" w:type="dxa"/>
            <w:bottom w:w="0" w:type="dxa"/>
            <w:right w:w="108" w:type="dxa"/>
          </w:tblCellMar>
        </w:tblPrEx>
        <w:trPr>
          <w:trHeight w:val="540" w:hRule="atLeast"/>
        </w:trPr>
        <w:tc>
          <w:tcPr>
            <w:tcW w:w="0" w:type="auto"/>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方正仿宋_GB2312" w:hAnsi="方正仿宋_GB2312" w:eastAsia="方正仿宋_GB2312" w:cs="方正仿宋_GB2312"/>
                <w:color w:val="000000"/>
                <w:kern w:val="0"/>
                <w:sz w:val="21"/>
                <w:szCs w:val="21"/>
              </w:rPr>
            </w:pPr>
          </w:p>
        </w:tc>
        <w:tc>
          <w:tcPr>
            <w:tcW w:w="0" w:type="auto"/>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rPr>
              <w:t>满意度指标</w:t>
            </w:r>
          </w:p>
        </w:tc>
        <w:tc>
          <w:tcPr>
            <w:tcW w:w="0" w:type="auto"/>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rPr>
              <w:t>满意度指标</w:t>
            </w:r>
          </w:p>
        </w:tc>
        <w:tc>
          <w:tcPr>
            <w:tcW w:w="0" w:type="auto"/>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rPr>
              <w:t>　</w:t>
            </w:r>
          </w:p>
        </w:tc>
        <w:tc>
          <w:tcPr>
            <w:tcW w:w="0" w:type="auto"/>
            <w:tcBorders>
              <w:top w:val="nil"/>
              <w:left w:val="nil"/>
              <w:bottom w:val="single" w:color="auto" w:sz="4" w:space="0"/>
              <w:right w:val="single" w:color="auto" w:sz="4" w:space="0"/>
            </w:tcBorders>
            <w:shd w:val="clear" w:color="auto" w:fill="auto"/>
            <w:noWrap w:val="0"/>
            <w:vAlign w:val="top"/>
          </w:tcPr>
          <w:p>
            <w:pPr>
              <w:widowControl/>
              <w:jc w:val="left"/>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lang w:val="en-US" w:eastAsia="zh-CN"/>
              </w:rPr>
              <w:t>职工、患者</w:t>
            </w:r>
            <w:r>
              <w:rPr>
                <w:rFonts w:hint="eastAsia" w:ascii="方正仿宋_GB2312" w:hAnsi="方正仿宋_GB2312" w:eastAsia="方正仿宋_GB2312" w:cs="方正仿宋_GB2312"/>
                <w:color w:val="000000"/>
                <w:kern w:val="0"/>
                <w:sz w:val="21"/>
                <w:szCs w:val="21"/>
              </w:rPr>
              <w:t>满意度≥</w:t>
            </w:r>
            <w:r>
              <w:rPr>
                <w:rFonts w:hint="default" w:ascii="Times New Roman" w:hAnsi="Times New Roman" w:eastAsia="方正仿宋_GB2312" w:cs="Times New Roman"/>
                <w:color w:val="000000"/>
                <w:kern w:val="0"/>
                <w:sz w:val="21"/>
                <w:szCs w:val="21"/>
              </w:rPr>
              <w:t>90</w:t>
            </w:r>
            <w:r>
              <w:rPr>
                <w:rFonts w:hint="eastAsia" w:ascii="方正仿宋_GB2312" w:hAnsi="方正仿宋_GB2312" w:eastAsia="方正仿宋_GB2312" w:cs="方正仿宋_GB2312"/>
                <w:color w:val="000000"/>
                <w:kern w:val="0"/>
                <w:sz w:val="21"/>
                <w:szCs w:val="21"/>
              </w:rPr>
              <w:t>%</w:t>
            </w:r>
          </w:p>
        </w:tc>
        <w:tc>
          <w:tcPr>
            <w:tcW w:w="0" w:type="auto"/>
            <w:tcBorders>
              <w:top w:val="nil"/>
              <w:left w:val="nil"/>
              <w:bottom w:val="single" w:color="auto" w:sz="4" w:space="0"/>
              <w:right w:val="single" w:color="auto" w:sz="4" w:space="0"/>
            </w:tcBorders>
            <w:shd w:val="clear" w:color="auto" w:fill="auto"/>
            <w:noWrap w:val="0"/>
            <w:vAlign w:val="top"/>
          </w:tcPr>
          <w:p>
            <w:pPr>
              <w:widowControl/>
              <w:jc w:val="left"/>
              <w:rPr>
                <w:rFonts w:hint="eastAsia" w:ascii="方正仿宋_GB2312" w:hAnsi="方正仿宋_GB2312" w:eastAsia="方正仿宋_GB2312" w:cs="方正仿宋_GB2312"/>
                <w:color w:val="000000"/>
                <w:kern w:val="0"/>
                <w:sz w:val="21"/>
                <w:szCs w:val="21"/>
              </w:rPr>
            </w:pPr>
            <w:r>
              <w:rPr>
                <w:rFonts w:hint="eastAsia" w:ascii="方正仿宋_GB2312" w:hAnsi="方正仿宋_GB2312" w:eastAsia="方正仿宋_GB2312" w:cs="方正仿宋_GB2312"/>
                <w:color w:val="000000"/>
                <w:kern w:val="0"/>
                <w:sz w:val="21"/>
                <w:szCs w:val="21"/>
              </w:rPr>
              <w:t>满意度≥</w:t>
            </w:r>
            <w:r>
              <w:rPr>
                <w:rFonts w:hint="default" w:ascii="Times New Roman" w:hAnsi="Times New Roman" w:eastAsia="方正仿宋_GB2312" w:cs="Times New Roman"/>
                <w:color w:val="000000"/>
                <w:kern w:val="0"/>
                <w:sz w:val="21"/>
                <w:szCs w:val="21"/>
                <w:lang w:val="en-US" w:eastAsia="zh-CN"/>
              </w:rPr>
              <w:t>90</w:t>
            </w:r>
            <w:r>
              <w:rPr>
                <w:rFonts w:hint="eastAsia" w:ascii="方正仿宋_GB2312" w:hAnsi="方正仿宋_GB2312" w:eastAsia="方正仿宋_GB2312" w:cs="方正仿宋_GB2312"/>
                <w:color w:val="000000"/>
                <w:kern w:val="0"/>
                <w:sz w:val="21"/>
                <w:szCs w:val="21"/>
              </w:rPr>
              <w:t>%</w:t>
            </w:r>
          </w:p>
        </w:tc>
      </w:tr>
    </w:tbl>
    <w:p>
      <w:pPr>
        <w:adjustRightInd w:val="0"/>
        <w:snapToGrid w:val="0"/>
        <w:spacing w:line="560" w:lineRule="exact"/>
        <w:ind w:firstLine="720"/>
        <w:rPr>
          <w:rFonts w:hint="eastAsia" w:ascii="方正仿宋_GB2312" w:hAnsi="方正仿宋_GB2312" w:eastAsia="方正仿宋_GB2312" w:cs="方正仿宋_GB2312"/>
          <w:sz w:val="21"/>
          <w:szCs w:val="21"/>
          <w:lang w:val="en-US" w:eastAsia="zh-CN"/>
        </w:rPr>
      </w:pP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无</w:t>
      </w:r>
    </w:p>
    <w:p>
      <w:pPr>
        <w:numPr>
          <w:ilvl w:val="0"/>
          <w:numId w:val="0"/>
        </w:numPr>
        <w:adjustRightInd w:val="0"/>
        <w:snapToGrid w:val="0"/>
        <w:spacing w:line="560" w:lineRule="exact"/>
        <w:ind w:left="720" w:leftChars="0"/>
        <w:rPr>
          <w:rFonts w:hint="eastAsia" w:ascii="方正仿宋_GB2312" w:hAnsi="方正仿宋_GB2312" w:eastAsia="方正仿宋_GB2312" w:cs="方正仿宋_GB2312"/>
          <w:b w:val="0"/>
          <w:bCs/>
          <w:lang w:val="en-US" w:eastAsia="zh-CN"/>
        </w:rPr>
      </w:pPr>
      <w:r>
        <w:rPr>
          <w:rFonts w:hint="eastAsia" w:ascii="楷体_GB2312" w:hAnsi="宋体" w:eastAsia="楷体_GB2312"/>
          <w:b/>
          <w:lang w:val="zh-CN"/>
        </w:rPr>
        <w:t>（</w:t>
      </w:r>
      <w:r>
        <w:rPr>
          <w:rFonts w:hint="eastAsia" w:ascii="楷体_GB2312" w:hAnsi="宋体" w:eastAsia="楷体_GB2312"/>
          <w:b/>
          <w:lang w:val="en-US" w:eastAsia="zh-CN"/>
        </w:rPr>
        <w:t>二</w:t>
      </w:r>
      <w:r>
        <w:rPr>
          <w:rFonts w:hint="eastAsia" w:ascii="楷体_GB2312" w:hAnsi="宋体" w:eastAsia="楷体_GB2312"/>
          <w:b/>
          <w:lang w:val="zh-CN"/>
        </w:rPr>
        <w:t>）相关建议。</w:t>
      </w:r>
    </w:p>
    <w:p>
      <w:pPr>
        <w:adjustRightInd w:val="0"/>
        <w:snapToGrid w:val="0"/>
        <w:spacing w:line="560" w:lineRule="exact"/>
        <w:ind w:firstLine="72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840670-501F-4F07-8215-30FC9AD660F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48634C35-B9A7-4E62-AAA1-82A0E30C70E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embedRegular r:id="rId3" w:fontKey="{389D05DD-B678-4D85-B49D-12FD38424028}"/>
  </w:font>
  <w:font w:name="楷体_GB2312">
    <w:altName w:val="楷体"/>
    <w:panose1 w:val="02010609030101010101"/>
    <w:charset w:val="86"/>
    <w:family w:val="modern"/>
    <w:pitch w:val="default"/>
    <w:sig w:usb0="00000000" w:usb1="00000000" w:usb2="00000010" w:usb3="00000000" w:csb0="00040000" w:csb1="00000000"/>
    <w:embedRegular r:id="rId4" w:fontKey="{9F176DA5-ABF7-44FD-9C07-E46E8123ED3B}"/>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5" w:fontKey="{A7204AB4-50BD-4D1D-9FFD-8C1B0E4B62DB}"/>
  </w:font>
  <w:font w:name="方正仿宋_GB2312">
    <w:altName w:val="仿宋"/>
    <w:panose1 w:val="02000000000000000000"/>
    <w:charset w:val="86"/>
    <w:family w:val="auto"/>
    <w:pitch w:val="default"/>
    <w:sig w:usb0="00000000" w:usb1="00000000" w:usb2="00000012" w:usb3="00000000" w:csb0="00040001" w:csb1="00000000"/>
    <w:embedRegular r:id="rId6" w:fontKey="{9F63E6E6-50F2-4BEF-BDC3-CB14511515E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6AF2A3"/>
    <w:multiLevelType w:val="singleLevel"/>
    <w:tmpl w:val="4E6AF2A3"/>
    <w:lvl w:ilvl="0" w:tentative="0">
      <w:start w:val="2"/>
      <w:numFmt w:val="chineseCounting"/>
      <w:suff w:val="nothing"/>
      <w:lvlText w:val="（%1）"/>
      <w:lvlJc w:val="left"/>
      <w:rPr>
        <w:rFonts w:hint="eastAsia"/>
      </w:rPr>
    </w:lvl>
  </w:abstractNum>
  <w:abstractNum w:abstractNumId="1">
    <w:nsid w:val="7E56B2C3"/>
    <w:multiLevelType w:val="singleLevel"/>
    <w:tmpl w:val="7E56B2C3"/>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5YjFjNTE5YTY0NjUzOWY2NjU5ZmJmMWIzYmYyNjcifQ=="/>
  </w:docVars>
  <w:rsids>
    <w:rsidRoot w:val="291C455A"/>
    <w:rsid w:val="003414A3"/>
    <w:rsid w:val="00515A0C"/>
    <w:rsid w:val="00866E99"/>
    <w:rsid w:val="0C98326C"/>
    <w:rsid w:val="0EDB478C"/>
    <w:rsid w:val="12744159"/>
    <w:rsid w:val="18E216F1"/>
    <w:rsid w:val="21415B4F"/>
    <w:rsid w:val="252A663B"/>
    <w:rsid w:val="26E72AF1"/>
    <w:rsid w:val="286E6AFD"/>
    <w:rsid w:val="291C455A"/>
    <w:rsid w:val="2DDD0FDC"/>
    <w:rsid w:val="2E4E65AC"/>
    <w:rsid w:val="31E340B8"/>
    <w:rsid w:val="36926D0C"/>
    <w:rsid w:val="3C487939"/>
    <w:rsid w:val="3DB86D41"/>
    <w:rsid w:val="400C03D9"/>
    <w:rsid w:val="4DAF2BCF"/>
    <w:rsid w:val="4DDB6F66"/>
    <w:rsid w:val="4FD10728"/>
    <w:rsid w:val="56813763"/>
    <w:rsid w:val="58B845B8"/>
    <w:rsid w:val="59B3031D"/>
    <w:rsid w:val="5D7F2B9C"/>
    <w:rsid w:val="61FC621E"/>
    <w:rsid w:val="69986017"/>
    <w:rsid w:val="727F3CDD"/>
    <w:rsid w:val="76890D9B"/>
    <w:rsid w:val="792F2AEE"/>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1269</Words>
  <Characters>1366</Characters>
  <Lines>6</Lines>
  <Paragraphs>1</Paragraphs>
  <TotalTime>21</TotalTime>
  <ScaleCrop>false</ScaleCrop>
  <LinksUpToDate>false</LinksUpToDate>
  <CharactersWithSpaces>1408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肖珊</cp:lastModifiedBy>
  <dcterms:modified xsi:type="dcterms:W3CDTF">2023-05-11T07:22:39Z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BDF8F2F2D672435C8599BF3D2EF57527</vt:lpwstr>
  </property>
</Properties>
</file>