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_GBK" w:hAnsi="黑体" w:eastAsia="方正小标宋_GBK" w:cs="黑体"/>
          <w:sz w:val="36"/>
          <w:szCs w:val="36"/>
          <w:lang w:eastAsia="zh-CN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攀枝花市仁和区</w:t>
      </w:r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妇幼保健服务中心</w:t>
      </w: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lang w:val="en-US"/>
        </w:rPr>
        <w:t>年</w:t>
      </w:r>
      <w:r>
        <w:rPr>
          <w:rFonts w:hint="eastAsia" w:ascii="方正小标宋简体" w:hAnsi="宋体" w:eastAsia="方正小标宋简体"/>
          <w:sz w:val="36"/>
          <w:szCs w:val="36"/>
        </w:rPr>
        <w:t>专项预算项目支出绩效自评报告</w:t>
      </w:r>
    </w:p>
    <w:p>
      <w:pPr>
        <w:pStyle w:val="2"/>
        <w:spacing w:line="600" w:lineRule="exact"/>
        <w:ind w:firstLine="1440" w:firstLineChars="400"/>
        <w:jc w:val="both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妇幼保健机构能力建设项目</w:t>
      </w:r>
      <w:r>
        <w:rPr>
          <w:rFonts w:hint="eastAsia" w:ascii="方正小标宋_GBK" w:hAnsi="黑体" w:eastAsia="方正小标宋_GBK" w:cs="黑体"/>
          <w:sz w:val="36"/>
          <w:szCs w:val="36"/>
        </w:rPr>
        <w:t>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宋体"/>
          <w:color w:val="auto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随着社会的进步和人民生活水平的提高，妇幼健康事业得到了越来越多的关注和重视。为了更好地满足人民群众对妇幼保健的需求，国家在政策层面和资金上加大了对妇幼保健机构的支持力度。为了落实国家政策，加强妇幼保健机构能力建设，提升妇幼健康服务，围绕落实母婴安全五项制度，加强“云上妇幼”能力建设、人才队伍建设、重点提升妇幼保健、妇产科和新生儿科服务能力，切实降低孕产妇和婴儿死亡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rPr>
          <w:rFonts w:hint="eastAsia" w:ascii="楷体_GB2312" w:hAnsi="宋体" w:eastAsia="楷体_GB2312"/>
          <w:b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ascii="仿宋_GB2312" w:hAnsi="宋体"/>
          <w:color w:val="auto"/>
          <w:lang w:val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按照《关于印发 2021 年医疗服务与保障能力提升 (医疗卫生机构能力建设)项目实施方案的通知》(国卫办疾控函[2021]266号)和《国家卫生健康委妇幼司关于做好2021年妇幼保健机构能力建设项目有关事宜的通知》(国卫妇幼妇卫便函 [2021]21号)要求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，申报妇幼保健机构能力建设项目资金200万元，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仁和区财政局批复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妇幼保健机构能力建设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项目经费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万元，全年预算未调整。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643" w:firstLineChars="200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宋体"/>
          <w:color w:val="auto"/>
          <w:lang w:val="zh-CN"/>
        </w:rPr>
      </w:pPr>
      <w:r>
        <w:rPr>
          <w:rFonts w:hint="eastAsia" w:ascii="仿宋_GB2312" w:hAnsi="宋体"/>
          <w:color w:val="auto"/>
          <w:lang w:val="zh-CN"/>
        </w:rPr>
        <w:t>项目总体目标是针对区域内妇女儿童主要健康问题和健康需求，结合自身发展和实际需求，着力加强妇幼保健、妇产科、新生儿科等重点科室能力建设。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640" w:firstLineChars="200"/>
        <w:jc w:val="left"/>
        <w:textAlignment w:val="auto"/>
        <w:rPr>
          <w:rFonts w:ascii="仿宋_GB2312" w:hAnsi="宋体"/>
          <w:color w:val="auto"/>
          <w:lang w:val="zh-CN"/>
        </w:rPr>
      </w:pP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项目申报</w:t>
      </w:r>
      <w:r>
        <w:rPr>
          <w:rFonts w:hint="default" w:ascii="仿宋_GB2312" w:eastAsia="仿宋_GB2312" w:cs="仿宋_GB2312"/>
          <w:color w:val="auto"/>
          <w:kern w:val="0"/>
          <w:sz w:val="32"/>
          <w:szCs w:val="32"/>
        </w:rPr>
        <w:t>申报内容与实际相符，申报目标合理可行。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宋体" w:eastAsia="黑体"/>
          <w:color w:val="auto"/>
        </w:rPr>
      </w:pPr>
      <w:r>
        <w:rPr>
          <w:rFonts w:hint="eastAsia" w:ascii="黑体" w:hAnsi="宋体" w:eastAsia="黑体"/>
          <w:color w:val="auto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楷体_GB2312" w:hAnsi="宋体" w:eastAsia="楷体_GB2312"/>
          <w:b/>
          <w:color w:val="auto"/>
          <w:lang w:val="zh-CN"/>
        </w:rPr>
      </w:pPr>
      <w:r>
        <w:rPr>
          <w:rFonts w:hint="eastAsia" w:ascii="仿宋_GB2312" w:hAnsi="宋体"/>
          <w:color w:val="auto"/>
          <w:lang w:val="zh-CN"/>
        </w:rPr>
        <w:tab/>
      </w:r>
      <w:r>
        <w:rPr>
          <w:rFonts w:hint="eastAsia" w:ascii="楷体_GB2312" w:hAnsi="宋体" w:eastAsia="楷体_GB2312"/>
          <w:b/>
          <w:color w:val="auto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楷体_GB2312" w:hAnsi="宋体" w:eastAsia="楷体_GB2312"/>
          <w:color w:val="auto"/>
          <w:lang w:val="zh-CN"/>
        </w:rPr>
        <w:t>1．资金计划及到位。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年申报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妇幼保健机构能力建设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项目资金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.00万元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仁和区财政局通过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预算一体化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管理系统下达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攀财社14号妇幼保健能力提升中央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资金，资金指标一次性全部到位。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楷体_GB2312" w:hAnsi="宋体" w:eastAsia="楷体_GB2312"/>
          <w:color w:val="auto"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妇幼保健机构能力建设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项目预算安排资金200.00万元，主要是用于购买彩色多普勒超声诊断仪、临床路径管理系统、合理用药管理系统、危急值管理系统等医疗专用设备、信息网络更新。由于财政资金的原因，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年项</w:t>
      </w: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 w:val="32"/>
          <w:szCs w:val="32"/>
        </w:rPr>
        <w:t>目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实际费用已发生未支付的费用将在2023年的结转结余经费进行支付。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ascii="楷体_GB2312" w:hAnsi="宋体" w:eastAsia="楷体_GB2312"/>
          <w:b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（二）项目财务管理情况。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妇幼保健机构能力建设</w:t>
      </w:r>
      <w:r>
        <w:rPr>
          <w:rFonts w:ascii="仿宋" w:hAnsi="仿宋" w:eastAsia="仿宋"/>
          <w:color w:val="auto"/>
          <w:kern w:val="0"/>
          <w:sz w:val="32"/>
          <w:szCs w:val="32"/>
        </w:rPr>
        <w:t>项目资金管理严格按照财务管理要求进行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</w:t>
      </w:r>
      <w:r>
        <w:rPr>
          <w:rFonts w:ascii="仿宋" w:hAnsi="仿宋" w:eastAsia="仿宋"/>
          <w:color w:val="auto"/>
          <w:kern w:val="0"/>
          <w:sz w:val="32"/>
          <w:szCs w:val="32"/>
        </w:rPr>
        <w:t>做到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专款专用。</w:t>
      </w:r>
      <w:r>
        <w:rPr>
          <w:rFonts w:hint="eastAsia" w:ascii="仿宋" w:hAnsi="仿宋" w:eastAsia="仿宋"/>
          <w:color w:val="auto"/>
          <w:sz w:val="32"/>
          <w:szCs w:val="32"/>
        </w:rPr>
        <w:t>严格规范各项资金的审批和使用，杜绝无预算支出，合理安排资金使用进度</w:t>
      </w:r>
      <w:r>
        <w:rPr>
          <w:rFonts w:ascii="仿宋" w:hAnsi="仿宋" w:eastAsia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严格执行政府采购程序，规范管理资产，按季度公示财务信息。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（三）项目组织实施情况。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仿宋_GB2312" w:hAnsi="宋体"/>
          <w:color w:val="auto"/>
          <w:lang w:val="zh-CN"/>
        </w:rPr>
        <w:t>呵护妇幼健康，提升全民健康理念，为妇儿提供全方位全周期健康服务，是我们坚持的工作目标。通过项目实施不断加强基层妇幼保建机构专科人才队伍建设，提高妇产科、新生儿科服务保障水平，发挥远程机制提升危重孕产妇和新生儿救治能力，实现孕产妇和新生儿死亡率妇幼健康核心指标持续稳定向好;通过项目实施真正做到心系妇女儿童、心向妇女儿童，让广大人民群众得实惠、普受惠、长受益，把温暖送到家家户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宋体"/>
          <w:color w:val="auto"/>
          <w:lang w:val="zh-CN"/>
        </w:rPr>
      </w:pPr>
      <w:r>
        <w:rPr>
          <w:rFonts w:hint="eastAsia" w:ascii="黑体" w:hAnsi="宋体" w:eastAsia="黑体"/>
          <w:color w:val="auto"/>
        </w:rPr>
        <w:t>三、项目绩效情况</w:t>
      </w:r>
      <w:r>
        <w:rPr>
          <w:rFonts w:hint="eastAsia" w:ascii="仿宋_GB2312" w:hAnsi="宋体"/>
          <w:color w:val="auto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ascii="楷体_GB2312" w:hAnsi="宋体" w:eastAsia="楷体_GB2312"/>
          <w:b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（一）项目完成情况。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ascii="楷体_GB2312" w:hAnsi="宋体" w:eastAsia="楷体_GB2312"/>
          <w:b/>
          <w:color w:val="auto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数量指标：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中央补助资金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200万元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。质量指标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：按项目标准按时按量完成项目。时效指标：2021年1月-12月，按进度完成。成本指标：完成项目工作实际所需成本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万元，本年工作开展完成任务数100%，因财政资金的原因，相关经济业务已发生，票据申请支付业务较缓。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="643" w:firstLineChars="200"/>
        <w:jc w:val="left"/>
        <w:textAlignment w:val="auto"/>
        <w:rPr>
          <w:rFonts w:hint="eastAsia" w:ascii="楷体_GB2312" w:hAnsi="宋体" w:eastAsia="楷体_GB2312"/>
          <w:b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项目效益情况。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  <w:t>1、社会效益：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eastAsia="zh-CN"/>
        </w:rPr>
        <w:t>围绕“健康中国”建设的总体目标，持续提高县级妇幼保健机构服务能力和水平，满足人民群众日益增长的卫生健康要求，加强妇幼保健机构能力。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ascii="楷体_GB2312" w:hAnsi="宋体" w:eastAsia="楷体_GB2312"/>
          <w:b/>
          <w:color w:val="auto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  <w:lang w:val="en-US" w:eastAsia="zh-CN"/>
        </w:rPr>
        <w:t>2、满意度指标：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妇幼保健机构能力建设项目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群众满意指标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宋体" w:eastAsia="黑体"/>
          <w:color w:val="auto"/>
        </w:rPr>
      </w:pPr>
      <w:r>
        <w:rPr>
          <w:rFonts w:hint="eastAsia" w:ascii="黑体" w:hAnsi="宋体" w:eastAsia="黑体"/>
          <w:color w:val="auto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楷体_GB2312" w:hAnsi="宋体" w:eastAsia="楷体_GB2312"/>
          <w:b/>
          <w:color w:val="auto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妇幼保健机构能力建设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经费使用过程中存在优化不够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,项目资金未能及时支付。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200" w:firstLine="640" w:firstLineChars="200"/>
        <w:textAlignment w:val="auto"/>
        <w:rPr>
          <w:rFonts w:hint="eastAsia" w:ascii="仿宋_GB2312" w:hAnsi="宋体"/>
          <w:color w:val="auto"/>
          <w:lang w:val="zh-CN"/>
        </w:rPr>
      </w:pPr>
      <w:r>
        <w:rPr>
          <w:rFonts w:hint="eastAsia" w:ascii="仿宋_GB2312" w:hAnsi="宋体"/>
          <w:color w:val="auto"/>
          <w:lang w:val="zh-CN" w:eastAsia="zh-CN"/>
        </w:rPr>
        <w:t>无</w:t>
      </w:r>
    </w:p>
    <w:tbl>
      <w:tblPr>
        <w:tblStyle w:val="3"/>
        <w:tblpPr w:leftFromText="180" w:rightFromText="180" w:vertAnchor="text" w:horzAnchor="page" w:tblpX="1256" w:tblpY="221"/>
        <w:tblOverlap w:val="never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44"/>
        <w:gridCol w:w="1636"/>
        <w:gridCol w:w="1112"/>
        <w:gridCol w:w="1304"/>
        <w:gridCol w:w="1414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szCs w:val="32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szCs w:val="32"/>
                <w:lang w:eastAsia="zh-CN"/>
              </w:rPr>
              <w:t>（</w:t>
            </w:r>
            <w:r>
              <w:rPr>
                <w:rFonts w:hint="eastAsia" w:eastAsia="宋体"/>
                <w:b/>
                <w:color w:val="000000"/>
                <w:szCs w:val="32"/>
                <w:lang w:val="en-US" w:eastAsia="zh-CN"/>
              </w:rPr>
              <w:t>妇幼保健机构能力建设项目</w:t>
            </w:r>
            <w:r>
              <w:rPr>
                <w:rFonts w:hint="eastAsia" w:eastAsia="宋体"/>
                <w:b/>
                <w:color w:val="000000"/>
                <w:szCs w:val="32"/>
                <w:lang w:eastAsia="zh-CN"/>
              </w:rPr>
              <w:t>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仁和区卫生健康局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217" w:hRule="atLeast"/>
        </w:trPr>
        <w:tc>
          <w:tcPr>
            <w:tcW w:w="1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1297" w:hRule="atLeast"/>
        </w:trPr>
        <w:tc>
          <w:tcPr>
            <w:tcW w:w="1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加强妇幼保健机构能力建设，提升妇幼健康服务能力，围绕落实母婴安全五项制度，加强“云上妇幼”能力建设、人才队伍建设、重点提升妇幼保健、妇产科和新生儿科服务能力，切实降低孕产妇和婴儿死亡率。</w:t>
            </w:r>
          </w:p>
        </w:tc>
        <w:tc>
          <w:tcPr>
            <w:tcW w:w="1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加强妇幼保健机构能力建设，提升妇幼健康服务能力，围绕落实母婴安全五项制度，加强“云上妇幼”能力建设、人才队伍建设、重点提升妇幼保健、妇产科和新生儿科服务能力，切实降低孕产妇和婴儿死亡率。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738" w:hRule="atLeast"/>
        </w:trPr>
        <w:tc>
          <w:tcPr>
            <w:tcW w:w="11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中央补助资金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200万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工作任务完成质量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按项目标准按时按量完成项目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按项目标准按时按量完成项目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项目实施时间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年1-12月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开展能力建设项目所需成本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提高县级妇幼保健机构服务能力和水平，满足人民群众日益增长的卫生健康需求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围绕“健康中国”建设的总体目标，持续提高县级妇幼保健机构服务能力和水平，满足人民群众日益增长的卫生健康需求，加强妇幼保健机构能力建设。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20" w:lineRule="exact"/>
              <w:jc w:val="both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围绕“健康中国”建设的总体目标，持续提高县级妇幼保健机构服务能力和水平，满足人民群众日益增长的卫生健康需求，加强妇幼保健机构能力建设。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群众满意度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服务对象满意并</w:t>
            </w:r>
            <w:r>
              <w:rPr>
                <w:rFonts w:hint="eastAsia"/>
                <w:color w:val="000000"/>
                <w:sz w:val="24"/>
                <w:szCs w:val="24"/>
              </w:rPr>
              <w:t>≥90%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服务对象满意并</w:t>
            </w:r>
            <w:r>
              <w:rPr>
                <w:rFonts w:hint="eastAsia"/>
                <w:color w:val="000000"/>
                <w:sz w:val="24"/>
                <w:szCs w:val="24"/>
              </w:rPr>
              <w:t>≥90%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仿宋_GB2312" w:hAnsi="宋体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03ED4"/>
    <w:multiLevelType w:val="singleLevel"/>
    <w:tmpl w:val="87003ED4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D6FEE3C4"/>
    <w:multiLevelType w:val="singleLevel"/>
    <w:tmpl w:val="D6FEE3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7E3D0B3"/>
    <w:multiLevelType w:val="singleLevel"/>
    <w:tmpl w:val="D7E3D0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80956BE"/>
    <w:multiLevelType w:val="singleLevel"/>
    <w:tmpl w:val="480956B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4B54FE0"/>
    <w:multiLevelType w:val="singleLevel"/>
    <w:tmpl w:val="74B54F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3414A3"/>
    <w:rsid w:val="00515A0C"/>
    <w:rsid w:val="00866E99"/>
    <w:rsid w:val="04AC1759"/>
    <w:rsid w:val="04D862CD"/>
    <w:rsid w:val="0CFC693C"/>
    <w:rsid w:val="0EDB478C"/>
    <w:rsid w:val="154767F6"/>
    <w:rsid w:val="1BEC33E8"/>
    <w:rsid w:val="291C455A"/>
    <w:rsid w:val="36926D0C"/>
    <w:rsid w:val="3A583887"/>
    <w:rsid w:val="4DAF2BCF"/>
    <w:rsid w:val="4DDB6F66"/>
    <w:rsid w:val="4E0601DA"/>
    <w:rsid w:val="51E732EF"/>
    <w:rsid w:val="566267CD"/>
    <w:rsid w:val="57521ED6"/>
    <w:rsid w:val="6E685246"/>
    <w:rsid w:val="792F2AEE"/>
    <w:rsid w:val="7C396B5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YG</cp:lastModifiedBy>
  <dcterms:modified xsi:type="dcterms:W3CDTF">2023-05-08T07:28:49Z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2CAF7DBDE9FE4FD69CD6102CE73B5168</vt:lpwstr>
  </property>
</Properties>
</file>