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eastAsia="黑体"/>
          <w:lang w:val="en-US" w:eastAsia="zh-CN"/>
        </w:rPr>
      </w:pPr>
      <w:r>
        <w:rPr>
          <w:rFonts w:eastAsia="黑体"/>
        </w:rPr>
        <w:t>附件</w:t>
      </w:r>
      <w:r>
        <w:rPr>
          <w:rFonts w:hint="eastAsia" w:eastAsia="黑体"/>
          <w:lang w:val="en-US" w:eastAsia="zh-CN"/>
        </w:rPr>
        <w:t>3-5</w:t>
      </w:r>
      <w:bookmarkStart w:id="0" w:name="_GoBack"/>
      <w:bookmarkEnd w:id="0"/>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2023年</w:t>
      </w:r>
      <w:r>
        <w:rPr>
          <w:rFonts w:hint="eastAsia" w:ascii="Times New Roman" w:hAnsi="Times New Roman" w:eastAsia="方正小标宋简体"/>
          <w:color w:val="auto"/>
          <w:kern w:val="2"/>
          <w:sz w:val="40"/>
          <w:szCs w:val="40"/>
          <w:lang w:eastAsia="zh-CN"/>
        </w:rPr>
        <w:t>村医养老保险补助</w:t>
      </w:r>
      <w:r>
        <w:rPr>
          <w:rFonts w:hint="eastAsia" w:ascii="Times New Roman" w:hAnsi="Times New Roman" w:eastAsia="方正小标宋简体"/>
          <w:color w:val="auto"/>
          <w:kern w:val="2"/>
          <w:sz w:val="40"/>
          <w:szCs w:val="40"/>
        </w:rPr>
        <w:t>经费</w:t>
      </w:r>
      <w:r>
        <w:rPr>
          <w:rFonts w:ascii="Times New Roman" w:hAnsi="Times New Roman" w:eastAsia="方正小标宋简体"/>
          <w:color w:val="auto"/>
          <w:kern w:val="2"/>
          <w:sz w:val="40"/>
          <w:szCs w:val="40"/>
        </w:rPr>
        <w:t>项目支出</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绩效</w:t>
      </w:r>
      <w:r>
        <w:rPr>
          <w:rFonts w:hint="eastAsia" w:ascii="Times New Roman" w:hAnsi="Times New Roman" w:eastAsia="方正小标宋简体"/>
          <w:color w:val="auto"/>
          <w:kern w:val="2"/>
          <w:sz w:val="40"/>
          <w:szCs w:val="40"/>
          <w:lang w:eastAsia="zh-CN"/>
        </w:rPr>
        <w:t>评价</w:t>
      </w:r>
      <w:r>
        <w:rPr>
          <w:rFonts w:ascii="Times New Roman" w:hAnsi="Times New Roman" w:eastAsia="方正小标宋简体"/>
          <w:color w:val="auto"/>
          <w:kern w:val="2"/>
          <w:sz w:val="40"/>
          <w:szCs w:val="40"/>
        </w:rPr>
        <w:t>报告</w:t>
      </w:r>
    </w:p>
    <w:p>
      <w:pPr>
        <w:pStyle w:val="6"/>
        <w:spacing w:line="600" w:lineRule="exact"/>
        <w:ind w:firstLine="2160" w:firstLineChars="675"/>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eastAsia="zh-CN"/>
        </w:rPr>
        <w:t>攀枝花市仁和卫生健康局</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为认真贯彻落实深化医药卫生体制改革精神，建立健全农村卫生网底，</w:t>
      </w:r>
      <w:r>
        <w:rPr>
          <w:rFonts w:hint="eastAsia" w:ascii="仿宋_GB2312" w:hAnsi="仿宋_GB2312" w:cs="仿宋_GB2312"/>
          <w:kern w:val="0"/>
          <w:sz w:val="32"/>
          <w:szCs w:val="32"/>
          <w:lang w:eastAsia="zh-CN"/>
        </w:rPr>
        <w:t>更好保障乡村医生合法权益、调动乡村医生工作积极性、稳定乡村医生队伍，</w:t>
      </w:r>
      <w:r>
        <w:rPr>
          <w:rFonts w:hint="eastAsia" w:ascii="仿宋_GB2312" w:hAnsi="仿宋_GB2312" w:eastAsia="仿宋_GB2312" w:cs="仿宋_GB2312"/>
          <w:kern w:val="0"/>
          <w:sz w:val="32"/>
          <w:szCs w:val="32"/>
        </w:rPr>
        <w:t>更好地为农村居民提供安全、有效、经济、便捷的基本医疗卫生服务，根据攀卫办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241号、攀卫办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510号文件，按现行财政体制，市、县（区）对每个村卫生室按每年1000元标准给予补助，主要用于为乡村医生购买养老保险补助</w:t>
      </w:r>
      <w:r>
        <w:rPr>
          <w:rFonts w:hint="eastAsia" w:ascii="仿宋_GB2312" w:hAnsi="仿宋_GB2312" w:eastAsia="仿宋_GB2312" w:cs="仿宋_GB2312"/>
          <w:kern w:val="0"/>
          <w:sz w:val="32"/>
          <w:szCs w:val="32"/>
          <w:lang w:eastAsia="zh-CN"/>
        </w:rPr>
        <w:t>，补助经费由市、县（区）两级财政按1:1比例分担，仁和区核定的村卫生室共87个，每年区级应配套资金500元*8</w:t>
      </w:r>
      <w:r>
        <w:rPr>
          <w:rFonts w:hint="eastAsia" w:ascii="仿宋_GB2312" w:hAnsi="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个=4.35万元</w:t>
      </w:r>
    </w:p>
    <w:p>
      <w:pPr>
        <w:numPr>
          <w:ilvl w:val="0"/>
          <w:numId w:val="1"/>
        </w:numPr>
        <w:adjustRightInd w:val="0"/>
        <w:snapToGrid w:val="0"/>
        <w:spacing w:line="600" w:lineRule="exact"/>
        <w:ind w:firstLine="720"/>
        <w:rPr>
          <w:lang w:val="zh-CN"/>
        </w:rPr>
      </w:pPr>
      <w:r>
        <w:rPr>
          <w:lang w:val="zh-CN"/>
        </w:rPr>
        <w:t>项目主管部门（单位）在该项目管理中的职能。</w:t>
      </w:r>
    </w:p>
    <w:p>
      <w:pPr>
        <w:numPr>
          <w:ilvl w:val="0"/>
          <w:numId w:val="0"/>
        </w:numPr>
        <w:adjustRightInd w:val="0"/>
        <w:snapToGrid w:val="0"/>
        <w:spacing w:line="600" w:lineRule="exact"/>
        <w:rPr>
          <w:rFonts w:hint="default" w:eastAsia="仿宋_GB2312"/>
          <w:lang w:val="en-US" w:eastAsia="zh-CN"/>
        </w:rPr>
      </w:pPr>
      <w:r>
        <w:rPr>
          <w:rFonts w:hint="eastAsia"/>
          <w:lang w:val="en-US" w:eastAsia="zh-CN"/>
        </w:rPr>
        <w:t xml:space="preserve">    区卫生健康局作为主管部门，核定各乡镇村卫生室个数，督促乡村医生每年按时购买城镇职工养老保险。</w:t>
      </w:r>
    </w:p>
    <w:p>
      <w:pPr>
        <w:numPr>
          <w:ilvl w:val="0"/>
          <w:numId w:val="1"/>
        </w:numPr>
        <w:adjustRightInd w:val="0"/>
        <w:snapToGrid w:val="0"/>
        <w:spacing w:line="600" w:lineRule="exact"/>
        <w:ind w:left="0" w:leftChars="0" w:firstLine="720" w:firstLineChars="0"/>
        <w:rPr>
          <w:lang w:val="zh-CN"/>
        </w:rPr>
      </w:pPr>
      <w:r>
        <w:rPr>
          <w:lang w:val="zh-CN"/>
        </w:rPr>
        <w:t>项目立项、资金申报的依据。</w:t>
      </w:r>
    </w:p>
    <w:p>
      <w:pPr>
        <w:adjustRightInd w:val="0"/>
        <w:snapToGrid w:val="0"/>
        <w:spacing w:line="600" w:lineRule="exact"/>
        <w:ind w:firstLine="72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根据攀卫办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241号、攀卫办</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2011</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kern w:val="0"/>
          <w:sz w:val="32"/>
          <w:szCs w:val="32"/>
        </w:rPr>
        <w:t>510号文件，</w:t>
      </w:r>
      <w:r>
        <w:rPr>
          <w:rFonts w:hint="eastAsia" w:ascii="仿宋_GB2312" w:hAnsi="仿宋_GB2312" w:cs="仿宋_GB2312"/>
          <w:kern w:val="0"/>
          <w:sz w:val="32"/>
          <w:szCs w:val="32"/>
          <w:lang w:eastAsia="zh-CN"/>
        </w:rPr>
        <w:t>区卫生健康局按村卫生室个数按</w:t>
      </w:r>
      <w:r>
        <w:rPr>
          <w:rFonts w:hint="eastAsia" w:ascii="仿宋_GB2312" w:hAnsi="仿宋_GB2312" w:cs="仿宋_GB2312"/>
          <w:kern w:val="0"/>
          <w:sz w:val="32"/>
          <w:szCs w:val="32"/>
          <w:lang w:val="en-US" w:eastAsia="zh-CN"/>
        </w:rPr>
        <w:t>500元/室</w:t>
      </w:r>
      <w:r>
        <w:rPr>
          <w:rFonts w:hint="eastAsia" w:ascii="仿宋_GB2312" w:hAnsi="仿宋_GB2312" w:cs="仿宋_GB2312"/>
          <w:kern w:val="0"/>
          <w:sz w:val="32"/>
          <w:szCs w:val="32"/>
          <w:lang w:eastAsia="zh-CN"/>
        </w:rPr>
        <w:t>进行村医养老保险预算。</w:t>
      </w:r>
    </w:p>
    <w:p>
      <w:pPr>
        <w:adjustRightInd w:val="0"/>
        <w:snapToGrid w:val="0"/>
        <w:spacing w:line="600" w:lineRule="exact"/>
        <w:ind w:firstLine="720"/>
        <w:rPr>
          <w:lang w:val="zh-CN"/>
        </w:rPr>
      </w:pPr>
      <w:r>
        <w:rPr>
          <w:rFonts w:hint="eastAsia"/>
          <w:lang w:val="en-US" w:eastAsia="zh-CN"/>
        </w:rPr>
        <w:t>3</w:t>
      </w:r>
      <w:r>
        <w:rPr>
          <w:lang w:val="zh-CN"/>
        </w:rPr>
        <w:t>. 资金分配的原则及考虑因素。</w:t>
      </w:r>
    </w:p>
    <w:p>
      <w:pPr>
        <w:adjustRightInd w:val="0"/>
        <w:snapToGrid w:val="0"/>
        <w:spacing w:line="600" w:lineRule="exact"/>
        <w:ind w:firstLine="720"/>
        <w:rPr>
          <w:rFonts w:hint="eastAsia"/>
          <w:lang w:val="zh-CN"/>
        </w:rPr>
      </w:pPr>
      <w:r>
        <w:rPr>
          <w:rFonts w:hint="eastAsia"/>
          <w:lang w:val="zh-CN"/>
        </w:rPr>
        <w:t>资金分配按照因素分配法，根据各基层医疗卫生机构村卫生室个数和补助标准进行资金分配。</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rFonts w:hint="default" w:eastAsia="仿宋_GB2312"/>
          <w:lang w:val="en-US" w:eastAsia="zh-CN"/>
        </w:rPr>
      </w:pPr>
      <w:r>
        <w:rPr>
          <w:rFonts w:hint="eastAsia"/>
          <w:lang w:val="zh-CN"/>
        </w:rPr>
        <w:t>符合养老保险缴费规定的在岗村医</w:t>
      </w:r>
      <w:r>
        <w:rPr>
          <w:rFonts w:hint="eastAsia"/>
          <w:lang w:val="en-US" w:eastAsia="zh-CN"/>
        </w:rPr>
        <w:t>100%缴纳城镇职工养老保险，各医疗机构及时发放养老保险缴费补助。</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default" w:ascii="仿宋_GB2312" w:hAnsi="仿宋_GB2312" w:cs="仿宋_GB2312"/>
          <w:kern w:val="0"/>
          <w:sz w:val="32"/>
          <w:szCs w:val="32"/>
          <w:lang w:val="en-US" w:eastAsia="zh-CN"/>
        </w:rPr>
      </w:pPr>
      <w:r>
        <w:rPr>
          <w:rFonts w:hint="eastAsia" w:ascii="仿宋_GB2312" w:hAnsi="仿宋_GB2312" w:eastAsia="仿宋_GB2312" w:cs="仿宋_GB2312"/>
          <w:kern w:val="0"/>
          <w:sz w:val="32"/>
          <w:szCs w:val="32"/>
        </w:rPr>
        <w:t>根据</w:t>
      </w:r>
      <w:r>
        <w:rPr>
          <w:rFonts w:hint="eastAsia" w:ascii="仿宋_GB2312" w:hAnsi="仿宋_GB2312" w:cs="仿宋_GB2312"/>
          <w:kern w:val="0"/>
          <w:sz w:val="32"/>
          <w:szCs w:val="32"/>
          <w:lang w:eastAsia="zh-CN"/>
        </w:rPr>
        <w:t>《攀枝花市财政局 攀枝花市卫生健康委员会关于下达2022年乡村医生养老保障项目市级财政补助资金的通知》（攀财资社〔2022〕147号）及《关于批复</w:t>
      </w:r>
      <w:r>
        <w:rPr>
          <w:rFonts w:hint="eastAsia" w:ascii="仿宋_GB2312" w:hAnsi="仿宋_GB2312" w:cs="仿宋_GB2312"/>
          <w:kern w:val="0"/>
          <w:sz w:val="32"/>
          <w:szCs w:val="32"/>
          <w:lang w:val="en-US" w:eastAsia="zh-CN"/>
        </w:rPr>
        <w:t>2022年部门预算的通知</w:t>
      </w:r>
      <w:r>
        <w:rPr>
          <w:rFonts w:hint="eastAsia" w:ascii="仿宋_GB2312" w:hAnsi="仿宋_GB2312" w:cs="仿宋_GB2312"/>
          <w:kern w:val="0"/>
          <w:sz w:val="32"/>
          <w:szCs w:val="32"/>
          <w:lang w:eastAsia="zh-CN"/>
        </w:rPr>
        <w:t>》（攀仁财〔2022〕1号），</w:t>
      </w:r>
      <w:r>
        <w:rPr>
          <w:rFonts w:hint="eastAsia" w:ascii="仿宋_GB2312" w:hAnsi="仿宋_GB2312" w:cs="仿宋_GB2312"/>
          <w:kern w:val="0"/>
          <w:sz w:val="32"/>
          <w:szCs w:val="32"/>
          <w:lang w:val="en-US" w:eastAsia="zh-CN"/>
        </w:rPr>
        <w:t>2022年收到乡村医生养老保险补助资金82500元。</w:t>
      </w:r>
    </w:p>
    <w:p>
      <w:pPr>
        <w:adjustRightInd w:val="0"/>
        <w:snapToGrid w:val="0"/>
        <w:spacing w:line="600" w:lineRule="exact"/>
        <w:ind w:firstLine="720"/>
        <w:rPr>
          <w:lang w:val="zh-CN"/>
        </w:rPr>
      </w:pPr>
      <w:r>
        <w:rPr>
          <w:rFonts w:eastAsia="楷体_GB2312"/>
          <w:b/>
          <w:lang w:val="zh-CN"/>
        </w:rPr>
        <w:t>（二）资金计划、到位及使用情况。</w:t>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2022年到位乡村医生养老保险补助82500元，其中市级资金39000元（按78个村卫生室下达），区级预算43500元（按87个村卫生室），使用72100元，其中使用市级资金35100元、区级资金37000元，资金执行率87%。</w:t>
      </w:r>
      <w:r>
        <w:rPr>
          <w:rFonts w:hint="eastAsia" w:ascii="仿宋_GB2312" w:hAnsi="仿宋_GB2312" w:eastAsia="仿宋_GB2312" w:cs="仿宋_GB2312"/>
          <w:kern w:val="0"/>
          <w:sz w:val="32"/>
          <w:szCs w:val="32"/>
          <w:lang w:val="en-US" w:eastAsia="zh-CN"/>
        </w:rPr>
        <w:t>未执行完毕的主要原因为部分村卫生室无村医或超龄不符合养老保险缴费条件。</w:t>
      </w:r>
    </w:p>
    <w:p>
      <w:pPr>
        <w:adjustRightInd w:val="0"/>
        <w:snapToGrid w:val="0"/>
        <w:spacing w:line="600" w:lineRule="exact"/>
        <w:ind w:firstLine="720"/>
        <w:rPr>
          <w:rFonts w:eastAsia="黑体"/>
        </w:rPr>
      </w:pPr>
      <w:r>
        <w:rPr>
          <w:rFonts w:eastAsia="黑体"/>
        </w:rPr>
        <w:t>三、项目实施及管理情况</w:t>
      </w:r>
    </w:p>
    <w:p>
      <w:pPr>
        <w:numPr>
          <w:ilvl w:val="0"/>
          <w:numId w:val="0"/>
        </w:num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各基层医疗卫生机构严格按照资金用途进行资金使用，及时发放村医养老保险补助，未执行资金年底由区财政注销。没有违规使用专项资金情况。</w:t>
      </w:r>
    </w:p>
    <w:p>
      <w:pPr>
        <w:adjustRightInd w:val="0"/>
        <w:snapToGrid w:val="0"/>
        <w:spacing w:line="600" w:lineRule="exact"/>
        <w:ind w:firstLine="720"/>
        <w:rPr>
          <w:lang w:val="zh-CN"/>
        </w:rPr>
      </w:pPr>
      <w:r>
        <w:rPr>
          <w:rFonts w:eastAsia="黑体"/>
        </w:rPr>
        <w:t>四、项目绩效情况</w:t>
      </w:r>
      <w:r>
        <w:rPr>
          <w:lang w:val="zh-CN"/>
        </w:rPr>
        <w:tab/>
      </w:r>
    </w:p>
    <w:p>
      <w:pPr>
        <w:numPr>
          <w:ilvl w:val="0"/>
          <w:numId w:val="0"/>
        </w:numPr>
        <w:autoSpaceDE w:val="0"/>
        <w:autoSpaceDN w:val="0"/>
        <w:adjustRightInd w:val="0"/>
        <w:spacing w:line="60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为全区7</w:t>
      </w:r>
      <w:r>
        <w:rPr>
          <w:rFonts w:hint="eastAsia" w:ascii="仿宋_GB2312" w:hAnsi="仿宋_GB2312" w:cs="仿宋_GB2312"/>
          <w:kern w:val="0"/>
          <w:sz w:val="32"/>
          <w:szCs w:val="32"/>
          <w:lang w:val="en-US" w:eastAsia="zh-CN"/>
        </w:rPr>
        <w:t>4</w:t>
      </w:r>
      <w:r>
        <w:rPr>
          <w:rFonts w:hint="eastAsia" w:ascii="仿宋_GB2312" w:hAnsi="仿宋_GB2312" w:eastAsia="仿宋_GB2312" w:cs="仿宋_GB2312"/>
          <w:kern w:val="0"/>
          <w:sz w:val="32"/>
          <w:szCs w:val="32"/>
          <w:lang w:val="en-US" w:eastAsia="zh-CN"/>
        </w:rPr>
        <w:t>名村医及时发放养老保险补助</w:t>
      </w:r>
      <w:r>
        <w:rPr>
          <w:rFonts w:hint="eastAsia" w:ascii="仿宋_GB2312" w:hAnsi="仿宋_GB2312" w:cs="仿宋_GB2312"/>
          <w:kern w:val="0"/>
          <w:sz w:val="32"/>
          <w:szCs w:val="32"/>
          <w:lang w:val="en-US" w:eastAsia="zh-CN"/>
        </w:rPr>
        <w:t>7.21</w:t>
      </w:r>
      <w:r>
        <w:rPr>
          <w:rFonts w:hint="eastAsia" w:ascii="仿宋_GB2312" w:hAnsi="仿宋_GB2312" w:eastAsia="仿宋_GB2312" w:cs="仿宋_GB2312"/>
          <w:kern w:val="0"/>
          <w:sz w:val="32"/>
          <w:szCs w:val="32"/>
          <w:lang w:val="en-US" w:eastAsia="zh-CN"/>
        </w:rPr>
        <w:t>万元，养老保险补助到位率100%，稳定了乡村医生队伍，方便了群众看病就医。</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eastAsia" w:ascii="仿宋_GB2312" w:hAnsi="仿宋_GB2312" w:eastAsia="仿宋_GB2312" w:cs="仿宋_GB2312"/>
          <w:kern w:val="0"/>
          <w:sz w:val="32"/>
          <w:szCs w:val="32"/>
          <w:lang w:eastAsia="zh-CN"/>
        </w:rPr>
      </w:pPr>
      <w:r>
        <w:rPr>
          <w:rFonts w:hint="eastAsia"/>
          <w:lang w:val="zh-CN"/>
        </w:rPr>
        <w:t>该项目的实施</w:t>
      </w:r>
      <w:r>
        <w:rPr>
          <w:rFonts w:hint="eastAsia" w:ascii="仿宋_GB2312" w:hAnsi="仿宋_GB2312" w:cs="仿宋_GB2312"/>
          <w:kern w:val="0"/>
          <w:sz w:val="32"/>
          <w:szCs w:val="32"/>
          <w:lang w:eastAsia="zh-CN"/>
        </w:rPr>
        <w:t>更好地保障了乡村医生合法权益、调动了乡村医生工作积极性、稳定了乡村医生队伍，</w:t>
      </w:r>
      <w:r>
        <w:rPr>
          <w:rFonts w:hint="eastAsia" w:ascii="仿宋_GB2312" w:hAnsi="仿宋_GB2312" w:eastAsia="仿宋_GB2312" w:cs="仿宋_GB2312"/>
          <w:kern w:val="0"/>
          <w:sz w:val="32"/>
          <w:szCs w:val="32"/>
        </w:rPr>
        <w:t>更好地为农村居民提供</w:t>
      </w:r>
      <w:r>
        <w:rPr>
          <w:rFonts w:hint="eastAsia" w:ascii="仿宋_GB2312" w:hAnsi="仿宋_GB2312" w:cs="仿宋_GB2312"/>
          <w:kern w:val="0"/>
          <w:sz w:val="32"/>
          <w:szCs w:val="32"/>
          <w:lang w:eastAsia="zh-CN"/>
        </w:rPr>
        <w:t>了</w:t>
      </w:r>
      <w:r>
        <w:rPr>
          <w:rFonts w:hint="eastAsia" w:ascii="仿宋_GB2312" w:hAnsi="仿宋_GB2312" w:eastAsia="仿宋_GB2312" w:cs="仿宋_GB2312"/>
          <w:kern w:val="0"/>
          <w:sz w:val="32"/>
          <w:szCs w:val="32"/>
        </w:rPr>
        <w:t>安全、有效、经济、便捷的基本医疗卫生服务</w:t>
      </w:r>
      <w:r>
        <w:rPr>
          <w:rFonts w:hint="eastAsia" w:ascii="仿宋_GB2312" w:hAnsi="仿宋_GB2312" w:cs="仿宋_GB2312"/>
          <w:kern w:val="0"/>
          <w:sz w:val="32"/>
          <w:szCs w:val="32"/>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eastAsia"/>
          <w:lang w:val="en-US" w:eastAsia="zh-CN"/>
        </w:rPr>
      </w:pPr>
      <w:r>
        <w:rPr>
          <w:rFonts w:hint="eastAsia"/>
          <w:lang w:val="zh-CN"/>
        </w:rPr>
        <w:t>无</w:t>
      </w:r>
    </w:p>
    <w:p>
      <w:pPr>
        <w:adjustRightInd w:val="0"/>
        <w:snapToGrid w:val="0"/>
        <w:spacing w:line="600" w:lineRule="exact"/>
        <w:ind w:firstLine="720"/>
        <w:rPr>
          <w:rFonts w:eastAsia="楷体_GB2312"/>
          <w:b/>
          <w:lang w:val="zh-CN"/>
        </w:rPr>
      </w:pPr>
      <w:r>
        <w:rPr>
          <w:rFonts w:eastAsia="楷体_GB2312"/>
          <w:b/>
          <w:lang w:val="zh-CN"/>
        </w:rPr>
        <w:t>（三）相关建议。</w:t>
      </w:r>
    </w:p>
    <w:p>
      <w:pPr>
        <w:ind w:firstLine="640" w:firstLineChars="200"/>
        <w:rPr>
          <w:rFonts w:hint="eastAsia"/>
          <w:lang w:val="zh-CN"/>
        </w:rPr>
      </w:pPr>
      <w:r>
        <w:rPr>
          <w:rFonts w:hint="eastAsia"/>
          <w:lang w:val="zh-CN"/>
        </w:rPr>
        <w:t>无</w:t>
      </w:r>
    </w:p>
    <w:p>
      <w:pPr>
        <w:ind w:firstLine="640" w:firstLineChars="200"/>
        <w:rPr>
          <w:rFonts w:hint="eastAsia"/>
          <w:lang w:val="en-US" w:eastAsia="zh-CN"/>
        </w:rPr>
      </w:pPr>
    </w:p>
    <w:p>
      <w:pPr>
        <w:ind w:firstLine="640" w:firstLineChars="200"/>
        <w:rPr>
          <w:rFonts w:hint="eastAsia"/>
          <w:lang w:val="en-US" w:eastAsia="zh-CN"/>
        </w:rPr>
      </w:pPr>
      <w:r>
        <w:rPr>
          <w:rFonts w:hint="eastAsia"/>
          <w:lang w:val="en-US" w:eastAsia="zh-CN"/>
        </w:rPr>
        <w:t>附件：特定目标类部门预算项目绩效目标自评表</w:t>
      </w: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p>
      <w:pPr>
        <w:ind w:firstLine="640" w:firstLineChars="200"/>
        <w:rPr>
          <w:rFonts w:hint="eastAsia"/>
          <w:lang w:val="en-US" w:eastAsia="zh-CN"/>
        </w:rPr>
      </w:pPr>
    </w:p>
    <w:tbl>
      <w:tblPr>
        <w:tblStyle w:val="4"/>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1992"/>
        <w:gridCol w:w="1134"/>
        <w:gridCol w:w="1642"/>
        <w:gridCol w:w="1335"/>
        <w:gridCol w:w="1300"/>
        <w:gridCol w:w="1414"/>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乡村医生养老保险</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sz w:val="24"/>
                <w:lang w:eastAsia="zh-CN"/>
              </w:rPr>
              <w:t>仁和区各医疗机构</w:t>
            </w:r>
          </w:p>
        </w:tc>
      </w:tr>
      <w:tr>
        <w:tblPrEx>
          <w:tblCellMar>
            <w:top w:w="0" w:type="dxa"/>
            <w:left w:w="108" w:type="dxa"/>
            <w:bottom w:w="0" w:type="dxa"/>
            <w:right w:w="108" w:type="dxa"/>
          </w:tblCellMar>
        </w:tblPrEx>
        <w:trPr>
          <w:trHeight w:val="341" w:hRule="atLeast"/>
        </w:trPr>
        <w:tc>
          <w:tcPr>
            <w:tcW w:w="17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仿宋_GB2312" w:cs="仿宋_GB2312"/>
                <w:kern w:val="0"/>
                <w:sz w:val="32"/>
                <w:szCs w:val="32"/>
                <w:lang w:val="en-US" w:eastAsia="zh-CN"/>
              </w:rPr>
              <w:t>4.35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3.7</w:t>
            </w:r>
          </w:p>
        </w:tc>
      </w:tr>
      <w:tr>
        <w:tblPrEx>
          <w:tblCellMar>
            <w:top w:w="0" w:type="dxa"/>
            <w:left w:w="108" w:type="dxa"/>
            <w:bottom w:w="0" w:type="dxa"/>
            <w:right w:w="108" w:type="dxa"/>
          </w:tblCellMar>
        </w:tblPrEx>
        <w:trPr>
          <w:trHeight w:val="577"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color w:val="000000"/>
                <w:sz w:val="24"/>
                <w:lang w:val="en-US"/>
              </w:rPr>
            </w:pPr>
            <w:r>
              <w:rPr>
                <w:rFonts w:hint="eastAsia" w:ascii="仿宋_GB2312" w:hAnsi="仿宋_GB2312" w:cs="仿宋_GB2312"/>
                <w:kern w:val="0"/>
                <w:sz w:val="32"/>
                <w:szCs w:val="32"/>
                <w:lang w:val="en-US" w:eastAsia="zh-CN"/>
              </w:rPr>
              <w:t>4.35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3.7</w:t>
            </w:r>
          </w:p>
        </w:tc>
      </w:tr>
      <w:tr>
        <w:tblPrEx>
          <w:tblCellMar>
            <w:top w:w="0" w:type="dxa"/>
            <w:left w:w="108" w:type="dxa"/>
            <w:bottom w:w="0" w:type="dxa"/>
            <w:right w:w="108" w:type="dxa"/>
          </w:tblCellMar>
        </w:tblPrEx>
        <w:trPr>
          <w:trHeight w:val="341" w:hRule="atLeast"/>
        </w:trPr>
        <w:tc>
          <w:tcPr>
            <w:tcW w:w="1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val="en-US" w:eastAsia="zh-CN"/>
              </w:rPr>
            </w:pPr>
            <w:r>
              <w:rPr>
                <w:rFonts w:hint="eastAsia" w:ascii="仿宋_GB2312" w:hAnsi="仿宋_GB2312" w:eastAsia="仿宋_GB2312" w:cs="仿宋_GB2312"/>
                <w:kern w:val="0"/>
                <w:sz w:val="18"/>
                <w:szCs w:val="18"/>
              </w:rPr>
              <w:t>为认真贯彻落实深化医药卫生体制改革精神，建立健全农村卫生网底，</w:t>
            </w:r>
            <w:r>
              <w:rPr>
                <w:rFonts w:hint="eastAsia" w:ascii="仿宋_GB2312" w:hAnsi="仿宋_GB2312" w:cs="仿宋_GB2312"/>
                <w:kern w:val="0"/>
                <w:sz w:val="18"/>
                <w:szCs w:val="18"/>
                <w:lang w:eastAsia="zh-CN"/>
              </w:rPr>
              <w:t>更好保障乡村医生合法权益、调动乡村医生工作积极性、稳定乡村医生队伍，</w:t>
            </w:r>
            <w:r>
              <w:rPr>
                <w:rFonts w:hint="eastAsia" w:ascii="仿宋_GB2312" w:hAnsi="仿宋_GB2312" w:eastAsia="仿宋_GB2312" w:cs="仿宋_GB2312"/>
                <w:kern w:val="0"/>
                <w:sz w:val="18"/>
                <w:szCs w:val="18"/>
              </w:rPr>
              <w:t>更好地为农村居民提供安全、有效、经济、便捷的基本医疗卫生服务，对每个村卫生室按每年1000元标准给予补助，主要用于为乡村医生购买养老保险补助</w:t>
            </w:r>
            <w:r>
              <w:rPr>
                <w:rFonts w:hint="eastAsia" w:ascii="仿宋_GB2312" w:hAnsi="仿宋_GB2312" w:cs="仿宋_GB2312"/>
                <w:kern w:val="0"/>
                <w:sz w:val="18"/>
                <w:szCs w:val="18"/>
                <w:lang w:val="en-US" w:eastAsia="zh-CN"/>
              </w:rPr>
              <w:t>.</w:t>
            </w:r>
          </w:p>
        </w:tc>
        <w:tc>
          <w:tcPr>
            <w:tcW w:w="1537"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color w:val="000000"/>
                <w:sz w:val="24"/>
                <w:lang w:val="en-US"/>
              </w:rPr>
            </w:pPr>
            <w:r>
              <w:rPr>
                <w:rFonts w:hint="eastAsia" w:ascii="仿宋_GB2312" w:hAnsi="仿宋_GB2312" w:cs="仿宋_GB2312"/>
                <w:kern w:val="0"/>
                <w:sz w:val="28"/>
                <w:szCs w:val="28"/>
                <w:lang w:val="en-US" w:eastAsia="zh-CN"/>
              </w:rPr>
              <w:t>为74名村医购买养老保险，</w:t>
            </w:r>
            <w:r>
              <w:rPr>
                <w:rFonts w:hint="eastAsia" w:ascii="仿宋_GB2312" w:hAnsi="仿宋_GB2312" w:cs="仿宋_GB2312"/>
                <w:kern w:val="0"/>
                <w:sz w:val="28"/>
                <w:szCs w:val="28"/>
                <w:lang w:eastAsia="zh-CN"/>
              </w:rPr>
              <w:t>调动了乡村医生工作积极性、稳定了乡村医生队伍。</w:t>
            </w:r>
          </w:p>
        </w:tc>
      </w:tr>
      <w:tr>
        <w:tblPrEx>
          <w:tblCellMar>
            <w:top w:w="0" w:type="dxa"/>
            <w:left w:w="108" w:type="dxa"/>
            <w:bottom w:w="0" w:type="dxa"/>
            <w:right w:w="108" w:type="dxa"/>
          </w:tblCellMar>
        </w:tblPrEx>
        <w:trPr>
          <w:trHeight w:val="738" w:hRule="atLeast"/>
        </w:trPr>
        <w:tc>
          <w:tcPr>
            <w:tcW w:w="113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43"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村卫生室个数</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87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74</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18"/>
                <w:szCs w:val="18"/>
              </w:rPr>
              <w:t>村医养老保险补助覆盖率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rPr>
              <w:t>养老保险补助到位率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补助经费</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4.35</w:t>
            </w:r>
            <w:r>
              <w:rPr>
                <w:rFonts w:hint="eastAsia"/>
                <w:color w:val="000000"/>
                <w:sz w:val="28"/>
                <w:szCs w:val="28"/>
              </w:rPr>
              <w:t>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lang w:val="en-US" w:eastAsia="zh-CN"/>
              </w:rPr>
              <w:t>3.7</w:t>
            </w:r>
            <w:r>
              <w:rPr>
                <w:rFonts w:hint="eastAsia"/>
                <w:color w:val="000000"/>
                <w:sz w:val="28"/>
                <w:szCs w:val="28"/>
              </w:rPr>
              <w:t>万元</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乡村医生稳定性</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4"/>
                <w:szCs w:val="24"/>
              </w:rPr>
              <w:t>稳定乡村医生队伍，方便群众看病就医。</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color w:val="000000"/>
                <w:sz w:val="28"/>
                <w:szCs w:val="28"/>
              </w:rPr>
            </w:pPr>
            <w:r>
              <w:rPr>
                <w:rFonts w:hint="eastAsia"/>
                <w:color w:val="000000"/>
                <w:sz w:val="21"/>
                <w:szCs w:val="21"/>
              </w:rPr>
              <w:t>稳定</w:t>
            </w:r>
            <w:r>
              <w:rPr>
                <w:rFonts w:hint="eastAsia"/>
                <w:color w:val="000000"/>
                <w:sz w:val="21"/>
                <w:szCs w:val="21"/>
                <w:lang w:eastAsia="zh-CN"/>
              </w:rPr>
              <w:t>了</w:t>
            </w:r>
            <w:r>
              <w:rPr>
                <w:rFonts w:hint="eastAsia"/>
                <w:color w:val="000000"/>
                <w:sz w:val="21"/>
                <w:szCs w:val="21"/>
              </w:rPr>
              <w:t>乡村医生队伍，方便</w:t>
            </w:r>
            <w:r>
              <w:rPr>
                <w:rFonts w:hint="eastAsia"/>
                <w:color w:val="000000"/>
                <w:sz w:val="21"/>
                <w:szCs w:val="21"/>
                <w:lang w:eastAsia="zh-CN"/>
              </w:rPr>
              <w:t>了</w:t>
            </w:r>
            <w:r>
              <w:rPr>
                <w:rFonts w:hint="eastAsia"/>
                <w:color w:val="000000"/>
                <w:sz w:val="21"/>
                <w:szCs w:val="21"/>
              </w:rPr>
              <w:t>群众看病就医。</w:t>
            </w:r>
          </w:p>
        </w:tc>
      </w:tr>
      <w:tr>
        <w:tblPrEx>
          <w:tblCellMar>
            <w:top w:w="0" w:type="dxa"/>
            <w:left w:w="108" w:type="dxa"/>
            <w:bottom w:w="0" w:type="dxa"/>
            <w:right w:w="108" w:type="dxa"/>
          </w:tblCellMar>
        </w:tblPrEx>
        <w:trPr>
          <w:trHeight w:val="480" w:hRule="atLeast"/>
        </w:trPr>
        <w:tc>
          <w:tcPr>
            <w:tcW w:w="113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乡村医生满意度</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≥90%</w:t>
            </w:r>
          </w:p>
        </w:tc>
      </w:tr>
    </w:tbl>
    <w:p>
      <w:pPr>
        <w:ind w:firstLine="720" w:firstLineChars="200"/>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AB780"/>
    <w:multiLevelType w:val="singleLevel"/>
    <w:tmpl w:val="35AAB7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9137C6"/>
    <w:rsid w:val="00993141"/>
    <w:rsid w:val="00A51A86"/>
    <w:rsid w:val="00B04AD2"/>
    <w:rsid w:val="00EB3EED"/>
    <w:rsid w:val="1C25106F"/>
    <w:rsid w:val="22AD555F"/>
    <w:rsid w:val="282826C6"/>
    <w:rsid w:val="2AF86ED7"/>
    <w:rsid w:val="2B385C88"/>
    <w:rsid w:val="35874596"/>
    <w:rsid w:val="43313BC3"/>
    <w:rsid w:val="58EB7C88"/>
    <w:rsid w:val="65FD006B"/>
    <w:rsid w:val="6D0475A2"/>
    <w:rsid w:val="74A708C5"/>
    <w:rsid w:val="771D4D51"/>
    <w:rsid w:val="7AA004FD"/>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5</TotalTime>
  <ScaleCrop>false</ScaleCrop>
  <LinksUpToDate>false</LinksUpToDate>
  <CharactersWithSpaces>1348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2023-05-11T02:27:06Z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650BFE0C0224458A9F1D5D4C658D4EC6</vt:lpwstr>
  </property>
</Properties>
</file>