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Times New Roman" w:eastAsia="方正小标宋_GBK"/>
          <w:spacing w:val="-23"/>
          <w:sz w:val="38"/>
          <w:szCs w:val="38"/>
        </w:rPr>
      </w:pPr>
      <w:bookmarkStart w:id="0" w:name="_GoBack"/>
      <w:bookmarkEnd w:id="0"/>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ascii="Times New Roman" w:hAnsi="Times New Roman" w:eastAsia="方正仿宋_GBK"/>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对违反规定占用耕地建窑、建坟或者擅自在耕地上建房、挖砂、采石、采矿、取土等的行政处罚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4"/>
                <w:szCs w:val="24"/>
              </w:rPr>
            </w:pPr>
            <w:r>
              <w:rPr>
                <w:rFonts w:hint="eastAsia" w:ascii="方正仿宋_GBK" w:hAnsi="方正仿宋_GBK" w:eastAsia="方正仿宋_GBK" w:cs="方正仿宋_GBK"/>
                <w:b/>
                <w:snapToGrid w:val="0"/>
                <w:color w:val="000000"/>
                <w:kern w:val="0"/>
                <w:sz w:val="22"/>
                <w:szCs w:val="22"/>
              </w:rPr>
              <w:t>《中华人民共和国土地管理法》第七十五条　</w:t>
            </w:r>
            <w:r>
              <w:rPr>
                <w:rStyle w:val="9"/>
                <w:rFonts w:hint="eastAsia" w:ascii="方正仿宋_GBK" w:hAnsi="方正仿宋_GBK" w:eastAsia="方正仿宋_GBK" w:cs="方正仿宋_GBK"/>
                <w:snapToGrid w:val="0"/>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ab/>
      </w: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对违反规定破坏或者擅自改变永久基本农田保护区标志的行政处罚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《基本农田保护条例》第三十二条　</w:t>
            </w:r>
            <w:r>
              <w:rPr>
                <w:rStyle w:val="9"/>
                <w:rFonts w:hint="eastAsia" w:ascii="方正仿宋_GBK" w:hAnsi="方正仿宋_GBK" w:eastAsia="方正仿宋_GBK" w:cs="方正仿宋_GBK"/>
                <w:snapToGrid w:val="0"/>
              </w:rPr>
              <w:t>违反本条例规定，破坏或者擅自改变基本农田保护区标志的，由县级以上地方人民政府土地行政主管部门或者农业行政主管部门责令恢复原状，可以处</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元以下罚款。</w:t>
            </w:r>
          </w:p>
          <w:p>
            <w:pPr>
              <w:snapToGrid w:val="0"/>
              <w:ind w:firstLine="480" w:firstLineChars="200"/>
              <w:rPr>
                <w:rStyle w:val="8"/>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ab/>
      </w: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对违反规定在地质灾害危险区内爆破、削坡、进行工程建设以及从事其他可能引发地质灾害活动的行政处罚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4"/>
                <w:szCs w:val="24"/>
              </w:rPr>
            </w:pPr>
            <w:r>
              <w:rPr>
                <w:rFonts w:hint="eastAsia" w:ascii="方正仿宋_GBK" w:hAnsi="方正仿宋_GBK" w:eastAsia="方正仿宋_GBK" w:cs="方正仿宋_GBK"/>
                <w:b/>
                <w:snapToGrid w:val="0"/>
                <w:color w:val="000000"/>
                <w:kern w:val="0"/>
                <w:sz w:val="22"/>
                <w:szCs w:val="22"/>
              </w:rPr>
              <w:t>《地质灾害防治条例》第四十三条　</w:t>
            </w:r>
            <w:r>
              <w:rPr>
                <w:rStyle w:val="9"/>
                <w:rFonts w:hint="eastAsia" w:ascii="方正仿宋_GBK" w:hAnsi="方正仿宋_GBK" w:eastAsia="方正仿宋_GBK" w:cs="方正仿宋_GBK"/>
                <w:snapToGrid w:val="0"/>
              </w:rPr>
              <w:t>违反本条例规定，在地质灾害危险区内爆破、削坡、进行工程建设以及从事其他可能引发地质灾害活动的，由县级以上地方人民政府国土资源主管部门责令停止违法行为，对单位处</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20</w:t>
            </w:r>
            <w:r>
              <w:rPr>
                <w:rStyle w:val="9"/>
                <w:rFonts w:hint="eastAsia" w:ascii="方正仿宋_GBK" w:hAnsi="方正仿宋_GBK" w:eastAsia="方正仿宋_GBK" w:cs="方正仿宋_GBK"/>
                <w:snapToGrid w:val="0"/>
              </w:rPr>
              <w:t>万元以下的罚款，对个人处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万元以下的罚款；构成犯罪的，依法追究刑事责任；给他人造成损失的，依法承担赔偿责任。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hint="eastAsia"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对违反规定占用永久基本农田建窑、建房、建坟、挖砂、采石、采矿、取土、堆放固体废弃物或者从事其他活动破坏永久基本农田，毁坏种植条件的行政处罚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4"/>
                <w:szCs w:val="24"/>
              </w:rPr>
            </w:pPr>
            <w:r>
              <w:rPr>
                <w:rFonts w:hint="eastAsia" w:ascii="方正仿宋_GBK" w:hAnsi="方正仿宋_GBK" w:eastAsia="方正仿宋_GBK" w:cs="方正仿宋_GBK"/>
                <w:b/>
                <w:snapToGrid w:val="0"/>
                <w:color w:val="000000"/>
                <w:kern w:val="0"/>
                <w:sz w:val="22"/>
                <w:szCs w:val="22"/>
              </w:rPr>
              <w:t>《基本农田保护条例》第三十三条　</w:t>
            </w:r>
            <w:r>
              <w:rPr>
                <w:rStyle w:val="9"/>
                <w:rFonts w:hint="eastAsia" w:ascii="方正仿宋_GBK" w:hAnsi="方正仿宋_GBK" w:eastAsia="方正仿宋_GBK" w:cs="方正仿宋_GBK"/>
                <w:snapToGrid w:val="0"/>
              </w:rPr>
              <w:t>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倍以上</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倍以下的罚款；构成犯罪的，依法追究刑事责任。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对未经批准或者未按照批准内容进行临时建设以及临时建筑物、构筑物超过批准期限不拆除的行政处罚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4"/>
                <w:szCs w:val="24"/>
              </w:rPr>
            </w:pPr>
            <w:r>
              <w:rPr>
                <w:rFonts w:hint="eastAsia" w:ascii="方正仿宋_GBK" w:hAnsi="方正仿宋_GBK" w:eastAsia="方正仿宋_GBK" w:cs="方正仿宋_GBK"/>
                <w:b/>
                <w:snapToGrid w:val="0"/>
                <w:color w:val="000000"/>
                <w:kern w:val="0"/>
                <w:sz w:val="22"/>
                <w:szCs w:val="22"/>
              </w:rPr>
              <w:t>《中华人民共和国城乡规划法》第六十六条　</w:t>
            </w:r>
            <w:r>
              <w:rPr>
                <w:rStyle w:val="9"/>
                <w:rFonts w:hint="eastAsia" w:ascii="方正仿宋_GBK" w:hAnsi="方正仿宋_GBK" w:eastAsia="方正仿宋_GBK" w:cs="方正仿宋_GBK"/>
                <w:snapToGrid w:val="0"/>
              </w:rPr>
              <w:t>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8"/>
                <w:rFonts w:hint="eastAsia" w:ascii="Times New Roman" w:hAnsi="Times New Roman" w:eastAsia="方正仿宋_GBK"/>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3"/>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b/>
                <w:snapToGrid w:val="0"/>
                <w:color w:val="000000"/>
                <w:kern w:val="0"/>
                <w:sz w:val="22"/>
                <w:szCs w:val="22"/>
              </w:rPr>
              <w:t>《城市照明管理规定》第二十八条　</w:t>
            </w:r>
            <w:r>
              <w:rPr>
                <w:rStyle w:val="9"/>
                <w:rFonts w:hint="eastAsia" w:ascii="方正仿宋_GBK" w:hAnsi="方正仿宋_GBK" w:eastAsia="方正仿宋_GBK" w:cs="方正仿宋_GBK"/>
                <w:snapToGrid w:val="0"/>
              </w:rPr>
              <w:t>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r>
              <w:rPr>
                <w:rFonts w:hint="eastAsia" w:ascii="方正仿宋_GBK" w:hAnsi="方正仿宋_GBK" w:eastAsia="方正仿宋_GBK" w:cs="方正仿宋_GBK"/>
                <w:snapToGrid w:val="0"/>
                <w:color w:val="000000"/>
                <w:kern w:val="0"/>
                <w:sz w:val="22"/>
                <w:szCs w:val="22"/>
              </w:rPr>
              <w:t>　</w:t>
            </w:r>
          </w:p>
          <w:p>
            <w:pPr>
              <w:snapToGrid w:val="0"/>
              <w:ind w:firstLine="442" w:firstLineChars="200"/>
              <w:rPr>
                <w:rStyle w:val="8"/>
                <w:rFonts w:ascii="方正仿宋_GBK" w:hAnsi="方正仿宋_GBK" w:eastAsia="方正仿宋_GBK" w:cs="方正仿宋_GBK"/>
                <w:sz w:val="24"/>
                <w:szCs w:val="24"/>
              </w:rPr>
            </w:pPr>
            <w:r>
              <w:rPr>
                <w:rFonts w:hint="eastAsia" w:ascii="方正仿宋_GBK" w:hAnsi="方正仿宋_GBK" w:eastAsia="方正仿宋_GBK" w:cs="方正仿宋_GBK"/>
                <w:b/>
                <w:snapToGrid w:val="0"/>
                <w:color w:val="000000"/>
                <w:kern w:val="0"/>
                <w:sz w:val="22"/>
                <w:szCs w:val="22"/>
              </w:rPr>
              <w:t>第三十二条　</w:t>
            </w:r>
            <w:r>
              <w:rPr>
                <w:rStyle w:val="9"/>
                <w:rFonts w:hint="eastAsia" w:ascii="方正仿宋_GBK" w:hAnsi="方正仿宋_GBK" w:eastAsia="方正仿宋_GBK" w:cs="方正仿宋_GBK"/>
                <w:snapToGrid w:val="0"/>
              </w:rPr>
              <w:t>违反本规定，有第二十八条规定行为之一的，由城市照明主管部门责令限期改正，对个人处以</w:t>
            </w:r>
            <w:r>
              <w:rPr>
                <w:rStyle w:val="10"/>
                <w:rFonts w:hint="eastAsia" w:ascii="方正仿宋_GBK" w:hAnsi="方正仿宋_GBK" w:eastAsia="方正仿宋_GBK" w:cs="方正仿宋_GBK"/>
                <w:snapToGrid w:val="0"/>
              </w:rPr>
              <w:t>200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元以下的罚款；对单位处以</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3</w:t>
            </w:r>
            <w:r>
              <w:rPr>
                <w:rStyle w:val="9"/>
                <w:rFonts w:hint="eastAsia" w:ascii="方正仿宋_GBK" w:hAnsi="方正仿宋_GBK" w:eastAsia="方正仿宋_GBK" w:cs="方正仿宋_GBK"/>
                <w:snapToGrid w:val="0"/>
              </w:rPr>
              <w:t>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8"/>
                <w:rFonts w:hint="eastAsia" w:ascii="Times New Roman" w:hAnsi="Times New Roman" w:eastAsia="方正仿宋_GBK"/>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《历史文化名城名镇名村保护条例》第四十二条　</w:t>
            </w:r>
            <w:r>
              <w:rPr>
                <w:rStyle w:val="9"/>
                <w:rFonts w:hint="eastAsia" w:ascii="方正仿宋_GBK" w:hAnsi="方正仿宋_GBK" w:eastAsia="方正仿宋_GBK" w:cs="方正仿宋_GBK"/>
                <w:snapToGrid w:val="0"/>
              </w:rPr>
              <w:t>违反本条例规定，在历史建筑上刻划、涂污的，由城市、县人民政府城乡规划主管部门责令恢复原状或者采取其他补救措施，处</w:t>
            </w:r>
            <w:r>
              <w:rPr>
                <w:rStyle w:val="10"/>
                <w:rFonts w:hint="eastAsia" w:ascii="方正仿宋_GBK" w:hAnsi="方正仿宋_GBK" w:eastAsia="方正仿宋_GBK" w:cs="方正仿宋_GBK"/>
                <w:snapToGrid w:val="0"/>
              </w:rPr>
              <w:t>50</w:t>
            </w:r>
            <w:r>
              <w:rPr>
                <w:rStyle w:val="9"/>
                <w:rFonts w:hint="eastAsia" w:ascii="方正仿宋_GBK" w:hAnsi="方正仿宋_GBK" w:eastAsia="方正仿宋_GBK" w:cs="方正仿宋_GBK"/>
                <w:snapToGrid w:val="0"/>
              </w:rPr>
              <w:t>元的罚款。</w:t>
            </w:r>
          </w:p>
          <w:p>
            <w:pPr>
              <w:snapToGrid w:val="0"/>
              <w:ind w:firstLine="480" w:firstLineChars="200"/>
              <w:rPr>
                <w:rStyle w:val="8"/>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《历史文化名城名镇名村保护条例》第四十五条　</w:t>
            </w:r>
            <w:r>
              <w:rPr>
                <w:rStyle w:val="9"/>
                <w:rFonts w:hint="eastAsia" w:ascii="方正仿宋_GBK" w:hAnsi="方正仿宋_GBK" w:eastAsia="方正仿宋_GBK" w:cs="方正仿宋_GBK"/>
                <w:snapToGrid w:val="0"/>
              </w:rPr>
              <w:t>违反本条例规定，擅自设置、移动、涂改或者损毁历史文化街区、名镇、名村标志牌的，由城市、县人民政府城乡规划主管部门责令限期改正；逾期不改正的，对单位处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万元以下的罚款，对个人处</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万元以下的罚款。</w:t>
            </w:r>
          </w:p>
          <w:p>
            <w:pPr>
              <w:snapToGrid w:val="0"/>
              <w:ind w:firstLine="480" w:firstLineChars="200"/>
              <w:rPr>
                <w:rStyle w:val="8"/>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0"/>
                <w:szCs w:val="20"/>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2" w:firstLineChars="200"/>
              <w:textAlignment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b/>
                <w:snapToGrid w:val="0"/>
                <w:color w:val="000000"/>
                <w:kern w:val="0"/>
                <w:sz w:val="20"/>
                <w:szCs w:val="20"/>
              </w:rPr>
              <w:t>《城市市容和环境卫生管理条例》第三十四条　</w:t>
            </w:r>
            <w:r>
              <w:rPr>
                <w:rStyle w:val="9"/>
                <w:rFonts w:hint="eastAsia" w:ascii="方正仿宋_GBK" w:hAnsi="方正仿宋_GBK" w:eastAsia="方正仿宋_GBK" w:cs="方正仿宋_GBK"/>
                <w:snapToGrid w:val="0"/>
                <w:sz w:val="20"/>
                <w:szCs w:val="20"/>
              </w:rPr>
              <w:t>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8"/>
                <w:rFonts w:ascii="方正仿宋_GBK" w:hAnsi="方正仿宋_GBK" w:eastAsia="方正仿宋_GBK" w:cs="方正仿宋_GBK"/>
                <w:sz w:val="24"/>
                <w:szCs w:val="24"/>
              </w:rPr>
            </w:pPr>
            <w:r>
              <w:rPr>
                <w:rStyle w:val="9"/>
                <w:rFonts w:hint="eastAsia" w:ascii="方正仿宋_GBK" w:hAnsi="方正仿宋_GBK" w:eastAsia="方正仿宋_GBK" w:cs="方正仿宋_GBK"/>
                <w:b/>
              </w:rPr>
              <w:t>《城市市容和环境卫生管理条例》第三十六条</w:t>
            </w:r>
            <w:r>
              <w:rPr>
                <w:rStyle w:val="9"/>
                <w:rFonts w:hint="eastAsia" w:ascii="方正仿宋_GBK" w:hAnsi="方正仿宋_GBK" w:eastAsia="方正仿宋_GBK" w:cs="方正仿宋_GBK"/>
              </w:rPr>
              <w:t>　</w:t>
            </w:r>
            <w:r>
              <w:rPr>
                <w:rStyle w:val="9"/>
                <w:rFonts w:hint="eastAsia" w:ascii="方正仿宋_GBK" w:hAnsi="方正仿宋_GBK" w:eastAsia="方正仿宋_GBK" w:cs="方正仿宋_GBK"/>
                <w:snapToGrid w:val="0"/>
              </w:rPr>
              <w:t>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Style w:val="9"/>
                <w:rFonts w:hint="eastAsia" w:ascii="方正仿宋_GBK" w:hAnsi="方正仿宋_GBK" w:eastAsia="方正仿宋_GBK" w:cs="方正仿宋_GBK"/>
                <w:b/>
              </w:rPr>
              <w:t>《城市市容和环境卫生管理条例》第三十八条</w:t>
            </w:r>
            <w:r>
              <w:rPr>
                <w:rStyle w:val="9"/>
                <w:rFonts w:hint="eastAsia" w:ascii="方正仿宋_GBK" w:hAnsi="方正仿宋_GBK" w:eastAsia="方正仿宋_GBK" w:cs="方正仿宋_GBK"/>
              </w:rPr>
              <w:t>　</w:t>
            </w:r>
            <w:r>
              <w:rPr>
                <w:rStyle w:val="9"/>
                <w:rFonts w:hint="eastAsia" w:ascii="方正仿宋_GBK" w:hAnsi="方正仿宋_GBK" w:eastAsia="方正仿宋_GBK" w:cs="方正仿宋_GBK"/>
                <w:snapToGrid w:val="0"/>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p>
            <w:pPr>
              <w:snapToGrid w:val="0"/>
              <w:ind w:firstLine="480" w:firstLineChars="200"/>
              <w:rPr>
                <w:rStyle w:val="8"/>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b/>
                <w:snapToGrid w:val="0"/>
                <w:color w:val="000000"/>
                <w:kern w:val="0"/>
                <w:sz w:val="22"/>
                <w:szCs w:val="22"/>
              </w:rPr>
              <w:t>《四川省城乡环境综合治理条例》第三十七条第二款　</w:t>
            </w:r>
            <w:r>
              <w:rPr>
                <w:rStyle w:val="9"/>
                <w:rFonts w:hint="eastAsia" w:ascii="方正仿宋_GBK" w:hAnsi="方正仿宋_GBK" w:eastAsia="方正仿宋_GBK" w:cs="方正仿宋_GBK"/>
                <w:snapToGrid w:val="0"/>
              </w:rPr>
              <w:t>集贸市场内的经营者应当保持摊位和经营场所的整洁。餐饮、农产品等易产生垃圾的摊位应当配置垃圾收集容器，保持摊点干净和卫生。</w:t>
            </w:r>
            <w:r>
              <w:rPr>
                <w:rFonts w:hint="eastAsia" w:ascii="方正仿宋_GBK" w:hAnsi="方正仿宋_GBK" w:eastAsia="方正仿宋_GBK" w:cs="方正仿宋_GBK"/>
                <w:snapToGrid w:val="0"/>
                <w:color w:val="000000"/>
                <w:kern w:val="0"/>
                <w:sz w:val="22"/>
                <w:szCs w:val="22"/>
              </w:rPr>
              <w:t>　</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第三十八条　</w:t>
            </w:r>
            <w:r>
              <w:rPr>
                <w:rStyle w:val="9"/>
                <w:rFonts w:hint="eastAsia" w:ascii="方正仿宋_GBK" w:hAnsi="方正仿宋_GBK" w:eastAsia="方正仿宋_GBK" w:cs="方正仿宋_GBK"/>
                <w:snapToGrid w:val="0"/>
              </w:rPr>
              <w:t>早市、夜市、摊区、临时农副产品市场应当定时定点经营，保持摊位整洁，收市时应当将垃圾、污渍清理干净。临时饮食摊点应当采取有效措施防止油污、污水和垃圾污染环境。</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第六十五条第四项　</w:t>
            </w:r>
            <w:r>
              <w:rPr>
                <w:rStyle w:val="9"/>
                <w:rFonts w:hint="eastAsia" w:ascii="方正仿宋_GBK" w:hAnsi="方正仿宋_GBK" w:eastAsia="方正仿宋_GBK" w:cs="方正仿宋_GBK"/>
                <w:snapToGrid w:val="0"/>
              </w:rPr>
              <w:t>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p>
            <w:pPr>
              <w:snapToGrid w:val="0"/>
              <w:ind w:firstLine="480" w:firstLineChars="200"/>
              <w:rPr>
                <w:rStyle w:val="8"/>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3"/>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《四川省城乡环境综合治理条例》第二十五条第一款</w:t>
            </w:r>
            <w:r>
              <w:rPr>
                <w:rStyle w:val="9"/>
                <w:rFonts w:hint="eastAsia" w:ascii="方正仿宋_GBK" w:hAnsi="方正仿宋_GBK" w:eastAsia="方正仿宋_GBK" w:cs="方正仿宋_GBK"/>
                <w:snapToGrid w:val="0"/>
              </w:rPr>
              <w:t>　城镇园林绿地建设应当具有市容美化、防灾避险功能，应当定期维护，保持整洁美观，禁止侵占、毁损、围挡园林绿地。</w:t>
            </w:r>
          </w:p>
          <w:p>
            <w:pPr>
              <w:widowControl/>
              <w:snapToGrid w:val="0"/>
              <w:spacing w:line="0" w:lineRule="atLeast"/>
              <w:ind w:firstLine="403"/>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第五十五条</w:t>
            </w:r>
            <w:r>
              <w:rPr>
                <w:rStyle w:val="9"/>
                <w:rFonts w:hint="eastAsia" w:ascii="方正仿宋_GBK" w:hAnsi="方正仿宋_GBK" w:eastAsia="方正仿宋_GBK" w:cs="方正仿宋_GBK"/>
                <w:snapToGrid w:val="0"/>
              </w:rPr>
              <w:t>　单位和个人应当保护和正确使用城乡环境卫生设施，禁止损毁、盗窃、占用；禁止擅自关闭、拆除、迁移或者改变其使用性质和内部结构。</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第六十六条　</w:t>
            </w:r>
            <w:r>
              <w:rPr>
                <w:rStyle w:val="9"/>
                <w:rFonts w:hint="eastAsia" w:ascii="方正仿宋_GBK" w:hAnsi="方正仿宋_GBK" w:eastAsia="方正仿宋_GBK" w:cs="方正仿宋_GBK"/>
                <w:snapToGrid w:val="0"/>
              </w:rPr>
              <w:t>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p>
            <w:pPr>
              <w:snapToGrid w:val="0"/>
              <w:ind w:firstLine="480" w:firstLineChars="200"/>
              <w:rPr>
                <w:rStyle w:val="8"/>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3"/>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《四川省城乡环境综合治理条例》第二十五条第一款</w:t>
            </w:r>
            <w:r>
              <w:rPr>
                <w:rStyle w:val="9"/>
                <w:rFonts w:hint="eastAsia" w:ascii="方正仿宋_GBK" w:hAnsi="方正仿宋_GBK" w:eastAsia="方正仿宋_GBK" w:cs="方正仿宋_GBK"/>
                <w:snapToGrid w:val="0"/>
              </w:rPr>
              <w:t>　城镇园林绿地建设应当具有市容美化、防灾避险功能，应当定期维护，保持整洁美观，禁止侵占、毁损、围挡园林绿地。</w:t>
            </w:r>
          </w:p>
          <w:p>
            <w:pPr>
              <w:widowControl/>
              <w:snapToGrid w:val="0"/>
              <w:spacing w:line="0" w:lineRule="atLeast"/>
              <w:ind w:firstLine="403"/>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第五十五条</w:t>
            </w:r>
            <w:r>
              <w:rPr>
                <w:rStyle w:val="9"/>
                <w:rFonts w:hint="eastAsia" w:ascii="方正仿宋_GBK" w:hAnsi="方正仿宋_GBK" w:eastAsia="方正仿宋_GBK" w:cs="方正仿宋_GBK"/>
                <w:snapToGrid w:val="0"/>
              </w:rPr>
              <w:t>　单位和个人应当保护和正确使用城乡环境卫生设施，禁止损毁、盗窃、占用；禁止擅自关闭、拆除、迁移或者改变其使用性质和内部结构。</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第六十六条　</w:t>
            </w:r>
            <w:r>
              <w:rPr>
                <w:rStyle w:val="9"/>
                <w:rFonts w:hint="eastAsia" w:ascii="方正仿宋_GBK" w:hAnsi="方正仿宋_GBK" w:eastAsia="方正仿宋_GBK" w:cs="方正仿宋_GBK"/>
                <w:snapToGrid w:val="0"/>
              </w:rPr>
              <w:t>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p>
            <w:pPr>
              <w:snapToGrid w:val="0"/>
              <w:ind w:firstLine="480" w:firstLineChars="200"/>
              <w:rPr>
                <w:rStyle w:val="8"/>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《城市建筑垃圾管理规定》第二十二条第一款　</w:t>
            </w:r>
            <w:r>
              <w:rPr>
                <w:rStyle w:val="9"/>
                <w:rFonts w:hint="eastAsia" w:ascii="方正仿宋_GBK" w:hAnsi="方正仿宋_GBK" w:eastAsia="方正仿宋_GBK" w:cs="方正仿宋_GBK"/>
                <w:snapToGrid w:val="0"/>
              </w:rPr>
              <w:t>施工单位未及时清运工程施工过程中产生的建筑垃圾，造成环境污染的，由城市人民政府市容环境卫生主管部门责令限期改正，给予警告，处</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万元以下罚款。</w:t>
            </w:r>
          </w:p>
          <w:p>
            <w:pPr>
              <w:snapToGrid w:val="0"/>
              <w:ind w:firstLine="480" w:firstLineChars="200"/>
              <w:rPr>
                <w:rStyle w:val="8"/>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pPr>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4"/>
                <w:szCs w:val="24"/>
              </w:rPr>
            </w:pPr>
            <w:r>
              <w:rPr>
                <w:rFonts w:hint="eastAsia" w:ascii="方正仿宋_GBK" w:hAnsi="方正仿宋_GBK" w:eastAsia="方正仿宋_GBK" w:cs="方正仿宋_GBK"/>
                <w:b/>
                <w:snapToGrid w:val="0"/>
                <w:color w:val="000000"/>
                <w:kern w:val="0"/>
                <w:sz w:val="22"/>
                <w:szCs w:val="22"/>
              </w:rPr>
              <w:t>《城市生活垃圾管理办法》第三十八条　</w:t>
            </w:r>
            <w:r>
              <w:rPr>
                <w:rStyle w:val="9"/>
                <w:rFonts w:hint="eastAsia" w:ascii="方正仿宋_GBK" w:hAnsi="方正仿宋_GBK" w:eastAsia="方正仿宋_GBK" w:cs="方正仿宋_GBK"/>
                <w:snapToGrid w:val="0"/>
              </w:rPr>
              <w:t>单位和个人未按规定缴纳城市生活垃圾处理费的，由直辖市、市、县人民政府建设（环境卫生）主管部门责令限期改正，逾期不改正的，对单位可处以应交城市生活垃圾处理费三倍以下且不超过</w:t>
            </w:r>
            <w:r>
              <w:rPr>
                <w:rStyle w:val="10"/>
                <w:rFonts w:hint="eastAsia" w:ascii="方正仿宋_GBK" w:hAnsi="方正仿宋_GBK" w:eastAsia="方正仿宋_GBK" w:cs="方正仿宋_GBK"/>
                <w:snapToGrid w:val="0"/>
              </w:rPr>
              <w:t>3</w:t>
            </w:r>
            <w:r>
              <w:rPr>
                <w:rStyle w:val="9"/>
                <w:rFonts w:hint="eastAsia" w:ascii="方正仿宋_GBK" w:hAnsi="方正仿宋_GBK" w:eastAsia="方正仿宋_GBK" w:cs="方正仿宋_GBK"/>
                <w:snapToGrid w:val="0"/>
              </w:rPr>
              <w:t>万元的罚款，对个人可处以应交城市生活垃圾处理费三倍以下且不超过</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pPr>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22"/>
                <w:szCs w:val="22"/>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2"/>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《城市生活垃圾管理办法》第十六条　</w:t>
            </w:r>
            <w:r>
              <w:rPr>
                <w:rStyle w:val="9"/>
                <w:rFonts w:hint="eastAsia" w:ascii="方正仿宋_GBK" w:hAnsi="方正仿宋_GBK" w:eastAsia="方正仿宋_GBK" w:cs="方正仿宋_GBK"/>
                <w:snapToGrid w:val="0"/>
              </w:rPr>
              <w:t>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snapToGrid w:val="0"/>
              <w:ind w:firstLine="442" w:firstLineChars="200"/>
              <w:rPr>
                <w:rStyle w:val="8"/>
                <w:rFonts w:ascii="方正仿宋_GBK" w:hAnsi="方正仿宋_GBK" w:eastAsia="方正仿宋_GBK" w:cs="方正仿宋_GBK"/>
                <w:sz w:val="24"/>
                <w:szCs w:val="24"/>
              </w:rPr>
            </w:pPr>
            <w:r>
              <w:rPr>
                <w:rFonts w:hint="eastAsia" w:ascii="方正仿宋_GBK" w:hAnsi="方正仿宋_GBK" w:eastAsia="方正仿宋_GBK" w:cs="方正仿宋_GBK"/>
                <w:b/>
                <w:snapToGrid w:val="0"/>
                <w:color w:val="000000"/>
                <w:kern w:val="0"/>
                <w:sz w:val="22"/>
                <w:szCs w:val="22"/>
              </w:rPr>
              <w:t>第四十二条</w:t>
            </w:r>
            <w:r>
              <w:rPr>
                <w:rStyle w:val="9"/>
                <w:rFonts w:hint="eastAsia" w:ascii="方正仿宋_GBK" w:hAnsi="方正仿宋_GBK" w:eastAsia="方正仿宋_GBK" w:cs="方正仿宋_GBK"/>
                <w:snapToGrid w:val="0"/>
              </w:rPr>
              <w:t>　违反本办法第十六条规定，随意倾倒、抛洒、堆放城市生活垃圾的，由直辖市、市、县人民政府建设（环境卫生）主管部门责令停止违法行为，限期改正，对单位处以</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万元以下的罚款。个人有以上行为的，处以</w:t>
            </w:r>
            <w:r>
              <w:rPr>
                <w:rStyle w:val="10"/>
                <w:rFonts w:hint="eastAsia" w:ascii="方正仿宋_GBK" w:hAnsi="方正仿宋_GBK" w:eastAsia="方正仿宋_GBK" w:cs="方正仿宋_GBK"/>
                <w:snapToGrid w:val="0"/>
              </w:rPr>
              <w:t>200</w:t>
            </w:r>
            <w:r>
              <w:rPr>
                <w:rStyle w:val="9"/>
                <w:rFonts w:hint="eastAsia" w:ascii="方正仿宋_GBK" w:hAnsi="方正仿宋_GBK" w:eastAsia="方正仿宋_GBK" w:cs="方正仿宋_GBK"/>
                <w:snapToGrid w:val="0"/>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18"/>
                <w:szCs w:val="18"/>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300" w:lineRule="exact"/>
              <w:ind w:firstLine="361" w:firstLineChars="200"/>
              <w:textAlignment w:val="center"/>
              <w:rPr>
                <w:rStyle w:val="9"/>
                <w:rFonts w:ascii="方正仿宋_GBK" w:hAnsi="方正仿宋_GBK" w:eastAsia="方正仿宋_GBK" w:cs="方正仿宋_GBK"/>
                <w:snapToGrid w:val="0"/>
                <w:sz w:val="18"/>
                <w:szCs w:val="18"/>
              </w:rPr>
            </w:pPr>
            <w:r>
              <w:rPr>
                <w:rFonts w:hint="eastAsia" w:ascii="方正仿宋_GBK" w:hAnsi="方正仿宋_GBK" w:eastAsia="方正仿宋_GBK" w:cs="方正仿宋_GBK"/>
                <w:b/>
                <w:snapToGrid w:val="0"/>
                <w:color w:val="000000"/>
                <w:kern w:val="0"/>
                <w:sz w:val="18"/>
                <w:szCs w:val="18"/>
              </w:rPr>
              <w:t>1.《城市绿化条例》第二十六条　</w:t>
            </w:r>
            <w:r>
              <w:rPr>
                <w:rStyle w:val="9"/>
                <w:rFonts w:hint="eastAsia" w:ascii="方正仿宋_GBK" w:hAnsi="方正仿宋_GBK" w:eastAsia="方正仿宋_GBK" w:cs="方正仿宋_GBK"/>
                <w:snapToGrid w:val="0"/>
                <w:sz w:val="18"/>
                <w:szCs w:val="18"/>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widowControl/>
              <w:adjustRightInd w:val="0"/>
              <w:snapToGrid w:val="0"/>
              <w:spacing w:line="300" w:lineRule="exact"/>
              <w:ind w:firstLine="361" w:firstLineChars="200"/>
              <w:textAlignment w:val="center"/>
              <w:rPr>
                <w:rStyle w:val="9"/>
                <w:rFonts w:ascii="方正仿宋_GBK" w:hAnsi="方正仿宋_GBK" w:eastAsia="方正仿宋_GBK" w:cs="方正仿宋_GBK"/>
                <w:snapToGrid w:val="0"/>
                <w:sz w:val="18"/>
                <w:szCs w:val="18"/>
              </w:rPr>
            </w:pPr>
            <w:r>
              <w:rPr>
                <w:rStyle w:val="11"/>
                <w:rFonts w:hint="eastAsia" w:ascii="方正仿宋_GBK" w:hAnsi="方正仿宋_GBK" w:eastAsia="方正仿宋_GBK" w:cs="方正仿宋_GBK"/>
                <w:snapToGrid w:val="0"/>
                <w:sz w:val="18"/>
                <w:szCs w:val="18"/>
              </w:rPr>
              <w:t>2.</w:t>
            </w:r>
            <w:r>
              <w:rPr>
                <w:rFonts w:hint="eastAsia" w:ascii="方正仿宋_GBK" w:hAnsi="方正仿宋_GBK" w:eastAsia="方正仿宋_GBK" w:cs="方正仿宋_GBK"/>
                <w:b/>
                <w:snapToGrid w:val="0"/>
                <w:color w:val="000000"/>
                <w:kern w:val="0"/>
                <w:sz w:val="18"/>
                <w:szCs w:val="18"/>
              </w:rPr>
              <w:t>《四川省城市园林绿化条例》第四十条</w:t>
            </w:r>
            <w:r>
              <w:rPr>
                <w:rStyle w:val="9"/>
                <w:rFonts w:hint="eastAsia" w:ascii="方正仿宋_GBK" w:hAnsi="方正仿宋_GBK" w:eastAsia="方正仿宋_GBK" w:cs="方正仿宋_GBK"/>
                <w:snapToGrid w:val="0"/>
                <w:sz w:val="18"/>
                <w:szCs w:val="18"/>
              </w:rPr>
              <w:t>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snapToGrid w:val="0"/>
              <w:ind w:firstLine="361" w:firstLineChars="200"/>
              <w:rPr>
                <w:rStyle w:val="8"/>
                <w:rFonts w:ascii="方正仿宋_GBK" w:hAnsi="方正仿宋_GBK" w:eastAsia="方正仿宋_GBK" w:cs="方正仿宋_GBK"/>
                <w:sz w:val="18"/>
                <w:szCs w:val="18"/>
              </w:rPr>
            </w:pPr>
            <w:r>
              <w:rPr>
                <w:rFonts w:hint="eastAsia" w:ascii="方正仿宋_GBK" w:hAnsi="方正仿宋_GBK" w:eastAsia="方正仿宋_GBK" w:cs="方正仿宋_GBK"/>
                <w:b/>
                <w:snapToGrid w:val="0"/>
                <w:color w:val="000000"/>
                <w:kern w:val="0"/>
                <w:sz w:val="18"/>
                <w:szCs w:val="18"/>
              </w:rPr>
              <w:t>第四十二条</w:t>
            </w:r>
            <w:r>
              <w:rPr>
                <w:rStyle w:val="9"/>
                <w:rFonts w:hint="eastAsia" w:ascii="方正仿宋_GBK" w:hAnsi="方正仿宋_GBK" w:eastAsia="方正仿宋_GBK" w:cs="方正仿宋_GBK"/>
                <w:snapToGrid w:val="0"/>
                <w:sz w:val="18"/>
                <w:szCs w:val="18"/>
              </w:rPr>
              <w:t>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sz w:val="24"/>
                <w:szCs w:val="24"/>
              </w:rPr>
            </w:pPr>
            <w:r>
              <w:rPr>
                <w:rFonts w:hint="eastAsia" w:ascii="方正仿宋_GBK" w:hAnsi="方正仿宋_GBK" w:eastAsia="方正仿宋_GBK" w:cs="方正仿宋_GBK"/>
                <w:snapToGrid w:val="0"/>
                <w:color w:val="000000"/>
                <w:kern w:val="0"/>
                <w:sz w:val="18"/>
                <w:szCs w:val="18"/>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Times New Roman" w:hAnsi="Times New Roman" w:cs="Times New Roman"/>
                <w:snapToGrid w:val="0"/>
                <w:sz w:val="18"/>
                <w:szCs w:val="18"/>
              </w:rPr>
            </w:pPr>
            <w:r>
              <w:rPr>
                <w:rFonts w:ascii="Times New Roman" w:hAnsi="Times New Roman" w:eastAsia="方正仿宋简体"/>
                <w:b/>
                <w:snapToGrid w:val="0"/>
                <w:color w:val="000000"/>
                <w:kern w:val="0"/>
                <w:sz w:val="18"/>
                <w:szCs w:val="18"/>
              </w:rPr>
              <w:t>《四川省城乡环境综合治理条例》第四十五条</w:t>
            </w:r>
            <w:r>
              <w:rPr>
                <w:rStyle w:val="9"/>
                <w:rFonts w:ascii="Times New Roman" w:hAnsi="Times New Roman" w:cs="Times New Roman"/>
                <w:snapToGrid w:val="0"/>
                <w:sz w:val="18"/>
                <w:szCs w:val="18"/>
              </w:rPr>
              <w:t>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snapToGrid w:val="0"/>
              <w:ind w:firstLine="361" w:firstLineChars="200"/>
              <w:rPr>
                <w:rStyle w:val="8"/>
                <w:rFonts w:ascii="方正仿宋_GBK" w:hAnsi="方正仿宋_GBK" w:eastAsia="方正仿宋_GBK" w:cs="方正仿宋_GBK"/>
                <w:sz w:val="18"/>
                <w:szCs w:val="18"/>
              </w:rPr>
            </w:pPr>
            <w:r>
              <w:rPr>
                <w:rFonts w:ascii="Times New Roman" w:hAnsi="Times New Roman" w:eastAsia="方正仿宋简体"/>
                <w:b/>
                <w:snapToGrid w:val="0"/>
                <w:color w:val="000000"/>
                <w:kern w:val="0"/>
                <w:sz w:val="18"/>
                <w:szCs w:val="18"/>
              </w:rPr>
              <w:t>第七十一条　</w:t>
            </w:r>
            <w:r>
              <w:rPr>
                <w:rStyle w:val="9"/>
                <w:rFonts w:ascii="Times New Roman" w:hAnsi="Times New Roman" w:cs="Times New Roman"/>
                <w:snapToGrid w:val="0"/>
                <w:sz w:val="18"/>
                <w:szCs w:val="18"/>
              </w:rPr>
              <w:t>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综合行政执法</w:t>
            </w:r>
            <w:r>
              <w:rPr>
                <w:rFonts w:ascii="Times New Roman" w:hAnsi="Times New Roman" w:eastAsia="方正仿宋_GBK"/>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11"/>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《四川省城乡环境综合治理条例》第二十条第一款</w:t>
            </w:r>
            <w:r>
              <w:rPr>
                <w:rStyle w:val="9"/>
                <w:rFonts w:hint="eastAsia" w:ascii="方正仿宋_GBK" w:hAnsi="方正仿宋_GBK" w:eastAsia="方正仿宋_GBK" w:cs="方正仿宋_GBK"/>
                <w:snapToGrid w:val="0"/>
              </w:rPr>
              <w:t>　城镇临街建（构）筑物立面应当保持整洁、完好，其造型、色调和风格应当与周围环境景观相协调。屋顶、阳台、平台、外走廊及窗外不得堆放、吊挂影响市容市貌的物品；各类附属设施应当规范设置。</w:t>
            </w:r>
          </w:p>
          <w:p>
            <w:pPr>
              <w:snapToGrid w:val="0"/>
              <w:ind w:firstLine="442" w:firstLineChars="200"/>
              <w:rPr>
                <w:rStyle w:val="8"/>
                <w:rFonts w:ascii="方正仿宋_GBK" w:hAnsi="方正仿宋_GBK" w:eastAsia="方正仿宋_GBK" w:cs="方正仿宋_GBK"/>
              </w:rPr>
            </w:pPr>
            <w:r>
              <w:rPr>
                <w:rFonts w:hint="eastAsia" w:ascii="方正仿宋_GBK" w:hAnsi="方正仿宋_GBK" w:eastAsia="方正仿宋_GBK" w:cs="方正仿宋_GBK"/>
                <w:b/>
                <w:snapToGrid w:val="0"/>
                <w:color w:val="000000"/>
                <w:kern w:val="0"/>
                <w:sz w:val="22"/>
                <w:szCs w:val="22"/>
              </w:rPr>
              <w:t>第六十五条第一项</w:t>
            </w:r>
            <w:r>
              <w:rPr>
                <w:rStyle w:val="9"/>
                <w:rFonts w:hint="eastAsia" w:ascii="方正仿宋_GBK" w:hAnsi="方正仿宋_GBK" w:eastAsia="方正仿宋_GBK" w:cs="方正仿宋_GBK"/>
                <w:snapToGrid w:val="0"/>
              </w:rPr>
              <w:t>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综合行政执法</w:t>
            </w:r>
            <w:r>
              <w:rPr>
                <w:rFonts w:ascii="Times New Roman" w:hAnsi="Times New Roman" w:eastAsia="方正仿宋_GBK"/>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3"/>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《四川省城乡环境综合治理条例》第三十六条第二款</w:t>
            </w:r>
            <w:r>
              <w:rPr>
                <w:rStyle w:val="9"/>
                <w:rFonts w:hint="eastAsia" w:ascii="方正仿宋_GBK" w:hAnsi="方正仿宋_GBK" w:eastAsia="方正仿宋_GBK" w:cs="方正仿宋_GBK"/>
                <w:snapToGrid w:val="0"/>
              </w:rPr>
              <w:t>　禁止在城镇住宅区内饲养家禽家畜。城镇居民经批准饲养宠物和信鸽的，不得影响环境卫生和周围居民正常生活。携带宠物出户，应当携带清洁用具，及时清除宠物排泄物，维护公共环境卫生。</w:t>
            </w:r>
          </w:p>
          <w:p>
            <w:pPr>
              <w:snapToGrid w:val="0"/>
              <w:ind w:firstLine="442" w:firstLineChars="200"/>
              <w:rPr>
                <w:rStyle w:val="8"/>
                <w:rFonts w:ascii="方正仿宋_GBK" w:hAnsi="方正仿宋_GBK" w:eastAsia="方正仿宋_GBK" w:cs="方正仿宋_GBK"/>
              </w:rPr>
            </w:pPr>
            <w:r>
              <w:rPr>
                <w:rFonts w:hint="eastAsia" w:ascii="方正仿宋_GBK" w:hAnsi="方正仿宋_GBK" w:eastAsia="方正仿宋_GBK" w:cs="方正仿宋_GBK"/>
                <w:b/>
                <w:snapToGrid w:val="0"/>
                <w:color w:val="000000"/>
                <w:kern w:val="0"/>
                <w:sz w:val="22"/>
                <w:szCs w:val="22"/>
              </w:rPr>
              <w:t>第六十五条第三项　</w:t>
            </w:r>
            <w:r>
              <w:rPr>
                <w:rStyle w:val="9"/>
                <w:rFonts w:hint="eastAsia" w:ascii="方正仿宋_GBK" w:hAnsi="方正仿宋_GBK" w:eastAsia="方正仿宋_GBK" w:cs="方正仿宋_GBK"/>
                <w:snapToGrid w:val="0"/>
              </w:rPr>
              <w:t>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r>
              <w:rPr>
                <w:rFonts w:hint="eastAsia" w:ascii="方正仿宋_GBK" w:hAnsi="方正仿宋_GBK" w:eastAsia="方正仿宋_GBK" w:cs="方正仿宋_GBK"/>
                <w:snapToGrid w:val="0"/>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综合行政执法</w:t>
            </w:r>
            <w:r>
              <w:rPr>
                <w:rFonts w:ascii="Times New Roman" w:hAnsi="Times New Roman" w:eastAsia="方正仿宋_GBK"/>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《四川省城市供水条例》第四十四条第三款</w:t>
            </w:r>
            <w:r>
              <w:rPr>
                <w:rStyle w:val="9"/>
                <w:rFonts w:hint="eastAsia" w:ascii="方正仿宋_GBK" w:hAnsi="方正仿宋_GBK" w:eastAsia="方正仿宋_GBK" w:cs="方正仿宋_GBK"/>
                <w:snapToGrid w:val="0"/>
              </w:rPr>
              <w:t>　公共消火栓实行专管专用制度，除训练演练、灭火救援用水外，任何单位和个人不得擅自动用。</w:t>
            </w:r>
          </w:p>
          <w:p>
            <w:pPr>
              <w:snapToGrid w:val="0"/>
              <w:ind w:firstLine="442" w:firstLineChars="200"/>
              <w:rPr>
                <w:rStyle w:val="8"/>
                <w:rFonts w:ascii="方正仿宋_GBK" w:hAnsi="方正仿宋_GBK" w:eastAsia="方正仿宋_GBK" w:cs="方正仿宋_GBK"/>
              </w:rPr>
            </w:pPr>
            <w:r>
              <w:rPr>
                <w:rFonts w:hint="eastAsia" w:ascii="方正仿宋_GBK" w:hAnsi="方正仿宋_GBK" w:eastAsia="方正仿宋_GBK" w:cs="方正仿宋_GBK"/>
                <w:b/>
                <w:snapToGrid w:val="0"/>
                <w:color w:val="000000"/>
                <w:kern w:val="0"/>
                <w:sz w:val="22"/>
                <w:szCs w:val="22"/>
              </w:rPr>
              <w:t>第五十七条第六项</w:t>
            </w:r>
            <w:r>
              <w:rPr>
                <w:rStyle w:val="9"/>
                <w:rFonts w:hint="eastAsia" w:ascii="方正仿宋_GBK" w:hAnsi="方正仿宋_GBK" w:eastAsia="方正仿宋_GBK" w:cs="方正仿宋_GBK"/>
                <w:snapToGrid w:val="0"/>
              </w:rPr>
              <w:t>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0" w:firstLineChars="200"/>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《城市绿线管理办法》第十七条</w:t>
            </w:r>
            <w:r>
              <w:rPr>
                <w:rStyle w:val="9"/>
                <w:rFonts w:hint="eastAsia" w:ascii="方正仿宋_GBK" w:hAnsi="方正仿宋_GBK" w:eastAsia="方正仿宋_GBK" w:cs="方正仿宋_GBK"/>
                <w:snapToGrid w:val="0"/>
              </w:rPr>
              <w:t>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3"/>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《四川省城乡环境综合治理条例》第二十七条第一款　</w:t>
            </w:r>
            <w:r>
              <w:rPr>
                <w:rStyle w:val="9"/>
                <w:rFonts w:hint="eastAsia" w:ascii="方正仿宋_GBK" w:hAnsi="方正仿宋_GBK" w:eastAsia="方正仿宋_GBK" w:cs="方正仿宋_GBK"/>
                <w:snapToGrid w:val="0"/>
              </w:rPr>
              <w:t>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snapToGrid w:val="0"/>
              <w:ind w:firstLine="442" w:firstLineChars="200"/>
              <w:rPr>
                <w:rStyle w:val="8"/>
                <w:rFonts w:ascii="方正仿宋_GBK" w:hAnsi="方正仿宋_GBK" w:eastAsia="方正仿宋_GBK" w:cs="方正仿宋_GBK"/>
              </w:rPr>
            </w:pPr>
            <w:r>
              <w:rPr>
                <w:rFonts w:hint="eastAsia" w:ascii="方正仿宋_GBK" w:hAnsi="方正仿宋_GBK" w:eastAsia="方正仿宋_GBK" w:cs="方正仿宋_GBK"/>
                <w:b/>
                <w:snapToGrid w:val="0"/>
                <w:color w:val="000000"/>
                <w:kern w:val="0"/>
                <w:sz w:val="22"/>
                <w:szCs w:val="22"/>
              </w:rPr>
              <w:t>第六十八条</w:t>
            </w:r>
            <w:r>
              <w:rPr>
                <w:rStyle w:val="9"/>
                <w:rFonts w:hint="eastAsia" w:ascii="方正仿宋_GBK" w:hAnsi="方正仿宋_GBK" w:eastAsia="方正仿宋_GBK" w:cs="方正仿宋_GBK"/>
                <w:snapToGrid w:val="0"/>
              </w:rPr>
              <w:t>　违反本条例第二十七条第一款施工现场容貌管理规定的，责令限期改正，处二万元以上十万元以下罚款；拒不改正的，责令停工整治。</w:t>
            </w:r>
            <w:r>
              <w:rPr>
                <w:rFonts w:hint="eastAsia" w:ascii="方正仿宋_GBK" w:hAnsi="方正仿宋_GBK" w:eastAsia="方正仿宋_GBK" w:cs="方正仿宋_GBK"/>
                <w:snapToGrid w:val="0"/>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sz w:val="24"/>
                <w:szCs w:val="24"/>
              </w:rPr>
              <w:t>应急管理和生态环境</w:t>
            </w:r>
            <w:r>
              <w:rPr>
                <w:rFonts w:ascii="Times New Roman" w:hAnsi="Times New Roman" w:eastAsia="方正仿宋_GBK"/>
                <w:color w:val="000000"/>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02"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0"/>
                <w:szCs w:val="20"/>
              </w:rPr>
              <w:t>《四川省城乡环境综合治理条例》第六十四条</w:t>
            </w:r>
            <w:r>
              <w:rPr>
                <w:rStyle w:val="9"/>
                <w:rFonts w:hint="eastAsia" w:ascii="方正仿宋_GBK" w:hAnsi="方正仿宋_GBK" w:eastAsia="方正仿宋_GBK" w:cs="方正仿宋_GBK"/>
                <w:snapToGrid w:val="0"/>
                <w:sz w:val="20"/>
                <w:szCs w:val="20"/>
              </w:rPr>
              <w:t>　城乡环境综合治理责任人不履行义务，责任区的容貌秩序、环境卫生未达到有关标准的，予以警告，责令改正</w:t>
            </w:r>
            <w:r>
              <w:rPr>
                <w:rStyle w:val="12"/>
                <w:rFonts w:hint="eastAsia" w:ascii="方正仿宋_GBK" w:hAnsi="方正仿宋_GBK" w:eastAsia="方正仿宋_GBK" w:cs="方正仿宋_GBK"/>
                <w:snapToGrid w:val="0"/>
                <w:sz w:val="20"/>
                <w:szCs w:val="20"/>
              </w:rPr>
              <w:t>；</w:t>
            </w:r>
            <w:r>
              <w:rPr>
                <w:rStyle w:val="9"/>
                <w:rFonts w:hint="eastAsia" w:ascii="方正仿宋_GBK" w:hAnsi="方正仿宋_GBK" w:eastAsia="方正仿宋_GBK" w:cs="方正仿宋_GBK"/>
                <w:snapToGrid w:val="0"/>
                <w:sz w:val="20"/>
                <w:szCs w:val="20"/>
              </w:rPr>
              <w:t>拒不改正的，可以对个人处一百元以上二百元以下罚款，对单位处五百元以上二千元以下罚款，或者建议其上级主管部门对直接责任人及其主管人员给予处分。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2"/>
                <w:szCs w:val="22"/>
              </w:rPr>
              <w:t>《中华人民共和国大气污染防治法》第一百一十六条</w:t>
            </w:r>
            <w:r>
              <w:rPr>
                <w:rStyle w:val="9"/>
                <w:rFonts w:hint="eastAsia" w:ascii="方正仿宋_GBK" w:hAnsi="方正仿宋_GBK" w:eastAsia="方正仿宋_GBK" w:cs="方正仿宋_GBK"/>
                <w:snapToGrid w:val="0"/>
              </w:rPr>
              <w:t>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《四川省城乡环境综合治理条例》第二十六条第二款</w:t>
            </w:r>
            <w:r>
              <w:rPr>
                <w:rStyle w:val="9"/>
                <w:rFonts w:hint="eastAsia" w:ascii="方正仿宋_GBK" w:hAnsi="方正仿宋_GBK" w:eastAsia="方正仿宋_GBK" w:cs="方正仿宋_GBK"/>
                <w:snapToGrid w:val="0"/>
              </w:rPr>
              <w:t>　城乡道路上行驶的各种机动车辆应当保持车容整洁。运载垃圾、泥土、砂石、水泥、混凝土、灰浆、煤炭等易飘洒物和液体的机动车辆，应当采取外层覆盖或者密闭措施，不得泄漏遗撒和违规倾倒。</w:t>
            </w:r>
          </w:p>
          <w:p>
            <w:pPr>
              <w:snapToGrid w:val="0"/>
              <w:ind w:firstLine="442"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2"/>
                <w:szCs w:val="22"/>
              </w:rPr>
              <w:t>第六十七条</w:t>
            </w:r>
            <w:r>
              <w:rPr>
                <w:rStyle w:val="9"/>
                <w:rFonts w:hint="eastAsia" w:ascii="方正仿宋_GBK" w:hAnsi="方正仿宋_GBK" w:eastAsia="方正仿宋_GBK" w:cs="方正仿宋_GBK"/>
                <w:snapToGrid w:val="0"/>
              </w:rPr>
              <w:t>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对排放油烟的餐饮服务业经营者未安装油烟净化设施、不正常使用油烟净化设施或者未采取其他油烟净化措施，超过排放标准排放油烟的行政处罚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2"/>
                <w:szCs w:val="22"/>
              </w:rPr>
              <w:t>《中华人民共和国大气污染防治法》第一百一十八条第一款</w:t>
            </w:r>
            <w:r>
              <w:rPr>
                <w:rStyle w:val="9"/>
                <w:rFonts w:hint="eastAsia" w:ascii="方正仿宋_GBK" w:hAnsi="方正仿宋_GBK" w:eastAsia="方正仿宋_GBK" w:cs="方正仿宋_GBK"/>
                <w:snapToGrid w:val="0"/>
              </w:rPr>
              <w:t>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29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对在当地人民政府禁止的时段和区域内露天烧烤食品或者为露天烧烤食品提供场地的行政处罚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2"/>
                <w:szCs w:val="22"/>
              </w:rPr>
              <w:t>《中华人民共和国大气污染防治法》第一百一十八条第三款</w:t>
            </w:r>
            <w:r>
              <w:rPr>
                <w:rStyle w:val="9"/>
                <w:rFonts w:hint="eastAsia" w:ascii="方正仿宋_GBK" w:hAnsi="方正仿宋_GBK" w:eastAsia="方正仿宋_GBK" w:cs="方正仿宋_GBK"/>
                <w:snapToGrid w:val="0"/>
              </w:rPr>
              <w:t>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对露天焚烧秸秆、落叶等产生烟尘污染的物质的行政处罚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2"/>
                <w:szCs w:val="22"/>
              </w:rPr>
              <w:t>《中华人民共和国大气污染防治法》第一百一十九条第一款</w:t>
            </w:r>
            <w:r>
              <w:rPr>
                <w:rStyle w:val="9"/>
                <w:rFonts w:hint="eastAsia" w:ascii="方正仿宋_GBK" w:hAnsi="方正仿宋_GBK" w:eastAsia="方正仿宋_GBK" w:cs="方正仿宋_GBK"/>
                <w:snapToGrid w:val="0"/>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对在人口集中地区和其他依法需要特殊保护的区域内，焚烧沥青、油毡、橡胶、塑料、皮革、垃圾以及其他产生有毒有害烟尘和恶臭气体的物质的行政处罚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2"/>
                <w:szCs w:val="22"/>
              </w:rPr>
              <w:t>《中华人民共和国大气污染防治法》第一百一十九条第二款</w:t>
            </w:r>
            <w:r>
              <w:rPr>
                <w:rStyle w:val="9"/>
                <w:rFonts w:hint="eastAsia" w:ascii="方正仿宋_GBK" w:hAnsi="方正仿宋_GBK" w:eastAsia="方正仿宋_GBK" w:cs="方正仿宋_GBK"/>
                <w:snapToGrid w:val="0"/>
              </w:rPr>
              <w:t>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对擅自进行涉路施工等行为的行政处罚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1.《中华人民共和国公路法》第四十四条第一款</w:t>
            </w:r>
            <w:r>
              <w:rPr>
                <w:rStyle w:val="9"/>
                <w:rFonts w:hint="eastAsia" w:ascii="方正仿宋_GBK" w:hAnsi="方正仿宋_GBK" w:eastAsia="方正仿宋_GBK" w:cs="方正仿宋_GBK"/>
                <w:snapToGrid w:val="0"/>
              </w:rPr>
              <w:t>　任何单位和个人不得擅自占用、挖掘公路。</w:t>
            </w:r>
          </w:p>
          <w:p>
            <w:pPr>
              <w:widowControl/>
              <w:snapToGrid w:val="0"/>
              <w:spacing w:line="0" w:lineRule="atLeast"/>
              <w:ind w:firstLine="442" w:firstLineChars="200"/>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b/>
                <w:snapToGrid w:val="0"/>
                <w:color w:val="000000"/>
                <w:kern w:val="0"/>
                <w:sz w:val="22"/>
                <w:szCs w:val="22"/>
              </w:rPr>
              <w:t>第四十五条</w:t>
            </w:r>
            <w:r>
              <w:rPr>
                <w:rStyle w:val="9"/>
                <w:rFonts w:hint="eastAsia" w:ascii="方正仿宋_GBK" w:hAnsi="方正仿宋_GBK" w:eastAsia="方正仿宋_GBK" w:cs="方正仿宋_GBK"/>
                <w:snapToGrid w:val="0"/>
              </w:rPr>
              <w:t>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第五十五条</w:t>
            </w:r>
            <w:r>
              <w:rPr>
                <w:rStyle w:val="9"/>
                <w:rFonts w:hint="eastAsia" w:ascii="方正仿宋_GBK" w:hAnsi="方正仿宋_GBK" w:eastAsia="方正仿宋_GBK" w:cs="方正仿宋_GBK"/>
                <w:snapToGrid w:val="0"/>
              </w:rPr>
              <w:t>　在公路上增设平面交叉道口，必须按照国家有关规定经过批准，并按照国家规定的技术标准建设。</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第七十六条第一项、第二项</w:t>
            </w:r>
            <w:r>
              <w:rPr>
                <w:rStyle w:val="9"/>
                <w:rFonts w:hint="eastAsia" w:ascii="方正仿宋_GBK" w:hAnsi="方正仿宋_GBK" w:eastAsia="方正仿宋_GBK" w:cs="方正仿宋_GBK"/>
                <w:snapToGrid w:val="0"/>
              </w:rPr>
              <w:t>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widowControl/>
              <w:snapToGrid w:val="0"/>
              <w:spacing w:line="0" w:lineRule="atLeast"/>
              <w:ind w:firstLine="442" w:firstLineChars="200"/>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b/>
                <w:snapToGrid w:val="0"/>
                <w:color w:val="000000"/>
                <w:kern w:val="0"/>
                <w:sz w:val="22"/>
                <w:szCs w:val="22"/>
              </w:rPr>
              <w:t>第八十条</w:t>
            </w:r>
            <w:r>
              <w:rPr>
                <w:rStyle w:val="9"/>
                <w:rFonts w:hint="eastAsia" w:ascii="方正仿宋_GBK" w:hAnsi="方正仿宋_GBK" w:eastAsia="方正仿宋_GBK" w:cs="方正仿宋_GBK"/>
                <w:snapToGrid w:val="0"/>
              </w:rPr>
              <w:t>　违反本法第五十五条规定，未经批准在公路上增设平面交叉道口的，由交通主管部门责令恢复原状，处五万元以下的罚款。</w:t>
            </w: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　</w:t>
            </w:r>
            <w:r>
              <w:rPr>
                <w:rFonts w:hint="eastAsia" w:ascii="方正仿宋_GBK" w:hAnsi="方正仿宋_GBK" w:eastAsia="方正仿宋_GBK" w:cs="方正仿宋_GBK"/>
                <w:snapToGrid w:val="0"/>
                <w:color w:val="000000"/>
                <w:kern w:val="0"/>
                <w:sz w:val="22"/>
                <w:szCs w:val="22"/>
              </w:rPr>
              <w:t>　　</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2.《公路安全保护条例》第二十七条</w:t>
            </w:r>
            <w:r>
              <w:rPr>
                <w:rStyle w:val="9"/>
                <w:rFonts w:hint="eastAsia" w:ascii="方正仿宋_GBK" w:hAnsi="方正仿宋_GBK" w:eastAsia="方正仿宋_GBK" w:cs="方正仿宋_GBK"/>
                <w:snapToGrid w:val="0"/>
              </w:rPr>
              <w:t>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第六十二条</w:t>
            </w:r>
            <w:r>
              <w:rPr>
                <w:rStyle w:val="9"/>
                <w:rFonts w:hint="eastAsia" w:ascii="方正仿宋_GBK" w:hAnsi="方正仿宋_GBK" w:eastAsia="方正仿宋_GBK" w:cs="方正仿宋_GBK"/>
                <w:snapToGrid w:val="0"/>
              </w:rPr>
              <w:t>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3.《四川省农村公路条例》第二十八条</w:t>
            </w:r>
            <w:r>
              <w:rPr>
                <w:rStyle w:val="9"/>
                <w:rFonts w:hint="eastAsia" w:ascii="方正仿宋_GBK" w:hAnsi="方正仿宋_GBK" w:eastAsia="方正仿宋_GBK" w:cs="方正仿宋_GBK"/>
                <w:snapToGrid w:val="0"/>
              </w:rPr>
              <w:t>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snapToGrid w:val="0"/>
              <w:ind w:firstLine="442"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2"/>
                <w:szCs w:val="22"/>
              </w:rPr>
              <w:t>第五十五条</w:t>
            </w:r>
            <w:r>
              <w:rPr>
                <w:rStyle w:val="9"/>
                <w:rFonts w:hint="eastAsia" w:ascii="方正仿宋_GBK" w:hAnsi="方正仿宋_GBK" w:eastAsia="方正仿宋_GBK" w:cs="方正仿宋_GBK"/>
                <w:snapToGrid w:val="0"/>
              </w:rPr>
              <w:t>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pStyle w:val="2"/>
      </w:pPr>
    </w:p>
    <w:p/>
    <w:p>
      <w:pPr>
        <w:pStyle w:val="2"/>
      </w:pPr>
    </w:p>
    <w:p/>
    <w:p>
      <w:pPr>
        <w:pStyle w:val="2"/>
      </w:pPr>
    </w:p>
    <w:p/>
    <w:p>
      <w:pPr>
        <w:pStyle w:val="2"/>
      </w:pPr>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对从事挖砂、爆破及其他危及公路、公路桥梁等安全的作业行为的行政处罚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361" w:firstLineChars="200"/>
              <w:textAlignment w:val="center"/>
              <w:rPr>
                <w:rStyle w:val="9"/>
                <w:rFonts w:ascii="Times New Roman" w:hAnsi="Times New Roman" w:cs="Times New Roman"/>
                <w:snapToGrid w:val="0"/>
                <w:sz w:val="18"/>
                <w:szCs w:val="18"/>
              </w:rPr>
            </w:pPr>
            <w:r>
              <w:rPr>
                <w:rFonts w:ascii="Times New Roman" w:hAnsi="Times New Roman" w:eastAsia="方正仿宋简体"/>
                <w:b/>
                <w:snapToGrid w:val="0"/>
                <w:color w:val="000000"/>
                <w:kern w:val="0"/>
                <w:sz w:val="18"/>
                <w:szCs w:val="18"/>
              </w:rPr>
              <w:t>1.《中华人民共和国公路法》第四十七条</w:t>
            </w:r>
            <w:r>
              <w:rPr>
                <w:rStyle w:val="9"/>
                <w:rFonts w:ascii="Times New Roman" w:hAnsi="Times New Roman" w:cs="Times New Roman"/>
                <w:snapToGrid w:val="0"/>
                <w:sz w:val="18"/>
                <w:szCs w:val="18"/>
              </w:rPr>
              <w:t>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widowControl/>
              <w:adjustRightInd w:val="0"/>
              <w:snapToGrid w:val="0"/>
              <w:spacing w:line="0" w:lineRule="atLeast"/>
              <w:ind w:firstLine="361" w:firstLineChars="200"/>
              <w:textAlignment w:val="center"/>
              <w:rPr>
                <w:rFonts w:ascii="Times New Roman" w:hAnsi="Times New Roman" w:eastAsia="方正仿宋简体"/>
                <w:b/>
                <w:snapToGrid w:val="0"/>
                <w:color w:val="000000"/>
                <w:kern w:val="0"/>
                <w:sz w:val="18"/>
                <w:szCs w:val="18"/>
              </w:rPr>
            </w:pPr>
            <w:r>
              <w:rPr>
                <w:rFonts w:ascii="Times New Roman" w:hAnsi="Times New Roman" w:eastAsia="方正仿宋简体"/>
                <w:b/>
                <w:snapToGrid w:val="0"/>
                <w:color w:val="000000"/>
                <w:kern w:val="0"/>
                <w:sz w:val="18"/>
                <w:szCs w:val="18"/>
              </w:rPr>
              <w:t>第七十六条第三项</w:t>
            </w:r>
            <w:r>
              <w:rPr>
                <w:rStyle w:val="9"/>
                <w:rFonts w:ascii="Times New Roman" w:hAnsi="Times New Roman" w:cs="Times New Roman"/>
                <w:snapToGrid w:val="0"/>
                <w:sz w:val="18"/>
                <w:szCs w:val="18"/>
              </w:rPr>
              <w:t>　有下列违法行为之一的，由交通主管部门责令停止违法行为，可以处三万元以下的罚款：（三）违反本法第四十七条规定，从事危及公路安全的作业的。</w:t>
            </w:r>
            <w:r>
              <w:rPr>
                <w:rFonts w:ascii="Times New Roman" w:hAnsi="Times New Roman" w:eastAsia="方正仿宋简体"/>
                <w:b/>
                <w:snapToGrid w:val="0"/>
                <w:color w:val="000000"/>
                <w:kern w:val="0"/>
                <w:sz w:val="18"/>
                <w:szCs w:val="18"/>
              </w:rPr>
              <w:t>　</w:t>
            </w:r>
          </w:p>
          <w:p>
            <w:pPr>
              <w:widowControl/>
              <w:adjustRightInd w:val="0"/>
              <w:snapToGrid w:val="0"/>
              <w:spacing w:line="0" w:lineRule="atLeast"/>
              <w:ind w:firstLine="361" w:firstLineChars="200"/>
              <w:textAlignment w:val="center"/>
              <w:rPr>
                <w:rStyle w:val="9"/>
                <w:rFonts w:ascii="Times New Roman" w:hAnsi="Times New Roman" w:cs="Times New Roman"/>
                <w:snapToGrid w:val="0"/>
                <w:sz w:val="18"/>
                <w:szCs w:val="18"/>
              </w:rPr>
            </w:pPr>
            <w:r>
              <w:rPr>
                <w:rFonts w:ascii="Times New Roman" w:hAnsi="Times New Roman" w:eastAsia="方正仿宋简体"/>
                <w:b/>
                <w:snapToGrid w:val="0"/>
                <w:color w:val="000000"/>
                <w:kern w:val="0"/>
                <w:sz w:val="18"/>
                <w:szCs w:val="18"/>
              </w:rPr>
              <w:t>2.《四川省农村公路条例》第三十一条</w:t>
            </w:r>
            <w:r>
              <w:rPr>
                <w:rStyle w:val="9"/>
                <w:rFonts w:ascii="Times New Roman" w:hAnsi="Times New Roman" w:cs="Times New Roman"/>
                <w:snapToGrid w:val="0"/>
                <w:sz w:val="18"/>
                <w:szCs w:val="18"/>
              </w:rPr>
              <w:t>　禁止在村道的公路用地外缘起向外五十米、大中型桥梁和渡口周围二百米、隧道上方和洞口外一百米范围内从事采矿、爆破等危及村道安全的活动。</w:t>
            </w:r>
          </w:p>
          <w:p>
            <w:pPr>
              <w:widowControl/>
              <w:adjustRightInd w:val="0"/>
              <w:snapToGrid w:val="0"/>
              <w:spacing w:line="0" w:lineRule="atLeast"/>
              <w:ind w:firstLine="361" w:firstLineChars="200"/>
              <w:textAlignment w:val="center"/>
              <w:rPr>
                <w:rFonts w:ascii="Times New Roman" w:hAnsi="Times New Roman" w:eastAsia="方正仿宋简体"/>
                <w:b/>
                <w:snapToGrid w:val="0"/>
                <w:color w:val="000000"/>
                <w:kern w:val="0"/>
                <w:sz w:val="18"/>
                <w:szCs w:val="18"/>
              </w:rPr>
            </w:pPr>
            <w:r>
              <w:rPr>
                <w:rFonts w:ascii="Times New Roman" w:hAnsi="Times New Roman" w:eastAsia="方正仿宋简体"/>
                <w:b/>
                <w:snapToGrid w:val="0"/>
                <w:color w:val="000000"/>
                <w:kern w:val="0"/>
                <w:sz w:val="18"/>
                <w:szCs w:val="18"/>
              </w:rPr>
              <w:t>第五十七条　</w:t>
            </w:r>
            <w:r>
              <w:rPr>
                <w:rStyle w:val="9"/>
                <w:rFonts w:ascii="Times New Roman" w:hAnsi="Times New Roman" w:cs="Times New Roman"/>
                <w:snapToGrid w:val="0"/>
                <w:sz w:val="18"/>
                <w:szCs w:val="18"/>
              </w:rPr>
              <w:t>违反本条例第三十一条规定，实施危及村道安全活动的，由县（市、区）人民政府交通运输主管部门公路管理机构责令改正，可以处二千元以上一万元以下的罚款；情节严重的，可以处一万元以上三万元以下的罚款。</w:t>
            </w:r>
            <w:r>
              <w:rPr>
                <w:rFonts w:ascii="Times New Roman" w:hAnsi="Times New Roman" w:eastAsia="方正仿宋简体"/>
                <w:b/>
                <w:snapToGrid w:val="0"/>
                <w:color w:val="000000"/>
                <w:kern w:val="0"/>
                <w:sz w:val="18"/>
                <w:szCs w:val="18"/>
              </w:rPr>
              <w:t>　</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对利用公路桥梁进行牵拉、吊装等危及公路桥梁安全的施工作业行为的行政处罚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《公路安全保护条例》第二十二条第一款</w:t>
            </w:r>
            <w:r>
              <w:rPr>
                <w:rStyle w:val="9"/>
                <w:rFonts w:hint="eastAsia" w:ascii="方正仿宋_GBK" w:hAnsi="方正仿宋_GBK" w:eastAsia="方正仿宋_GBK" w:cs="方正仿宋_GBK"/>
                <w:snapToGrid w:val="0"/>
              </w:rPr>
              <w:t>　禁止利用公路桥梁进行牵拉、吊装等危及公路桥梁安全的施工作业。</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第五十九条</w:t>
            </w:r>
            <w:r>
              <w:rPr>
                <w:rStyle w:val="9"/>
                <w:rFonts w:hint="eastAsia" w:ascii="方正仿宋_GBK" w:hAnsi="方正仿宋_GBK" w:eastAsia="方正仿宋_GBK" w:cs="方正仿宋_GBK"/>
                <w:snapToGrid w:val="0"/>
              </w:rPr>
              <w:t>　违反本条例第二十二条规定的，由公路管理机构责令改正，处</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10</w:t>
            </w:r>
            <w:r>
              <w:rPr>
                <w:rStyle w:val="9"/>
                <w:rFonts w:hint="eastAsia" w:ascii="方正仿宋_GBK" w:hAnsi="方正仿宋_GBK" w:eastAsia="方正仿宋_GBK" w:cs="方正仿宋_GBK"/>
                <w:snapToGrid w:val="0"/>
              </w:rPr>
              <w:t>万元以下的罚款。</w:t>
            </w:r>
            <w:r>
              <w:rPr>
                <w:rFonts w:hint="eastAsia" w:ascii="方正仿宋_GBK" w:hAnsi="方正仿宋_GBK" w:eastAsia="方正仿宋_GBK" w:cs="方正仿宋_GBK"/>
                <w:b/>
                <w:snapToGrid w:val="0"/>
                <w:color w:val="000000"/>
                <w:kern w:val="0"/>
                <w:sz w:val="18"/>
                <w:szCs w:val="18"/>
              </w:rPr>
              <w:t>　</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8"/>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rPr>
          <w:b/>
          <w:bCs/>
        </w:rPr>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对铁轮车、履带车和其他可能损害路面的机具擅自在公路上行驶行为的行政处罚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《中华人民共和国公路法》第四十八条</w:t>
            </w:r>
            <w:r>
              <w:rPr>
                <w:rStyle w:val="9"/>
                <w:rFonts w:ascii="Times New Roman" w:hAnsi="Times New Roman" w:cs="Times New Roman"/>
                <w:snapToGrid w:val="0"/>
              </w:rPr>
              <w:t>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b/>
                <w:snapToGrid w:val="0"/>
                <w:color w:val="000000"/>
                <w:kern w:val="0"/>
                <w:sz w:val="22"/>
                <w:szCs w:val="22"/>
              </w:rPr>
              <w:t>第七十六条第四项</w:t>
            </w:r>
            <w:r>
              <w:rPr>
                <w:rStyle w:val="9"/>
                <w:rFonts w:ascii="Times New Roman" w:hAnsi="Times New Roman" w:cs="Times New Roman"/>
                <w:snapToGrid w:val="0"/>
              </w:rPr>
              <w:t>　有下列违法行为之一的，由交通主管部门责令停止违法行为，可以处三万元以下的罚款：（四）违反本法第四十八条规定，铁轮车、履带车和其他可能损害路面的机具擅自在公路上行驶的。</w:t>
            </w:r>
            <w:r>
              <w:rPr>
                <w:rFonts w:hint="eastAsia" w:ascii="方正仿宋_GBK" w:hAnsi="方正仿宋_GBK" w:eastAsia="方正仿宋_GBK" w:cs="方正仿宋_GBK"/>
                <w:b/>
                <w:snapToGrid w:val="0"/>
                <w:color w:val="000000"/>
                <w:kern w:val="0"/>
                <w:sz w:val="18"/>
                <w:szCs w:val="18"/>
              </w:rPr>
              <w:t>　</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对损坏、擅自移动、涂改、遮挡公路附属设施或者利用公路附属设施架设管道、悬挂物品或者损坏、擅自挪动建筑控制区的标桩、界桩等可能危及公路安全等行为的行政处罚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1.《中华人民共和国公路法》第五十二条</w:t>
            </w:r>
            <w:r>
              <w:rPr>
                <w:rStyle w:val="9"/>
                <w:rFonts w:ascii="Times New Roman" w:hAnsi="Times New Roman" w:cs="Times New Roman"/>
                <w:snapToGrid w:val="0"/>
              </w:rPr>
              <w:t>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widowControl/>
              <w:snapToGrid w:val="0"/>
              <w:spacing w:line="0" w:lineRule="atLeast"/>
              <w:ind w:firstLine="442" w:firstLineChars="200"/>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第五十六条</w:t>
            </w:r>
            <w:r>
              <w:rPr>
                <w:rStyle w:val="9"/>
                <w:rFonts w:ascii="Times New Roman" w:hAnsi="Times New Roman" w:cs="Times New Roman"/>
                <w:snapToGrid w:val="0"/>
              </w:rPr>
              <w:t>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widowControl/>
              <w:snapToGrid w:val="0"/>
              <w:spacing w:line="0" w:lineRule="atLeast"/>
              <w:ind w:firstLine="442" w:firstLineChars="200"/>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第七十六条第六项</w:t>
            </w:r>
            <w:r>
              <w:rPr>
                <w:rStyle w:val="9"/>
                <w:rFonts w:ascii="Times New Roman" w:hAnsi="Times New Roman" w:cs="Times New Roman"/>
                <w:snapToGrid w:val="0"/>
              </w:rPr>
              <w:t>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widowControl/>
              <w:snapToGrid w:val="0"/>
              <w:spacing w:line="0" w:lineRule="atLeast"/>
              <w:ind w:firstLine="442" w:firstLineChars="200"/>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2.《公路安全保护条例》第二十五条</w:t>
            </w:r>
            <w:r>
              <w:rPr>
                <w:rStyle w:val="9"/>
                <w:rFonts w:ascii="Times New Roman" w:hAnsi="Times New Roman" w:cs="Times New Roman"/>
                <w:snapToGrid w:val="0"/>
              </w:rPr>
              <w:t>　禁止损坏、擅自移动、涂改、遮挡公路附属设施或者利用公路附属设施架设管道、悬挂物品。</w:t>
            </w:r>
          </w:p>
          <w:p>
            <w:pPr>
              <w:snapToGrid w:val="0"/>
              <w:ind w:firstLine="442" w:firstLineChars="200"/>
              <w:rPr>
                <w:rStyle w:val="8"/>
                <w:rFonts w:ascii="方正仿宋_GBK" w:hAnsi="方正仿宋_GBK" w:eastAsia="方正仿宋_GBK" w:cs="方正仿宋_GBK"/>
                <w:sz w:val="20"/>
                <w:szCs w:val="20"/>
              </w:rPr>
            </w:pPr>
            <w:r>
              <w:rPr>
                <w:rFonts w:ascii="Times New Roman" w:hAnsi="Times New Roman" w:eastAsia="方正仿宋简体"/>
                <w:b/>
                <w:snapToGrid w:val="0"/>
                <w:color w:val="000000"/>
                <w:kern w:val="0"/>
                <w:sz w:val="22"/>
                <w:szCs w:val="22"/>
              </w:rPr>
              <w:t>第六十条第一项</w:t>
            </w:r>
            <w:r>
              <w:rPr>
                <w:rStyle w:val="9"/>
                <w:rFonts w:ascii="Times New Roman" w:hAnsi="Times New Roman" w:cs="Times New Roman"/>
                <w:snapToGrid w:val="0"/>
              </w:rPr>
              <w:t>　违反本条例的规定，有下列行为之一的，由公路管理机构责令改正，可以处</w:t>
            </w:r>
            <w:r>
              <w:rPr>
                <w:rStyle w:val="10"/>
                <w:rFonts w:eastAsia="方正仿宋简体"/>
                <w:snapToGrid w:val="0"/>
              </w:rPr>
              <w:t>3</w:t>
            </w:r>
            <w:r>
              <w:rPr>
                <w:rStyle w:val="9"/>
                <w:rFonts w:ascii="Times New Roman" w:hAnsi="Times New Roman" w:cs="Times New Roman"/>
                <w:snapToGrid w:val="0"/>
              </w:rPr>
              <w:t>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对造成公路路面损坏、污染或者影响公路畅通行为的行政处罚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1.《中华人民共和国公路法》第四十六条</w:t>
            </w:r>
            <w:r>
              <w:rPr>
                <w:rStyle w:val="9"/>
                <w:rFonts w:hint="eastAsia" w:ascii="方正仿宋_GBK" w:hAnsi="方正仿宋_GBK" w:eastAsia="方正仿宋_GBK" w:cs="方正仿宋_GBK"/>
                <w:snapToGrid w:val="0"/>
              </w:rPr>
              <w:t>　任何单位和个人不得在公路上及公路用地范围内摆摊设点、堆放物品、倾倒垃圾、设置障碍、挖沟引水、利用公路边沟排放污物或者进行其他损坏、污染公路和影响公路畅通的活动。</w:t>
            </w:r>
          </w:p>
          <w:p>
            <w:pPr>
              <w:widowControl/>
              <w:adjustRightInd w:val="0"/>
              <w:snapToGrid w:val="0"/>
              <w:spacing w:line="0" w:lineRule="atLeast"/>
              <w:ind w:firstLine="442" w:firstLineChars="200"/>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b/>
                <w:snapToGrid w:val="0"/>
                <w:color w:val="000000"/>
                <w:kern w:val="0"/>
                <w:sz w:val="22"/>
                <w:szCs w:val="22"/>
              </w:rPr>
              <w:t>第七十七条</w:t>
            </w:r>
            <w:r>
              <w:rPr>
                <w:rStyle w:val="9"/>
                <w:rFonts w:hint="eastAsia" w:ascii="方正仿宋_GBK" w:hAnsi="方正仿宋_GBK" w:eastAsia="方正仿宋_GBK" w:cs="方正仿宋_GBK"/>
                <w:snapToGrid w:val="0"/>
              </w:rPr>
              <w:t>　违反本法第四十六条的规定，造成公路路面损坏、污染或者影响公路畅通的，或者违反本法第五十一条规定，将公路作为试车场地的，由交通主管部门责令停止违法行为，可以处五千元以下的罚款。</w:t>
            </w:r>
            <w:r>
              <w:rPr>
                <w:rFonts w:hint="eastAsia" w:ascii="方正仿宋_GBK" w:hAnsi="方正仿宋_GBK" w:eastAsia="方正仿宋_GBK" w:cs="方正仿宋_GBK"/>
                <w:snapToGrid w:val="0"/>
                <w:color w:val="000000"/>
                <w:kern w:val="0"/>
                <w:sz w:val="22"/>
                <w:szCs w:val="22"/>
              </w:rPr>
              <w:t>　</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Style w:val="11"/>
                <w:rFonts w:hint="eastAsia" w:ascii="方正仿宋_GBK" w:hAnsi="方正仿宋_GBK" w:eastAsia="方正仿宋_GBK" w:cs="方正仿宋_GBK"/>
                <w:snapToGrid w:val="0"/>
              </w:rPr>
              <w:t>2.</w:t>
            </w:r>
            <w:r>
              <w:rPr>
                <w:rFonts w:hint="eastAsia" w:ascii="方正仿宋_GBK" w:hAnsi="方正仿宋_GBK" w:eastAsia="方正仿宋_GBK" w:cs="方正仿宋_GBK"/>
                <w:b/>
                <w:snapToGrid w:val="0"/>
                <w:color w:val="000000"/>
                <w:kern w:val="0"/>
                <w:sz w:val="22"/>
                <w:szCs w:val="22"/>
              </w:rPr>
              <w:t>《公路安全保护条例》第六十九条</w:t>
            </w:r>
            <w:r>
              <w:rPr>
                <w:rStyle w:val="9"/>
                <w:rFonts w:hint="eastAsia" w:ascii="方正仿宋_GBK" w:hAnsi="方正仿宋_GBK" w:eastAsia="方正仿宋_GBK" w:cs="方正仿宋_GBK"/>
                <w:snapToGrid w:val="0"/>
              </w:rPr>
              <w:t>　车辆装载物触地拖行、掉落、遗洒或者飘散，造成公路路面损坏、污染的，由公路管理机构责令改正，处</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元以下的罚款。</w:t>
            </w:r>
            <w:r>
              <w:rPr>
                <w:rFonts w:hint="eastAsia" w:ascii="方正仿宋_GBK" w:hAnsi="方正仿宋_GBK" w:eastAsia="方正仿宋_GBK" w:cs="方正仿宋_GBK"/>
                <w:b/>
                <w:snapToGrid w:val="0"/>
                <w:color w:val="000000"/>
                <w:kern w:val="0"/>
                <w:sz w:val="18"/>
                <w:szCs w:val="18"/>
              </w:rPr>
              <w:t>　</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对在公路建筑控制区内修建、扩建建筑物、地面构筑物或擅自埋设管道、电缆等设施行为的行政处罚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b/>
                <w:snapToGrid w:val="0"/>
                <w:color w:val="000000"/>
                <w:kern w:val="0"/>
                <w:sz w:val="22"/>
                <w:szCs w:val="22"/>
              </w:rPr>
              <w:t>1.《中华人民共和国公路法》第五十六条</w:t>
            </w:r>
            <w:r>
              <w:rPr>
                <w:rStyle w:val="9"/>
                <w:rFonts w:hint="eastAsia" w:ascii="方正仿宋_GBK" w:hAnsi="方正仿宋_GBK" w:eastAsia="方正仿宋_GBK" w:cs="方正仿宋_GBK"/>
                <w:snapToGrid w:val="0"/>
              </w:rPr>
              <w:t>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r>
              <w:rPr>
                <w:rFonts w:hint="eastAsia" w:ascii="方正仿宋_GBK" w:hAnsi="方正仿宋_GBK" w:eastAsia="方正仿宋_GBK" w:cs="方正仿宋_GBK"/>
                <w:snapToGrid w:val="0"/>
                <w:color w:val="000000"/>
                <w:kern w:val="0"/>
                <w:sz w:val="22"/>
                <w:szCs w:val="22"/>
              </w:rPr>
              <w:t>　</w:t>
            </w:r>
          </w:p>
          <w:p>
            <w:pPr>
              <w:widowControl/>
              <w:adjustRightInd w:val="0"/>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第八十一条</w:t>
            </w:r>
            <w:r>
              <w:rPr>
                <w:rStyle w:val="9"/>
                <w:rFonts w:hint="eastAsia" w:ascii="方正仿宋_GBK" w:hAnsi="方正仿宋_GBK" w:eastAsia="方正仿宋_GBK" w:cs="方正仿宋_GBK"/>
                <w:snapToGrid w:val="0"/>
              </w:rPr>
              <w:t>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adjustRightInd w:val="0"/>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2.《公路安全保护条例》第五十六条第一项</w:t>
            </w:r>
            <w:r>
              <w:rPr>
                <w:rStyle w:val="9"/>
                <w:rFonts w:hint="eastAsia" w:ascii="方正仿宋_GBK" w:hAnsi="方正仿宋_GBK" w:eastAsia="方正仿宋_GBK" w:cs="方正仿宋_GBK"/>
                <w:snapToGrid w:val="0"/>
              </w:rPr>
              <w:t>　违反本条例的规定，有下列情形之一的，由公路管理机构责令限期拆除，可以处</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万元以下的罚款。逾期不拆除的，由公路管理机构拆除，有关费用由违法行为人承担：（一）在公路建筑控制区内修建、扩建建筑物、地面构筑物或者未经许可埋设管道、电缆等设施的。</w:t>
            </w:r>
          </w:p>
          <w:p>
            <w:pPr>
              <w:widowControl/>
              <w:adjustRightInd w:val="0"/>
              <w:snapToGrid w:val="0"/>
              <w:spacing w:line="0" w:lineRule="atLeast"/>
              <w:ind w:firstLine="442" w:firstLineChars="200"/>
              <w:textAlignment w:val="center"/>
              <w:rPr>
                <w:rStyle w:val="10"/>
                <w:rFonts w:ascii="方正仿宋_GBK" w:hAnsi="方正仿宋_GBK" w:eastAsia="方正仿宋_GBK" w:cs="方正仿宋_GBK"/>
                <w:snapToGrid w:val="0"/>
              </w:rPr>
            </w:pPr>
            <w:r>
              <w:rPr>
                <w:rStyle w:val="11"/>
                <w:rFonts w:hint="eastAsia" w:ascii="方正仿宋_GBK" w:hAnsi="方正仿宋_GBK" w:eastAsia="方正仿宋_GBK" w:cs="方正仿宋_GBK"/>
                <w:snapToGrid w:val="0"/>
              </w:rPr>
              <w:t>3.</w:t>
            </w:r>
            <w:r>
              <w:rPr>
                <w:rFonts w:hint="eastAsia" w:ascii="方正仿宋_GBK" w:hAnsi="方正仿宋_GBK" w:eastAsia="方正仿宋_GBK" w:cs="方正仿宋_GBK"/>
                <w:b/>
                <w:snapToGrid w:val="0"/>
                <w:color w:val="000000"/>
                <w:kern w:val="0"/>
                <w:sz w:val="22"/>
                <w:szCs w:val="22"/>
              </w:rPr>
              <w:t>《四川省农村公路条例》第二十七条</w:t>
            </w:r>
            <w:r>
              <w:rPr>
                <w:rStyle w:val="9"/>
                <w:rFonts w:hint="eastAsia" w:ascii="方正仿宋_GBK" w:hAnsi="方正仿宋_GBK" w:eastAsia="方正仿宋_GBK" w:cs="方正仿宋_GBK"/>
                <w:snapToGrid w:val="0"/>
              </w:rPr>
              <w:t>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第五十四条</w:t>
            </w:r>
            <w:r>
              <w:rPr>
                <w:rStyle w:val="9"/>
                <w:rFonts w:hint="eastAsia" w:ascii="方正仿宋_GBK" w:hAnsi="方正仿宋_GBK" w:eastAsia="方正仿宋_GBK" w:cs="方正仿宋_GBK"/>
                <w:snapToGrid w:val="0"/>
              </w:rPr>
              <w:t>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r>
              <w:rPr>
                <w:rFonts w:hint="eastAsia" w:ascii="方正仿宋_GBK" w:hAnsi="方正仿宋_GBK" w:eastAsia="方正仿宋_GBK" w:cs="方正仿宋_GBK"/>
                <w:b/>
                <w:snapToGrid w:val="0"/>
                <w:color w:val="000000"/>
                <w:kern w:val="0"/>
                <w:sz w:val="18"/>
                <w:szCs w:val="18"/>
              </w:rPr>
              <w:t>　</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39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b/>
                <w:snapToGrid w:val="0"/>
                <w:color w:val="000000"/>
                <w:kern w:val="0"/>
                <w:sz w:val="22"/>
                <w:szCs w:val="22"/>
              </w:rPr>
              <w:t>《中华人民共和国水土保持法》第四十八条</w:t>
            </w:r>
            <w:r>
              <w:rPr>
                <w:rStyle w:val="9"/>
                <w:rFonts w:ascii="Times New Roman" w:hAnsi="Times New Roman" w:cs="Times New Roman"/>
                <w:snapToGrid w:val="0"/>
              </w:rPr>
              <w:t>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ascii="Times New Roman" w:hAnsi="Times New Roman" w:eastAsia="方正仿宋简体"/>
                <w:snapToGrid w:val="0"/>
                <w:color w:val="000000"/>
                <w:kern w:val="0"/>
                <w:sz w:val="22"/>
                <w:szCs w:val="22"/>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2" w:firstLineChars="200"/>
              <w:rPr>
                <w:rStyle w:val="8"/>
                <w:rFonts w:ascii="方正仿宋_GBK" w:hAnsi="方正仿宋_GBK" w:eastAsia="方正仿宋_GBK" w:cs="方正仿宋_GBK"/>
              </w:rPr>
            </w:pPr>
            <w:r>
              <w:rPr>
                <w:rFonts w:hint="eastAsia" w:ascii="方正仿宋_GBK" w:hAnsi="方正仿宋_GBK" w:eastAsia="方正仿宋_GBK" w:cs="方正仿宋_GBK"/>
                <w:b/>
                <w:snapToGrid w:val="0"/>
                <w:color w:val="000000"/>
                <w:kern w:val="0"/>
                <w:sz w:val="22"/>
                <w:szCs w:val="22"/>
              </w:rPr>
              <w:t>《中华人民共和国水土保持法》第四十九条</w:t>
            </w:r>
            <w:r>
              <w:rPr>
                <w:rStyle w:val="9"/>
                <w:rFonts w:hint="eastAsia" w:ascii="方正仿宋_GBK" w:hAnsi="方正仿宋_GBK" w:eastAsia="方正仿宋_GBK" w:cs="方正仿宋_GBK"/>
                <w:snapToGrid w:val="0"/>
              </w:rPr>
              <w:t>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b/>
                <w:snapToGrid w:val="0"/>
                <w:color w:val="000000"/>
                <w:kern w:val="0"/>
                <w:sz w:val="22"/>
                <w:szCs w:val="22"/>
              </w:rPr>
              <w:t>《中华人民共和国水土保持法》第五十一条</w:t>
            </w:r>
            <w:r>
              <w:rPr>
                <w:rStyle w:val="9"/>
                <w:rFonts w:ascii="Times New Roman" w:hAnsi="Times New Roman" w:cs="Times New Roman"/>
                <w:snapToGrid w:val="0"/>
              </w:rPr>
              <w:t>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r>
              <w:rPr>
                <w:rFonts w:hint="eastAsia" w:ascii="方正仿宋_GBK" w:hAnsi="方正仿宋_GBK" w:eastAsia="方正仿宋_GBK" w:cs="方正仿宋_GBK"/>
                <w:b/>
                <w:snapToGrid w:val="0"/>
                <w:color w:val="000000"/>
                <w:kern w:val="0"/>
                <w:sz w:val="18"/>
                <w:szCs w:val="18"/>
              </w:rPr>
              <w:t>　</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《四川省〈中华人民共和国防洪法〉实施办法》第十条</w:t>
            </w:r>
            <w:r>
              <w:rPr>
                <w:rStyle w:val="9"/>
                <w:rFonts w:ascii="Times New Roman" w:hAnsi="Times New Roman" w:cs="Times New Roman"/>
                <w:snapToGrid w:val="0"/>
              </w:rPr>
              <w:t>　任何单位和个人不得破坏、侵占、毁损防洪排涝设施，不得向行洪道倾倒固体废弃物。</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b/>
                <w:snapToGrid w:val="0"/>
                <w:color w:val="000000"/>
                <w:kern w:val="0"/>
                <w:sz w:val="22"/>
                <w:szCs w:val="22"/>
              </w:rPr>
              <w:t>第二十九条</w:t>
            </w:r>
            <w:r>
              <w:rPr>
                <w:rStyle w:val="9"/>
                <w:rFonts w:ascii="Times New Roman" w:hAnsi="Times New Roman" w:cs="Times New Roman"/>
                <w:snapToGrid w:val="0"/>
              </w:rPr>
              <w:t>　违反本实施办法第十条规定的，由县级以上地方人民政府水行政主管部门责令停止违法行为，恢复原状，赔偿损失，可并处</w:t>
            </w:r>
            <w:r>
              <w:rPr>
                <w:rStyle w:val="10"/>
                <w:rFonts w:eastAsia="方正仿宋简体"/>
                <w:snapToGrid w:val="0"/>
              </w:rPr>
              <w:t>1</w:t>
            </w:r>
            <w:r>
              <w:rPr>
                <w:rStyle w:val="9"/>
                <w:rFonts w:ascii="Times New Roman" w:hAnsi="Times New Roman" w:cs="Times New Roman"/>
                <w:snapToGrid w:val="0"/>
              </w:rPr>
              <w:t>万元以上</w:t>
            </w:r>
            <w:r>
              <w:rPr>
                <w:rStyle w:val="10"/>
                <w:rFonts w:eastAsia="方正仿宋简体"/>
                <w:snapToGrid w:val="0"/>
              </w:rPr>
              <w:t>5</w:t>
            </w:r>
            <w:r>
              <w:rPr>
                <w:rStyle w:val="9"/>
                <w:rFonts w:ascii="Times New Roman" w:hAnsi="Times New Roman" w:cs="Times New Roman"/>
                <w:snapToGrid w:val="0"/>
              </w:rPr>
              <w:t>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sz w:val="24"/>
                <w:szCs w:val="24"/>
              </w:rPr>
              <w:t>应急管理和生态环境</w:t>
            </w:r>
            <w:r>
              <w:rPr>
                <w:rFonts w:ascii="Times New Roman" w:hAnsi="Times New Roman" w:eastAsia="方正仿宋_GBK"/>
                <w:color w:val="000000"/>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Style w:val="9"/>
                <w:rFonts w:ascii="Times New Roman" w:hAnsi="Times New Roman" w:cs="Times New Roman"/>
                <w:snapToGrid w:val="0"/>
                <w:kern w:val="0"/>
              </w:rPr>
            </w:pPr>
            <w:r>
              <w:rPr>
                <w:rFonts w:ascii="Times New Roman" w:hAnsi="Times New Roman" w:eastAsia="方正仿宋简体"/>
                <w:b/>
                <w:snapToGrid w:val="0"/>
                <w:color w:val="000000"/>
                <w:kern w:val="0"/>
                <w:sz w:val="22"/>
                <w:szCs w:val="22"/>
              </w:rPr>
              <w:t>《四川省〈中华人民共和国水法〉实施办法》第十五条第二款</w:t>
            </w:r>
            <w:r>
              <w:rPr>
                <w:rStyle w:val="9"/>
                <w:rFonts w:ascii="Times New Roman" w:hAnsi="Times New Roman" w:cs="Times New Roman"/>
                <w:snapToGrid w:val="0"/>
              </w:rPr>
              <w:t>　供生活饮用水的重要水域，不得从事集约化养殖等危害饮用水水源水质的活动。</w:t>
            </w:r>
          </w:p>
          <w:p>
            <w:pPr>
              <w:snapToGrid w:val="0"/>
              <w:ind w:firstLine="442" w:firstLineChars="200"/>
              <w:rPr>
                <w:rStyle w:val="8"/>
                <w:rFonts w:ascii="方正仿宋_GBK" w:hAnsi="方正仿宋_GBK" w:eastAsia="方正仿宋_GBK" w:cs="方正仿宋_GBK"/>
                <w:sz w:val="20"/>
                <w:szCs w:val="20"/>
              </w:rPr>
            </w:pPr>
            <w:r>
              <w:rPr>
                <w:rFonts w:ascii="Times New Roman" w:hAnsi="Times New Roman" w:eastAsia="方正仿宋简体"/>
                <w:b/>
                <w:snapToGrid w:val="0"/>
                <w:color w:val="000000"/>
                <w:kern w:val="0"/>
                <w:sz w:val="22"/>
                <w:szCs w:val="22"/>
              </w:rPr>
              <w:t>第三十九条</w:t>
            </w:r>
            <w:r>
              <w:rPr>
                <w:rStyle w:val="9"/>
                <w:rFonts w:ascii="Times New Roman" w:hAnsi="Times New Roman" w:cs="Times New Roman"/>
                <w:snapToGrid w:val="0"/>
              </w:rPr>
              <w:t>　违反本办法第十五条第二款规定的，责令限期拆除、恢复原状；逾期不拆除、不恢复原状的，代为拆除、恢复原状，费用由违法单位或者个人承担，并处</w:t>
            </w:r>
            <w:r>
              <w:rPr>
                <w:rStyle w:val="10"/>
                <w:rFonts w:eastAsia="方正仿宋简体"/>
                <w:snapToGrid w:val="0"/>
              </w:rPr>
              <w:t>1</w:t>
            </w:r>
            <w:r>
              <w:rPr>
                <w:rStyle w:val="9"/>
                <w:rFonts w:ascii="Times New Roman" w:hAnsi="Times New Roman" w:cs="Times New Roman"/>
                <w:snapToGrid w:val="0"/>
              </w:rPr>
              <w:t>万元以上</w:t>
            </w:r>
            <w:r>
              <w:rPr>
                <w:rStyle w:val="10"/>
                <w:rFonts w:eastAsia="方正仿宋简体"/>
                <w:snapToGrid w:val="0"/>
              </w:rPr>
              <w:t>5</w:t>
            </w:r>
            <w:r>
              <w:rPr>
                <w:rStyle w:val="9"/>
                <w:rFonts w:ascii="Times New Roman" w:hAnsi="Times New Roman" w:cs="Times New Roman"/>
                <w:snapToGrid w:val="0"/>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color w:val="000000"/>
                <w:sz w:val="24"/>
                <w:szCs w:val="24"/>
              </w:rPr>
              <w:t>应急管理和生态环境</w:t>
            </w:r>
            <w:r>
              <w:rPr>
                <w:rFonts w:ascii="Times New Roman" w:hAnsi="Times New Roman" w:eastAsia="方正仿宋_GBK"/>
                <w:color w:val="000000"/>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《四川省水利工程管理条例》第二十三条</w:t>
            </w:r>
            <w:r>
              <w:rPr>
                <w:rStyle w:val="9"/>
                <w:rFonts w:hint="eastAsia" w:ascii="方正仿宋_GBK" w:hAnsi="方正仿宋_GBK" w:eastAsia="方正仿宋_GBK" w:cs="方正仿宋_GBK"/>
                <w:snapToGrid w:val="0"/>
              </w:rPr>
              <w:t>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22"/>
                <w:szCs w:val="22"/>
              </w:rPr>
            </w:pPr>
            <w:r>
              <w:rPr>
                <w:rFonts w:hint="eastAsia" w:ascii="方正仿宋_GBK" w:hAnsi="方正仿宋_GBK" w:eastAsia="方正仿宋_GBK" w:cs="方正仿宋_GBK"/>
                <w:b/>
                <w:snapToGrid w:val="0"/>
                <w:color w:val="000000"/>
                <w:kern w:val="0"/>
                <w:sz w:val="22"/>
                <w:szCs w:val="22"/>
              </w:rPr>
              <w:t>第四十九条</w:t>
            </w:r>
            <w:r>
              <w:rPr>
                <w:rStyle w:val="9"/>
                <w:rFonts w:hint="eastAsia" w:ascii="方正仿宋_GBK" w:hAnsi="方正仿宋_GBK" w:eastAsia="方正仿宋_GBK" w:cs="方正仿宋_GBK"/>
                <w:snapToGrid w:val="0"/>
              </w:rPr>
              <w:t>　违反本条例第二十三条、第二十四条规定的，由水行政主管部门责令停止施工，处一万元以上十万元以下的罚款，造成损失的依法赔偿。</w:t>
            </w:r>
          </w:p>
          <w:p>
            <w:pPr>
              <w:snapToGrid w:val="0"/>
              <w:ind w:firstLine="440" w:firstLineChars="200"/>
              <w:rPr>
                <w:rStyle w:val="8"/>
                <w:rFonts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b/>
                <w:bCs/>
                <w:snapToGrid w:val="0"/>
                <w:color w:val="000000"/>
                <w:kern w:val="0"/>
                <w:sz w:val="22"/>
                <w:szCs w:val="22"/>
              </w:rPr>
              <w:t>《四川省〈中华人民共和国水法〉实施办法》第二十条第二款</w:t>
            </w:r>
            <w:r>
              <w:rPr>
                <w:rFonts w:hint="eastAsia" w:ascii="方正仿宋_GBK" w:hAnsi="方正仿宋_GBK" w:eastAsia="方正仿宋_GBK" w:cs="方正仿宋_GBK"/>
                <w:snapToGrid w:val="0"/>
                <w:color w:val="000000"/>
                <w:kern w:val="0"/>
                <w:sz w:val="22"/>
                <w:szCs w:val="22"/>
              </w:rPr>
              <w:t>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widowControl/>
              <w:snapToGrid w:val="0"/>
              <w:spacing w:line="0" w:lineRule="atLeast"/>
              <w:ind w:firstLine="442" w:firstLineChars="200"/>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b/>
                <w:bCs/>
                <w:snapToGrid w:val="0"/>
                <w:color w:val="000000"/>
                <w:kern w:val="0"/>
                <w:sz w:val="22"/>
                <w:szCs w:val="22"/>
              </w:rPr>
              <w:t>第三款</w:t>
            </w:r>
            <w:r>
              <w:rPr>
                <w:rFonts w:hint="eastAsia" w:ascii="方正仿宋_GBK" w:hAnsi="方正仿宋_GBK" w:eastAsia="方正仿宋_GBK" w:cs="方正仿宋_GBK"/>
                <w:snapToGrid w:val="0"/>
                <w:color w:val="000000"/>
                <w:kern w:val="0"/>
                <w:sz w:val="22"/>
                <w:szCs w:val="22"/>
              </w:rPr>
              <w:t>　在水工程保护范围内，禁止从事影响水工程运行、危害水工程安全和防洪设施以及污染水源的爆破、打井、取土、采石（砂）、陡坡开垦、伐木、开矿、建筑等活动。</w:t>
            </w:r>
          </w:p>
          <w:p>
            <w:pPr>
              <w:snapToGrid w:val="0"/>
              <w:ind w:firstLine="442" w:firstLineChars="200"/>
              <w:rPr>
                <w:rStyle w:val="8"/>
                <w:rFonts w:ascii="方正仿宋_GBK" w:hAnsi="方正仿宋_GBK" w:eastAsia="方正仿宋_GBK" w:cs="方正仿宋_GBK"/>
              </w:rPr>
            </w:pPr>
            <w:r>
              <w:rPr>
                <w:rFonts w:hint="eastAsia" w:ascii="方正仿宋_GBK" w:hAnsi="方正仿宋_GBK" w:eastAsia="方正仿宋_GBK" w:cs="方正仿宋_GBK"/>
                <w:b/>
                <w:bCs/>
                <w:snapToGrid w:val="0"/>
                <w:color w:val="000000"/>
                <w:kern w:val="0"/>
                <w:sz w:val="22"/>
                <w:szCs w:val="22"/>
              </w:rPr>
              <w:t>第四十三条</w:t>
            </w:r>
            <w:r>
              <w:rPr>
                <w:rFonts w:hint="eastAsia" w:ascii="方正仿宋_GBK" w:hAnsi="方正仿宋_GBK" w:eastAsia="方正仿宋_GBK" w:cs="方正仿宋_GBK"/>
                <w:snapToGrid w:val="0"/>
                <w:color w:val="000000"/>
                <w:kern w:val="0"/>
                <w:sz w:val="22"/>
                <w:szCs w:val="22"/>
              </w:rPr>
              <w:t>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对供水水质未达到国家生活饮用水卫生标准的行政处罚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b/>
                <w:snapToGrid w:val="0"/>
                <w:color w:val="000000"/>
                <w:kern w:val="0"/>
                <w:sz w:val="22"/>
                <w:szCs w:val="22"/>
              </w:rPr>
            </w:pPr>
            <w:r>
              <w:rPr>
                <w:rFonts w:hint="eastAsia" w:ascii="方正仿宋_GBK" w:hAnsi="方正仿宋_GBK" w:eastAsia="方正仿宋_GBK" w:cs="方正仿宋_GBK"/>
                <w:b/>
                <w:snapToGrid w:val="0"/>
                <w:color w:val="000000"/>
                <w:kern w:val="0"/>
                <w:sz w:val="22"/>
                <w:szCs w:val="22"/>
              </w:rPr>
              <w:t>　　《四川省村镇供水条例》第十九条　</w:t>
            </w:r>
            <w:r>
              <w:rPr>
                <w:rFonts w:hint="eastAsia" w:ascii="方正仿宋_GBK" w:hAnsi="方正仿宋_GBK" w:eastAsia="方正仿宋_GBK" w:cs="方正仿宋_GBK"/>
                <w:bCs/>
                <w:snapToGrid w:val="0"/>
                <w:color w:val="000000"/>
                <w:kern w:val="0"/>
                <w:sz w:val="22"/>
                <w:szCs w:val="22"/>
              </w:rPr>
              <w:t>村镇供水水质应当符合国家生活饮用水卫生标准。供水单位应当对原水、出厂水、管网末梢水等定期进行水质检测，建立健全饮用水卫生管理档案。设计日供水量一千立方米以上的村镇集中供水工程，应当设立水质检验室，配备与供水规模和水质检验要求相适应的检验人员和仪器设备。</w:t>
            </w:r>
          </w:p>
          <w:p>
            <w:pPr>
              <w:snapToGrid w:val="0"/>
              <w:rPr>
                <w:rStyle w:val="8"/>
                <w:rFonts w:ascii="方正仿宋_GBK" w:hAnsi="方正仿宋_GBK" w:eastAsia="方正仿宋_GBK" w:cs="方正仿宋_GBK"/>
                <w:sz w:val="20"/>
                <w:szCs w:val="20"/>
              </w:rPr>
            </w:pPr>
            <w:r>
              <w:rPr>
                <w:rFonts w:hint="eastAsia" w:ascii="方正仿宋_GBK" w:hAnsi="方正仿宋_GBK" w:eastAsia="方正仿宋_GBK" w:cs="方正仿宋_GBK"/>
                <w:b/>
                <w:snapToGrid w:val="0"/>
                <w:color w:val="000000"/>
                <w:kern w:val="0"/>
                <w:sz w:val="22"/>
                <w:szCs w:val="22"/>
              </w:rPr>
              <w:t>　　第四十九条　</w:t>
            </w:r>
            <w:r>
              <w:rPr>
                <w:rFonts w:hint="eastAsia" w:ascii="方正仿宋_GBK" w:hAnsi="方正仿宋_GBK" w:eastAsia="方正仿宋_GBK" w:cs="方正仿宋_GBK"/>
                <w:bCs/>
                <w:snapToGrid w:val="0"/>
                <w:color w:val="000000"/>
                <w:kern w:val="0"/>
                <w:sz w:val="22"/>
                <w:szCs w:val="22"/>
              </w:rPr>
              <w:t>违反本条例第十九条规定，对原水、出厂水、管网末梢水未定期进行水质检测的，由县级以上地方人民政府水行政主管部门责令限期整改；供水水质未达到国家生活饮用水卫生标准的，由县级以上地方人民政府水行政主管部门责令限期整改，逾期不改或整改不合格的，对供水单位处以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《四川省村镇供水条例》第二十六条第二款</w:t>
            </w:r>
            <w:r>
              <w:rPr>
                <w:rStyle w:val="9"/>
                <w:rFonts w:ascii="Times New Roman" w:hAnsi="Times New Roman" w:cs="Times New Roman"/>
                <w:snapToGrid w:val="0"/>
              </w:rPr>
              <w:t>　供水工程保护控制范围内，不得修建筑物、构筑物，不得挖坑（沟）、取土、堆渣，严禁爆破、打桩、顶进作业等危害供水工程及设施安全的活动。</w:t>
            </w:r>
          </w:p>
          <w:p>
            <w:pPr>
              <w:widowControl/>
              <w:snapToGrid w:val="0"/>
              <w:spacing w:line="0" w:lineRule="atLeast"/>
              <w:textAlignment w:val="center"/>
              <w:rPr>
                <w:rFonts w:ascii="Times New Roman" w:hAnsi="Times New Roman" w:eastAsia="方正仿宋简体"/>
                <w:color w:val="00000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第三款</w:t>
            </w:r>
            <w:r>
              <w:rPr>
                <w:rStyle w:val="9"/>
                <w:rFonts w:ascii="Times New Roman" w:hAnsi="Times New Roman" w:cs="Times New Roman"/>
                <w:snapToGrid w:val="0"/>
              </w:rPr>
              <w:t>　净水构筑物、调节构筑物、泵站（加压站）保护范围内，不得设立生活区和修建畜禽饲养场、厕所、渗水坑、污水沟道，不得堆放垃圾、粪便等污染物，严禁排放有毒有害物质。</w:t>
            </w:r>
          </w:p>
          <w:p>
            <w:pPr>
              <w:widowControl/>
              <w:adjustRightInd w:val="0"/>
              <w:snapToGrid w:val="0"/>
              <w:spacing w:line="0" w:lineRule="atLeast"/>
              <w:ind w:firstLine="440" w:firstLineChars="200"/>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第五十条</w:t>
            </w:r>
            <w:r>
              <w:rPr>
                <w:rStyle w:val="9"/>
                <w:rFonts w:ascii="Times New Roman" w:hAnsi="Times New Roman" w:cs="Times New Roman"/>
                <w:snapToGrid w:val="0"/>
              </w:rPr>
              <w:t>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《四川省村镇供水条例》第二十八条</w:t>
            </w:r>
            <w:r>
              <w:rPr>
                <w:rStyle w:val="9"/>
                <w:rFonts w:hint="eastAsia" w:ascii="方正仿宋_GBK" w:hAnsi="方正仿宋_GBK" w:eastAsia="方正仿宋_GBK" w:cs="方正仿宋_GBK"/>
                <w:snapToGrid w:val="0"/>
              </w:rPr>
              <w:t>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第五十一条</w:t>
            </w:r>
            <w:r>
              <w:rPr>
                <w:rStyle w:val="9"/>
                <w:rFonts w:hint="eastAsia" w:ascii="方正仿宋_GBK" w:hAnsi="方正仿宋_GBK" w:eastAsia="方正仿宋_GBK" w:cs="方正仿宋_GBK"/>
                <w:snapToGrid w:val="0"/>
              </w:rPr>
              <w:t>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49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Times New Roman" w:hAnsi="Times New Roman" w:eastAsia="方正仿宋简体"/>
                <w:snapToGrid w:val="0"/>
                <w:color w:val="000000"/>
                <w:kern w:val="0"/>
                <w:sz w:val="22"/>
                <w:szCs w:val="22"/>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《四川省村镇供水条例》第二十九条</w:t>
            </w:r>
            <w:r>
              <w:rPr>
                <w:rStyle w:val="9"/>
                <w:rFonts w:ascii="Times New Roman" w:hAnsi="Times New Roman" w:cs="Times New Roman"/>
                <w:snapToGrid w:val="0"/>
              </w:rPr>
              <w:t>　未经供水单位同意，任何单位和个人不得在村镇公共供水管道上连接取水设施。禁止生产或者使用有毒有害物质的单位和个人将生产设施与村镇公共供水管道连接。</w:t>
            </w:r>
          </w:p>
          <w:p>
            <w:pPr>
              <w:snapToGrid w:val="0"/>
              <w:rPr>
                <w:rStyle w:val="8"/>
                <w:rFonts w:ascii="方正仿宋_GBK" w:hAnsi="方正仿宋_GBK" w:eastAsia="方正仿宋_GBK" w:cs="方正仿宋_GBK"/>
                <w:sz w:val="20"/>
                <w:szCs w:val="20"/>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第五十二条</w:t>
            </w:r>
            <w:r>
              <w:rPr>
                <w:rStyle w:val="9"/>
                <w:rFonts w:ascii="Times New Roman" w:hAnsi="Times New Roman" w:cs="Times New Roman"/>
                <w:snapToGrid w:val="0"/>
              </w:rPr>
              <w:t>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《四川省村镇供水条例》第二十九条</w:t>
            </w:r>
            <w:r>
              <w:rPr>
                <w:rStyle w:val="9"/>
                <w:rFonts w:ascii="Times New Roman" w:hAnsi="Times New Roman" w:cs="Times New Roman"/>
                <w:snapToGrid w:val="0"/>
              </w:rPr>
              <w:t>　未经供水单位同意，任何单位和个人不得在村镇公共供水管道上连接取水设施。禁止生产或者使用有毒有害物质的单位和个人将生产设施与村镇公共供水管道连接。</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第五十二条</w:t>
            </w:r>
            <w:r>
              <w:rPr>
                <w:rStyle w:val="9"/>
                <w:rFonts w:ascii="Times New Roman" w:hAnsi="Times New Roman" w:cs="Times New Roman"/>
                <w:snapToGrid w:val="0"/>
              </w:rPr>
              <w:t>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《四川省村镇供水条例》第三十四条</w:t>
            </w:r>
            <w:r>
              <w:rPr>
                <w:rStyle w:val="9"/>
                <w:rFonts w:ascii="Times New Roman" w:hAnsi="Times New Roman" w:cs="Times New Roman"/>
                <w:snapToGrid w:val="0"/>
              </w:rPr>
              <w:t>　已在营运的供水单位不得擅自停止营运。供水单位需退出营运的，应当提前三个月向县级水行政主管部门提出申请。供水单位退出营运的管理办法由省人民政府另行制定。</w:t>
            </w:r>
          </w:p>
          <w:p>
            <w:pPr>
              <w:snapToGrid w:val="0"/>
              <w:ind w:firstLine="442" w:firstLineChars="200"/>
              <w:rPr>
                <w:rStyle w:val="8"/>
                <w:rFonts w:ascii="方正仿宋_GBK" w:hAnsi="方正仿宋_GBK" w:eastAsia="方正仿宋_GBK" w:cs="方正仿宋_GBK"/>
                <w:sz w:val="20"/>
                <w:szCs w:val="20"/>
              </w:rPr>
            </w:pPr>
            <w:r>
              <w:rPr>
                <w:rFonts w:ascii="Times New Roman" w:hAnsi="Times New Roman" w:eastAsia="方正仿宋简体"/>
                <w:b/>
                <w:snapToGrid w:val="0"/>
                <w:color w:val="000000"/>
                <w:kern w:val="0"/>
                <w:sz w:val="22"/>
                <w:szCs w:val="22"/>
              </w:rPr>
              <w:t>第五十三条</w:t>
            </w:r>
            <w:r>
              <w:rPr>
                <w:rStyle w:val="9"/>
                <w:rFonts w:ascii="Times New Roman" w:hAnsi="Times New Roman" w:cs="Times New Roman"/>
                <w:snapToGrid w:val="0"/>
              </w:rPr>
              <w:t>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《四川省村镇供水条例》第四十五条第二款</w:t>
            </w:r>
            <w:r>
              <w:rPr>
                <w:rStyle w:val="9"/>
                <w:rFonts w:hint="eastAsia" w:ascii="方正仿宋_GBK" w:hAnsi="方正仿宋_GBK" w:eastAsia="方正仿宋_GBK" w:cs="方正仿宋_GBK"/>
                <w:snapToGrid w:val="0"/>
              </w:rPr>
              <w:t>　公共消火栓实行专管专用制度，除训练演练、灭火救援用水外，任何单位和个人不得擅自动用。</w:t>
            </w:r>
          </w:p>
          <w:p>
            <w:pPr>
              <w:snapToGrid w:val="0"/>
              <w:rPr>
                <w:rStyle w:val="8"/>
                <w:rFonts w:ascii="方正仿宋_GBK" w:hAnsi="方正仿宋_GBK" w:eastAsia="方正仿宋_GBK" w:cs="方正仿宋_GBK"/>
                <w:sz w:val="20"/>
                <w:szCs w:val="20"/>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第五十四条</w:t>
            </w:r>
            <w:r>
              <w:rPr>
                <w:rStyle w:val="9"/>
                <w:rFonts w:hint="eastAsia" w:ascii="方正仿宋_GBK" w:hAnsi="方正仿宋_GBK" w:eastAsia="方正仿宋_GBK" w:cs="方正仿宋_GBK"/>
                <w:snapToGrid w:val="0"/>
              </w:rPr>
              <w:t>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《中华人民共和国河道管理条例》第四十四条第七项</w:t>
            </w:r>
            <w:r>
              <w:rPr>
                <w:rStyle w:val="9"/>
                <w:rFonts w:hint="eastAsia" w:ascii="方正仿宋_GBK" w:hAnsi="方正仿宋_GBK" w:eastAsia="方正仿宋_GBK" w:cs="方正仿宋_GBK"/>
                <w:snapToGrid w:val="0"/>
              </w:rPr>
              <w:t>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《中华人民共和国河道管理条例》第四十五条第二项</w:t>
            </w:r>
            <w:r>
              <w:rPr>
                <w:rStyle w:val="9"/>
                <w:rFonts w:ascii="Times New Roman" w:hAnsi="Times New Roman" w:cs="Times New Roman"/>
                <w:snapToGrid w:val="0"/>
              </w:rPr>
              <w:t>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对擅自移动、损坏水利工程的界桩、公告牌的行政处罚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《四川省水利工程管理条例》第二十五条</w:t>
            </w:r>
            <w:r>
              <w:rPr>
                <w:rStyle w:val="9"/>
                <w:rFonts w:hint="eastAsia" w:ascii="方正仿宋_GBK" w:hAnsi="方正仿宋_GBK" w:eastAsia="方正仿宋_GBK" w:cs="方正仿宋_GBK"/>
                <w:snapToGrid w:val="0"/>
              </w:rPr>
              <w:t>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第五十条</w:t>
            </w:r>
            <w:r>
              <w:rPr>
                <w:rStyle w:val="9"/>
                <w:rFonts w:hint="eastAsia" w:ascii="方正仿宋_GBK" w:hAnsi="方正仿宋_GBK" w:eastAsia="方正仿宋_GBK" w:cs="方正仿宋_GBK"/>
                <w:snapToGrid w:val="0"/>
              </w:rPr>
              <w:t>　违反本条例第二十五条规定，擅自移动、损坏水利工程的界桩、公告牌的，由水行政主管部门责令改正，可处五百元以上二千元以下的罚款。。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0"/>
                <w:szCs w:val="20"/>
              </w:rPr>
            </w:pPr>
            <w:r>
              <w:rPr>
                <w:rFonts w:hint="eastAsia" w:ascii="方正仿宋_GBK" w:hAnsi="方正仿宋_GBK" w:eastAsia="方正仿宋_GBK" w:cs="方正仿宋_GBK"/>
                <w:snapToGrid w:val="0"/>
                <w:color w:val="000000"/>
                <w:kern w:val="0"/>
                <w:sz w:val="20"/>
                <w:szCs w:val="20"/>
              </w:rPr>
              <w:t>　　</w:t>
            </w:r>
            <w:r>
              <w:rPr>
                <w:rStyle w:val="11"/>
                <w:rFonts w:hint="eastAsia" w:ascii="方正仿宋_GBK" w:hAnsi="方正仿宋_GBK" w:eastAsia="方正仿宋_GBK" w:cs="方正仿宋_GBK"/>
                <w:snapToGrid w:val="0"/>
                <w:sz w:val="20"/>
                <w:szCs w:val="20"/>
              </w:rPr>
              <w:t>1.</w:t>
            </w:r>
            <w:r>
              <w:rPr>
                <w:rFonts w:hint="eastAsia" w:ascii="方正仿宋_GBK" w:hAnsi="方正仿宋_GBK" w:eastAsia="方正仿宋_GBK" w:cs="方正仿宋_GBK"/>
                <w:b/>
                <w:snapToGrid w:val="0"/>
                <w:color w:val="000000"/>
                <w:kern w:val="0"/>
                <w:sz w:val="20"/>
                <w:szCs w:val="20"/>
              </w:rPr>
              <w:t>《中华人民共和国土壤污染防治法》第八十八条</w:t>
            </w:r>
            <w:r>
              <w:rPr>
                <w:rStyle w:val="9"/>
                <w:rFonts w:hint="eastAsia" w:ascii="方正仿宋_GBK" w:hAnsi="方正仿宋_GBK" w:eastAsia="方正仿宋_GBK" w:cs="方正仿宋_GBK"/>
                <w:snapToGrid w:val="0"/>
                <w:sz w:val="20"/>
                <w:szCs w:val="20"/>
              </w:rPr>
              <w:t>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widowControl/>
              <w:snapToGrid w:val="0"/>
              <w:spacing w:line="0" w:lineRule="atLeas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snapToGrid w:val="0"/>
                <w:color w:val="000000"/>
                <w:kern w:val="0"/>
                <w:sz w:val="20"/>
                <w:szCs w:val="20"/>
              </w:rPr>
              <w:t>　　</w:t>
            </w:r>
            <w:r>
              <w:rPr>
                <w:rStyle w:val="11"/>
                <w:rFonts w:hint="eastAsia" w:ascii="方正仿宋_GBK" w:hAnsi="方正仿宋_GBK" w:eastAsia="方正仿宋_GBK" w:cs="方正仿宋_GBK"/>
                <w:snapToGrid w:val="0"/>
                <w:sz w:val="20"/>
                <w:szCs w:val="20"/>
              </w:rPr>
              <w:t>2.</w:t>
            </w:r>
            <w:r>
              <w:rPr>
                <w:rFonts w:hint="eastAsia" w:ascii="方正仿宋_GBK" w:hAnsi="方正仿宋_GBK" w:eastAsia="方正仿宋_GBK" w:cs="方正仿宋_GBK"/>
                <w:b/>
                <w:snapToGrid w:val="0"/>
                <w:color w:val="000000"/>
                <w:kern w:val="0"/>
                <w:sz w:val="20"/>
                <w:szCs w:val="20"/>
              </w:rPr>
              <w:t>《农药包装废弃物回收处理管理办法》第十九条</w:t>
            </w:r>
            <w:r>
              <w:rPr>
                <w:rStyle w:val="9"/>
                <w:rFonts w:hint="eastAsia" w:ascii="方正仿宋_GBK" w:hAnsi="方正仿宋_GBK" w:eastAsia="方正仿宋_GBK" w:cs="方正仿宋_GBK"/>
                <w:snapToGrid w:val="0"/>
                <w:sz w:val="20"/>
                <w:szCs w:val="20"/>
              </w:rPr>
              <w:t>　农药生产者、经营者、使用者未按规定履行农药包装废弃物回收处理义务的，由地方人民政府农业农村主管部门按照《中华人民共和国土壤污染防治法》第八十八条规定予以处罚。</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20"/>
                <w:szCs w:val="20"/>
              </w:rPr>
            </w:pPr>
            <w:r>
              <w:rPr>
                <w:rFonts w:hint="eastAsia" w:ascii="方正仿宋_GBK" w:hAnsi="方正仿宋_GBK" w:eastAsia="方正仿宋_GBK" w:cs="方正仿宋_GBK"/>
                <w:snapToGrid w:val="0"/>
                <w:color w:val="000000"/>
                <w:kern w:val="0"/>
                <w:sz w:val="20"/>
                <w:szCs w:val="20"/>
              </w:rPr>
              <w:t>　　</w:t>
            </w:r>
            <w:r>
              <w:rPr>
                <w:rStyle w:val="11"/>
                <w:rFonts w:hint="eastAsia" w:ascii="方正仿宋_GBK" w:hAnsi="方正仿宋_GBK" w:eastAsia="方正仿宋_GBK" w:cs="方正仿宋_GBK"/>
                <w:snapToGrid w:val="0"/>
                <w:sz w:val="20"/>
                <w:szCs w:val="20"/>
              </w:rPr>
              <w:t>3.</w:t>
            </w:r>
            <w:r>
              <w:rPr>
                <w:rFonts w:hint="eastAsia" w:ascii="方正仿宋_GBK" w:hAnsi="方正仿宋_GBK" w:eastAsia="方正仿宋_GBK" w:cs="方正仿宋_GBK"/>
                <w:b/>
                <w:snapToGrid w:val="0"/>
                <w:color w:val="000000"/>
                <w:kern w:val="0"/>
                <w:sz w:val="20"/>
                <w:szCs w:val="20"/>
              </w:rPr>
              <w:t>《农用薄膜管理办法》第二十四条</w:t>
            </w:r>
            <w:r>
              <w:rPr>
                <w:rStyle w:val="9"/>
                <w:rFonts w:hint="eastAsia" w:ascii="方正仿宋_GBK" w:hAnsi="方正仿宋_GBK" w:eastAsia="方正仿宋_GBK" w:cs="方正仿宋_GBK"/>
                <w:snapToGrid w:val="0"/>
                <w:sz w:val="20"/>
                <w:szCs w:val="20"/>
              </w:rPr>
              <w:t>　农用薄膜生产者、销售者、使用者未按照规定回收农用薄膜的，依照《中华人民共和国土壤污染防治法》第八十八条规定处罚。</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0" w:firstLineChars="200"/>
              <w:rPr>
                <w:rStyle w:val="8"/>
                <w:rFonts w:ascii="方正仿宋_GBK" w:hAnsi="方正仿宋_GBK" w:eastAsia="方正仿宋_GBK" w:cs="方正仿宋_GBK"/>
                <w:sz w:val="20"/>
                <w:szCs w:val="20"/>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《农药包装废弃物回收处理管理办法》第二十一条</w:t>
            </w:r>
            <w:r>
              <w:rPr>
                <w:rStyle w:val="9"/>
                <w:rFonts w:ascii="Times New Roman" w:hAnsi="Times New Roman" w:cs="Times New Roman"/>
                <w:snapToGrid w:val="0"/>
              </w:rPr>
              <w:t>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《农作物病虫害防治条例》第四十条</w:t>
            </w:r>
            <w:r>
              <w:rPr>
                <w:rStyle w:val="9"/>
                <w:rFonts w:hint="eastAsia" w:ascii="方正仿宋_GBK" w:hAnsi="方正仿宋_GBK" w:eastAsia="方正仿宋_GBK" w:cs="方正仿宋_GBK"/>
                <w:snapToGrid w:val="0"/>
              </w:rPr>
              <w:t>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万元以下罚款；造成损失的，依法承担赔偿责任；构成犯罪的，依法追究刑事责任。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59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《四川省饮用水水源保护管理条例》第十八条第四项</w:t>
            </w:r>
            <w:r>
              <w:rPr>
                <w:rStyle w:val="9"/>
                <w:rFonts w:ascii="Times New Roman" w:hAnsi="Times New Roman" w:cs="Times New Roman"/>
                <w:snapToGrid w:val="0"/>
              </w:rPr>
              <w:t>　地表水饮用水水源二级保护区内，除遵守本条例第十七条规定外，还应当遵守下列规定：（四）禁止使用农药；禁止丢弃农药、农药包装物或者清洗施药器械；限制使用化肥。</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第四十条第三款</w:t>
            </w:r>
            <w:r>
              <w:rPr>
                <w:rStyle w:val="9"/>
                <w:rFonts w:ascii="Times New Roman" w:hAnsi="Times New Roman" w:cs="Times New Roman"/>
                <w:snapToGrid w:val="0"/>
              </w:rPr>
              <w:t>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0"/>
                <w:szCs w:val="20"/>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《四川省饮用水水源保护管理条例》第十九条第二项</w:t>
            </w:r>
            <w:r>
              <w:rPr>
                <w:rStyle w:val="9"/>
                <w:rFonts w:hint="eastAsia" w:ascii="方正仿宋_GBK" w:hAnsi="方正仿宋_GBK" w:eastAsia="方正仿宋_GBK" w:cs="方正仿宋_GBK"/>
                <w:snapToGrid w:val="0"/>
                <w:sz w:val="20"/>
                <w:szCs w:val="20"/>
              </w:rPr>
              <w:t>　地表水饮用水水源一级保护区内，除遵守本条例第十七条和第十八条规定外，还应当遵守下列规定：（二）禁止使用化肥。</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　第四十条第三款</w:t>
            </w:r>
            <w:r>
              <w:rPr>
                <w:rStyle w:val="9"/>
                <w:rFonts w:hint="eastAsia" w:ascii="方正仿宋_GBK" w:hAnsi="方正仿宋_GBK" w:eastAsia="方正仿宋_GBK" w:cs="方正仿宋_GBK"/>
                <w:snapToGrid w:val="0"/>
                <w:sz w:val="20"/>
                <w:szCs w:val="20"/>
              </w:rPr>
              <w:t>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hint="eastAsia" w:ascii="Times New Roman" w:hAnsi="Times New Roman" w:eastAsia="方正仿宋_GBK"/>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0"/>
                <w:szCs w:val="20"/>
              </w:rPr>
            </w:pPr>
            <w:r>
              <w:rPr>
                <w:rFonts w:hint="eastAsia" w:ascii="方正仿宋_GBK" w:hAnsi="方正仿宋_GBK" w:eastAsia="方正仿宋_GBK" w:cs="方正仿宋_GBK"/>
                <w:snapToGrid w:val="0"/>
                <w:color w:val="000000"/>
                <w:kern w:val="0"/>
                <w:sz w:val="20"/>
                <w:szCs w:val="20"/>
              </w:rPr>
              <w:t>　　</w:t>
            </w:r>
            <w:r>
              <w:rPr>
                <w:rStyle w:val="11"/>
                <w:rFonts w:hint="eastAsia" w:ascii="方正仿宋_GBK" w:hAnsi="方正仿宋_GBK" w:eastAsia="方正仿宋_GBK" w:cs="方正仿宋_GBK"/>
                <w:snapToGrid w:val="0"/>
                <w:sz w:val="20"/>
                <w:szCs w:val="20"/>
              </w:rPr>
              <w:t>1.</w:t>
            </w:r>
            <w:r>
              <w:rPr>
                <w:rFonts w:hint="eastAsia" w:ascii="方正仿宋_GBK" w:hAnsi="方正仿宋_GBK" w:eastAsia="方正仿宋_GBK" w:cs="方正仿宋_GBK"/>
                <w:b/>
                <w:snapToGrid w:val="0"/>
                <w:color w:val="000000"/>
                <w:kern w:val="0"/>
                <w:sz w:val="20"/>
                <w:szCs w:val="20"/>
              </w:rPr>
              <w:t>《中华人民共和国农产品质量安全法》第四十七条</w:t>
            </w:r>
            <w:r>
              <w:rPr>
                <w:rStyle w:val="9"/>
                <w:rFonts w:hint="eastAsia" w:ascii="方正仿宋_GBK" w:hAnsi="方正仿宋_GBK" w:eastAsia="方正仿宋_GBK" w:cs="方正仿宋_GBK"/>
                <w:snapToGrid w:val="0"/>
                <w:sz w:val="20"/>
                <w:szCs w:val="20"/>
              </w:rPr>
              <w:t>　农产品生产企业、农民专业合作经济组织未建立或者未按照规定保存农产品生产记录的，或者伪造农产品生产记录的，责令限期改正；逾期不改正的，可以处二千元以下罚款。</w:t>
            </w:r>
          </w:p>
          <w:p>
            <w:pPr>
              <w:widowControl/>
              <w:snapToGrid w:val="0"/>
              <w:spacing w:line="0" w:lineRule="atLeas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　第五十二条第一款</w:t>
            </w:r>
            <w:r>
              <w:rPr>
                <w:rStyle w:val="9"/>
                <w:rFonts w:hint="eastAsia" w:ascii="方正仿宋_GBK" w:hAnsi="方正仿宋_GBK" w:eastAsia="方正仿宋_GBK" w:cs="方正仿宋_GBK"/>
                <w:snapToGrid w:val="0"/>
                <w:sz w:val="20"/>
                <w:szCs w:val="20"/>
              </w:rPr>
              <w:t>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widowControl/>
              <w:snapToGrid w:val="0"/>
              <w:spacing w:line="0" w:lineRule="atLeas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snapToGrid w:val="0"/>
                <w:color w:val="000000"/>
                <w:kern w:val="0"/>
                <w:sz w:val="20"/>
                <w:szCs w:val="20"/>
              </w:rPr>
              <w:t>　　</w:t>
            </w:r>
            <w:r>
              <w:rPr>
                <w:rStyle w:val="11"/>
                <w:rFonts w:hint="eastAsia" w:ascii="方正仿宋_GBK" w:hAnsi="方正仿宋_GBK" w:eastAsia="方正仿宋_GBK" w:cs="方正仿宋_GBK"/>
                <w:snapToGrid w:val="0"/>
                <w:sz w:val="20"/>
                <w:szCs w:val="20"/>
              </w:rPr>
              <w:t>2.</w:t>
            </w:r>
            <w:r>
              <w:rPr>
                <w:rFonts w:hint="eastAsia" w:ascii="方正仿宋_GBK" w:hAnsi="方正仿宋_GBK" w:eastAsia="方正仿宋_GBK" w:cs="方正仿宋_GBK"/>
                <w:b/>
                <w:snapToGrid w:val="0"/>
                <w:color w:val="000000"/>
                <w:kern w:val="0"/>
                <w:sz w:val="20"/>
                <w:szCs w:val="20"/>
              </w:rPr>
              <w:t>《四川省〈中华人民共和国农产品质量安全法〉实施办法》第二十一条</w:t>
            </w:r>
            <w:r>
              <w:rPr>
                <w:rStyle w:val="9"/>
                <w:rFonts w:hint="eastAsia" w:ascii="方正仿宋_GBK" w:hAnsi="方正仿宋_GBK" w:eastAsia="方正仿宋_GBK" w:cs="方正仿宋_GBK"/>
                <w:snapToGrid w:val="0"/>
                <w:sz w:val="20"/>
                <w:szCs w:val="20"/>
              </w:rPr>
              <w:t>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第四十三条</w:t>
            </w:r>
            <w:r>
              <w:rPr>
                <w:rStyle w:val="9"/>
                <w:rFonts w:hint="eastAsia" w:ascii="方正仿宋_GBK" w:hAnsi="方正仿宋_GBK" w:eastAsia="方正仿宋_GBK" w:cs="方正仿宋_GBK"/>
                <w:snapToGrid w:val="0"/>
                <w:sz w:val="20"/>
                <w:szCs w:val="20"/>
              </w:rPr>
              <w:t>　违反本办法第二十一条规定的，由县级以上地方人民政府农业行政主管部门责令限期改正；逾期不改正的，处</w:t>
            </w:r>
            <w:r>
              <w:rPr>
                <w:rStyle w:val="10"/>
                <w:rFonts w:hint="eastAsia" w:ascii="方正仿宋_GBK" w:hAnsi="方正仿宋_GBK" w:eastAsia="方正仿宋_GBK" w:cs="方正仿宋_GBK"/>
                <w:snapToGrid w:val="0"/>
                <w:sz w:val="20"/>
                <w:szCs w:val="20"/>
              </w:rPr>
              <w:t>2000</w:t>
            </w:r>
            <w:r>
              <w:rPr>
                <w:rStyle w:val="9"/>
                <w:rFonts w:hint="eastAsia" w:ascii="方正仿宋_GBK" w:hAnsi="方正仿宋_GBK" w:eastAsia="方正仿宋_GBK" w:cs="方正仿宋_GBK"/>
                <w:snapToGrid w:val="0"/>
                <w:sz w:val="20"/>
                <w:szCs w:val="20"/>
              </w:rPr>
              <w:t>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0"/>
                <w:szCs w:val="20"/>
              </w:rPr>
            </w:pPr>
            <w:r>
              <w:rPr>
                <w:rFonts w:hint="eastAsia" w:ascii="方正仿宋_GBK" w:hAnsi="方正仿宋_GBK" w:eastAsia="方正仿宋_GBK" w:cs="方正仿宋_GBK"/>
                <w:snapToGrid w:val="0"/>
                <w:color w:val="000000"/>
                <w:kern w:val="0"/>
                <w:sz w:val="20"/>
                <w:szCs w:val="20"/>
              </w:rPr>
              <w:t>　　</w:t>
            </w:r>
            <w:r>
              <w:rPr>
                <w:rStyle w:val="11"/>
                <w:rFonts w:hint="eastAsia" w:ascii="方正仿宋_GBK" w:hAnsi="方正仿宋_GBK" w:eastAsia="方正仿宋_GBK" w:cs="方正仿宋_GBK"/>
                <w:snapToGrid w:val="0"/>
                <w:sz w:val="20"/>
                <w:szCs w:val="20"/>
              </w:rPr>
              <w:t>1.</w:t>
            </w:r>
            <w:r>
              <w:rPr>
                <w:rFonts w:hint="eastAsia" w:ascii="方正仿宋_GBK" w:hAnsi="方正仿宋_GBK" w:eastAsia="方正仿宋_GBK" w:cs="方正仿宋_GBK"/>
                <w:b/>
                <w:snapToGrid w:val="0"/>
                <w:color w:val="000000"/>
                <w:kern w:val="0"/>
                <w:sz w:val="20"/>
                <w:szCs w:val="20"/>
              </w:rPr>
              <w:t>《中华人民共和国农产品质量安全法》第二十八条</w:t>
            </w:r>
            <w:r>
              <w:rPr>
                <w:rStyle w:val="9"/>
                <w:rFonts w:hint="eastAsia" w:ascii="方正仿宋_GBK" w:hAnsi="方正仿宋_GBK" w:eastAsia="方正仿宋_GBK" w:cs="方正仿宋_GBK"/>
                <w:snapToGrid w:val="0"/>
                <w:sz w:val="20"/>
                <w:szCs w:val="20"/>
              </w:rPr>
              <w:t>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widowControl/>
              <w:snapToGrid w:val="0"/>
              <w:spacing w:line="0" w:lineRule="atLeas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第四十八条</w:t>
            </w:r>
            <w:r>
              <w:rPr>
                <w:rStyle w:val="9"/>
                <w:rFonts w:hint="eastAsia" w:ascii="方正仿宋_GBK" w:hAnsi="方正仿宋_GBK" w:eastAsia="方正仿宋_GBK" w:cs="方正仿宋_GBK"/>
                <w:snapToGrid w:val="0"/>
                <w:sz w:val="20"/>
                <w:szCs w:val="20"/>
              </w:rPr>
              <w:t>　违反本法第二十八条规定，销售的农产品未按照规定进行包装、标识的，责令限期改正；逾期不改正的，可以处二千元以下罚款。</w:t>
            </w:r>
          </w:p>
          <w:p>
            <w:pPr>
              <w:widowControl/>
              <w:snapToGrid w:val="0"/>
              <w:spacing w:line="0" w:lineRule="atLeas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第五十二条第一款</w:t>
            </w:r>
            <w:r>
              <w:rPr>
                <w:rStyle w:val="9"/>
                <w:rFonts w:hint="eastAsia" w:ascii="方正仿宋_GBK" w:hAnsi="方正仿宋_GBK" w:eastAsia="方正仿宋_GBK" w:cs="方正仿宋_GBK"/>
                <w:snapToGrid w:val="0"/>
                <w:sz w:val="20"/>
                <w:szCs w:val="20"/>
              </w:rPr>
              <w:t>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widowControl/>
              <w:adjustRightInd w:val="0"/>
              <w:snapToGrid w:val="0"/>
              <w:spacing w:line="0" w:lineRule="atLeast"/>
              <w:textAlignment w:val="center"/>
              <w:rPr>
                <w:rStyle w:val="8"/>
                <w:rFonts w:ascii="方正仿宋_GBK" w:hAnsi="方正仿宋_GBK" w:eastAsia="方正仿宋_GBK" w:cs="方正仿宋_GBK"/>
                <w:sz w:val="20"/>
                <w:szCs w:val="20"/>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　</w:t>
            </w:r>
            <w:r>
              <w:rPr>
                <w:rStyle w:val="11"/>
                <w:rFonts w:hint="eastAsia" w:ascii="方正仿宋_GBK" w:hAnsi="方正仿宋_GBK" w:eastAsia="方正仿宋_GBK" w:cs="方正仿宋_GBK"/>
                <w:snapToGrid w:val="0"/>
                <w:sz w:val="20"/>
                <w:szCs w:val="20"/>
              </w:rPr>
              <w:t>2.</w:t>
            </w:r>
            <w:r>
              <w:rPr>
                <w:rFonts w:hint="eastAsia" w:ascii="方正仿宋_GBK" w:hAnsi="方正仿宋_GBK" w:eastAsia="方正仿宋_GBK" w:cs="方正仿宋_GBK"/>
                <w:b/>
                <w:snapToGrid w:val="0"/>
                <w:color w:val="000000"/>
                <w:kern w:val="0"/>
                <w:sz w:val="20"/>
                <w:szCs w:val="20"/>
              </w:rPr>
              <w:t>《农产品包装和标识管理办法》第十六条第一项、第三项、第五项</w:t>
            </w:r>
            <w:r>
              <w:rPr>
                <w:rStyle w:val="9"/>
                <w:rFonts w:hint="eastAsia" w:ascii="方正仿宋_GBK" w:hAnsi="方正仿宋_GBK" w:eastAsia="方正仿宋_GBK" w:cs="方正仿宋_GBK"/>
                <w:snapToGrid w:val="0"/>
                <w:sz w:val="20"/>
                <w:szCs w:val="20"/>
              </w:rPr>
              <w:t>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40" w:firstLineChars="200"/>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2"/>
                <w:szCs w:val="22"/>
              </w:rPr>
              <w:t>。</w:t>
            </w:r>
          </w:p>
          <w:p>
            <w:pPr>
              <w:snapToGrid w:val="0"/>
              <w:ind w:firstLine="440" w:firstLineChars="200"/>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（2）审查责任：</w:t>
            </w:r>
            <w:r>
              <w:rPr>
                <w:rStyle w:val="8"/>
                <w:rFonts w:hint="eastAsia" w:ascii="Times New Roman" w:hAnsi="Times New Roman" w:eastAsia="方正仿宋_GBK"/>
              </w:rPr>
              <w:t>依法</w:t>
            </w:r>
            <w:r>
              <w:rPr>
                <w:rStyle w:val="8"/>
                <w:rFonts w:ascii="Times New Roman" w:hAnsi="Times New Roman" w:eastAsia="方正仿宋_GBK"/>
              </w:rPr>
              <w:t>对书面材料进行审查，</w:t>
            </w:r>
            <w:r>
              <w:rPr>
                <w:rFonts w:ascii="Times New Roman" w:hAnsi="Times New Roman" w:eastAsia="方正仿宋_GBK"/>
                <w:color w:val="000000"/>
                <w:kern w:val="0"/>
                <w:sz w:val="22"/>
                <w:szCs w:val="22"/>
              </w:rPr>
              <w:t>对申请材料齐全、符合法定形式的，提出初审意见。</w:t>
            </w:r>
          </w:p>
          <w:p>
            <w:pPr>
              <w:snapToGrid w:val="0"/>
              <w:ind w:firstLine="440" w:firstLineChars="200"/>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（3）决定责任：做出</w:t>
            </w:r>
            <w:r>
              <w:rPr>
                <w:rFonts w:hint="eastAsia" w:ascii="Times New Roman" w:hAnsi="Times New Roman" w:eastAsia="方正仿宋_GBK"/>
                <w:color w:val="000000"/>
                <w:kern w:val="0"/>
                <w:sz w:val="22"/>
                <w:szCs w:val="22"/>
              </w:rPr>
              <w:t>是否准予的</w:t>
            </w:r>
            <w:r>
              <w:rPr>
                <w:rFonts w:ascii="Times New Roman" w:hAnsi="Times New Roman" w:eastAsia="方正仿宋_GBK"/>
                <w:color w:val="000000"/>
                <w:kern w:val="0"/>
                <w:sz w:val="22"/>
                <w:szCs w:val="22"/>
              </w:rPr>
              <w:t>决定，并依法送达</w:t>
            </w:r>
            <w:r>
              <w:rPr>
                <w:rStyle w:val="8"/>
                <w:rFonts w:ascii="Times New Roman" w:hAnsi="Times New Roman" w:eastAsia="方正仿宋_GBK"/>
              </w:rPr>
              <w:t>（不予许可的应当书面告知理由）</w:t>
            </w:r>
            <w:r>
              <w:rPr>
                <w:rStyle w:val="8"/>
                <w:rFonts w:hint="eastAsia" w:ascii="Times New Roman" w:hAnsi="Times New Roman" w:eastAsia="方正仿宋_GBK"/>
              </w:rPr>
              <w:t>。</w:t>
            </w:r>
          </w:p>
          <w:p>
            <w:pPr>
              <w:snapToGrid w:val="0"/>
              <w:ind w:firstLine="440" w:firstLineChars="200"/>
              <w:rPr>
                <w:rFonts w:ascii="Times New Roman" w:hAnsi="Times New Roman" w:eastAsia="方正仿宋_GBK"/>
                <w:color w:val="000000"/>
                <w:kern w:val="0"/>
                <w:sz w:val="22"/>
                <w:szCs w:val="22"/>
              </w:rPr>
            </w:pPr>
            <w:r>
              <w:rPr>
                <w:rFonts w:ascii="Times New Roman" w:hAnsi="Times New Roman" w:eastAsia="方正仿宋_GBK"/>
                <w:color w:val="000000"/>
                <w:kern w:val="0"/>
                <w:sz w:val="22"/>
                <w:szCs w:val="22"/>
              </w:rPr>
              <w:t>（4）事后监督责任：督促其按时复学，并完成相关手续。</w:t>
            </w:r>
          </w:p>
          <w:p>
            <w:pPr>
              <w:snapToGrid w:val="0"/>
              <w:ind w:firstLine="44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2"/>
                <w:szCs w:val="22"/>
              </w:rPr>
              <w:t>（5）其他责任：法律法规规章</w:t>
            </w:r>
            <w:r>
              <w:rPr>
                <w:rFonts w:hint="eastAsia" w:ascii="Times New Roman" w:hAnsi="Times New Roman" w:eastAsia="方正仿宋_GBK"/>
                <w:color w:val="000000"/>
                <w:kern w:val="0"/>
                <w:sz w:val="22"/>
                <w:szCs w:val="22"/>
              </w:rPr>
              <w:t>文件</w:t>
            </w:r>
            <w:r>
              <w:rPr>
                <w:rFonts w:ascii="Times New Roman" w:hAnsi="Times New Roman" w:eastAsia="方正仿宋_GBK"/>
                <w:color w:val="000000"/>
                <w:kern w:val="0"/>
                <w:sz w:val="22"/>
                <w:szCs w:val="22"/>
              </w:rPr>
              <w:t>规定应履行的</w:t>
            </w:r>
            <w:r>
              <w:rPr>
                <w:rFonts w:hint="eastAsia" w:ascii="Times New Roman" w:hAnsi="Times New Roman" w:eastAsia="方正仿宋_GBK"/>
                <w:color w:val="000000"/>
                <w:kern w:val="0"/>
                <w:sz w:val="22"/>
                <w:szCs w:val="22"/>
              </w:rPr>
              <w:t>其他</w:t>
            </w:r>
            <w:r>
              <w:rPr>
                <w:rFonts w:ascii="Times New Roman" w:hAnsi="Times New Roman" w:eastAsia="方正仿宋_GBK"/>
                <w:color w:val="000000"/>
                <w:kern w:val="0"/>
                <w:sz w:val="22"/>
                <w:szCs w:val="22"/>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snapToGrid w:val="0"/>
                <w:color w:val="000000"/>
                <w:kern w:val="0"/>
                <w:sz w:val="22"/>
                <w:szCs w:val="22"/>
              </w:rPr>
              <w:t>　　</w:t>
            </w:r>
            <w:r>
              <w:rPr>
                <w:rStyle w:val="11"/>
                <w:rFonts w:hint="eastAsia" w:ascii="方正仿宋_GBK" w:hAnsi="方正仿宋_GBK" w:eastAsia="方正仿宋_GBK" w:cs="方正仿宋_GBK"/>
                <w:snapToGrid w:val="0"/>
              </w:rPr>
              <w:t>1.</w:t>
            </w:r>
            <w:r>
              <w:rPr>
                <w:rFonts w:hint="eastAsia" w:ascii="方正仿宋_GBK" w:hAnsi="方正仿宋_GBK" w:eastAsia="方正仿宋_GBK" w:cs="方正仿宋_GBK"/>
                <w:b/>
                <w:snapToGrid w:val="0"/>
                <w:color w:val="000000"/>
                <w:kern w:val="0"/>
                <w:sz w:val="22"/>
                <w:szCs w:val="22"/>
              </w:rPr>
              <w:t>《农产品产地安全管理办法》第二十六条第二款</w:t>
            </w:r>
            <w:r>
              <w:rPr>
                <w:rStyle w:val="9"/>
                <w:rFonts w:hint="eastAsia" w:ascii="方正仿宋_GBK" w:hAnsi="方正仿宋_GBK" w:eastAsia="方正仿宋_GBK" w:cs="方正仿宋_GBK"/>
                <w:snapToGrid w:val="0"/>
              </w:rPr>
              <w:t>　违反本办法规定，擅自移动、损毁禁止生产区标牌的，由县级以上地方人民政府农业行政主管部门责令限期改正，可处以一千元以下罚款。</w:t>
            </w:r>
          </w:p>
          <w:p>
            <w:pPr>
              <w:widowControl/>
              <w:snapToGrid w:val="0"/>
              <w:spacing w:line="0" w:lineRule="atLeas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snapToGrid w:val="0"/>
                <w:color w:val="000000"/>
                <w:kern w:val="0"/>
                <w:sz w:val="22"/>
                <w:szCs w:val="22"/>
              </w:rPr>
              <w:t>　　</w:t>
            </w:r>
            <w:r>
              <w:rPr>
                <w:rStyle w:val="11"/>
                <w:rFonts w:hint="eastAsia" w:ascii="方正仿宋_GBK" w:hAnsi="方正仿宋_GBK" w:eastAsia="方正仿宋_GBK" w:cs="方正仿宋_GBK"/>
                <w:snapToGrid w:val="0"/>
              </w:rPr>
              <w:t>2.</w:t>
            </w:r>
            <w:r>
              <w:rPr>
                <w:rFonts w:hint="eastAsia" w:ascii="方正仿宋_GBK" w:hAnsi="方正仿宋_GBK" w:eastAsia="方正仿宋_GBK" w:cs="方正仿宋_GBK"/>
                <w:b/>
                <w:snapToGrid w:val="0"/>
                <w:color w:val="000000"/>
                <w:kern w:val="0"/>
                <w:sz w:val="22"/>
                <w:szCs w:val="22"/>
              </w:rPr>
              <w:t>《四川省〈中华人民共和国农产品质量安全法〉实施办法》第十一条第二款</w:t>
            </w:r>
            <w:r>
              <w:rPr>
                <w:rStyle w:val="9"/>
                <w:rFonts w:hint="eastAsia" w:ascii="方正仿宋_GBK" w:hAnsi="方正仿宋_GBK" w:eastAsia="方正仿宋_GBK" w:cs="方正仿宋_GBK"/>
                <w:snapToGrid w:val="0"/>
              </w:rPr>
              <w:t>　任何单位和个人不得擅自移动和损毁标识。</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第四十条</w:t>
            </w:r>
            <w:r>
              <w:rPr>
                <w:rStyle w:val="9"/>
                <w:rFonts w:hint="eastAsia" w:ascii="方正仿宋_GBK" w:hAnsi="方正仿宋_GBK" w:eastAsia="方正仿宋_GBK" w:cs="方正仿宋_GBK"/>
                <w:snapToGrid w:val="0"/>
              </w:rPr>
              <w:t>　违反本办法第十一条第二款规定，擅自移动、损毁禁止生产区标识的，由县级以上地方人民政府农业行政主管部门责令限期改正，可处</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《四川省〈中华人民共和国农产品质量安全法〉实施办法》第十九条第一款</w:t>
            </w:r>
            <w:r>
              <w:rPr>
                <w:rStyle w:val="9"/>
                <w:rFonts w:ascii="Times New Roman" w:hAnsi="Times New Roman" w:cs="Times New Roman"/>
                <w:snapToGrid w:val="0"/>
              </w:rPr>
              <w:t>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　第四十二条</w:t>
            </w:r>
            <w:r>
              <w:rPr>
                <w:rStyle w:val="9"/>
                <w:rFonts w:ascii="Times New Roman" w:hAnsi="Times New Roman" w:cs="Times New Roman"/>
                <w:snapToGrid w:val="0"/>
              </w:rPr>
              <w:t>　违反本办法第十九条第一款规定，未建立、保存进销货台账或者未向购买者出具销售凭证的，由县级以上地方人民政府农业行政主管部门责令其限期改正；逾期不改正的，处</w:t>
            </w:r>
            <w:r>
              <w:rPr>
                <w:rStyle w:val="10"/>
                <w:rFonts w:eastAsia="方正仿宋简体"/>
                <w:snapToGrid w:val="0"/>
              </w:rPr>
              <w:t>200</w:t>
            </w:r>
            <w:r>
              <w:rPr>
                <w:rStyle w:val="9"/>
                <w:rFonts w:ascii="Times New Roman" w:hAnsi="Times New Roman" w:cs="Times New Roman"/>
                <w:snapToGrid w:val="0"/>
              </w:rPr>
              <w:t>元以上</w:t>
            </w:r>
            <w:r>
              <w:rPr>
                <w:rStyle w:val="10"/>
                <w:rFonts w:eastAsia="方正仿宋简体"/>
                <w:snapToGrid w:val="0"/>
              </w:rPr>
              <w:t>1000</w:t>
            </w:r>
            <w:r>
              <w:rPr>
                <w:rStyle w:val="9"/>
                <w:rFonts w:ascii="Times New Roman" w:hAnsi="Times New Roman" w:cs="Times New Roman"/>
                <w:snapToGrid w:val="0"/>
              </w:rPr>
              <w:t>元以下罚款；未向购买者说明或未正确说明农业投入品使用方法和注意事项，给农业投入品使用者造成损失的，依法予以赔偿。</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0"/>
                <w:szCs w:val="20"/>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《国务院关于加强食品等产品安全监督管理的特别规定》第三条第二款</w:t>
            </w:r>
            <w:r>
              <w:rPr>
                <w:rStyle w:val="9"/>
                <w:rFonts w:hint="eastAsia" w:ascii="方正仿宋_GBK" w:hAnsi="方正仿宋_GBK" w:eastAsia="方正仿宋_GBK" w:cs="方正仿宋_GBK"/>
                <w:snapToGrid w:val="0"/>
                <w:sz w:val="20"/>
                <w:szCs w:val="20"/>
              </w:rPr>
              <w:t>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Pr>
                <w:rStyle w:val="10"/>
                <w:rFonts w:hint="eastAsia" w:ascii="方正仿宋_GBK" w:hAnsi="方正仿宋_GBK" w:eastAsia="方正仿宋_GBK" w:cs="方正仿宋_GBK"/>
                <w:snapToGrid w:val="0"/>
                <w:sz w:val="20"/>
                <w:szCs w:val="20"/>
              </w:rPr>
              <w:t>5000</w:t>
            </w:r>
            <w:r>
              <w:rPr>
                <w:rStyle w:val="9"/>
                <w:rFonts w:hint="eastAsia" w:ascii="方正仿宋_GBK" w:hAnsi="方正仿宋_GBK" w:eastAsia="方正仿宋_GBK" w:cs="方正仿宋_GBK"/>
                <w:snapToGrid w:val="0"/>
                <w:sz w:val="20"/>
                <w:szCs w:val="20"/>
              </w:rPr>
              <w:t>元的，并处</w:t>
            </w:r>
            <w:r>
              <w:rPr>
                <w:rStyle w:val="10"/>
                <w:rFonts w:hint="eastAsia" w:ascii="方正仿宋_GBK" w:hAnsi="方正仿宋_GBK" w:eastAsia="方正仿宋_GBK" w:cs="方正仿宋_GBK"/>
                <w:snapToGrid w:val="0"/>
                <w:sz w:val="20"/>
                <w:szCs w:val="20"/>
              </w:rPr>
              <w:t>5</w:t>
            </w:r>
            <w:r>
              <w:rPr>
                <w:rStyle w:val="9"/>
                <w:rFonts w:hint="eastAsia" w:ascii="方正仿宋_GBK" w:hAnsi="方正仿宋_GBK" w:eastAsia="方正仿宋_GBK" w:cs="方正仿宋_GBK"/>
                <w:snapToGrid w:val="0"/>
                <w:sz w:val="20"/>
                <w:szCs w:val="20"/>
              </w:rPr>
              <w:t>万元罚款；货值金额</w:t>
            </w:r>
            <w:r>
              <w:rPr>
                <w:rStyle w:val="10"/>
                <w:rFonts w:hint="eastAsia" w:ascii="方正仿宋_GBK" w:hAnsi="方正仿宋_GBK" w:eastAsia="方正仿宋_GBK" w:cs="方正仿宋_GBK"/>
                <w:snapToGrid w:val="0"/>
                <w:sz w:val="20"/>
                <w:szCs w:val="20"/>
              </w:rPr>
              <w:t>5000</w:t>
            </w:r>
            <w:r>
              <w:rPr>
                <w:rStyle w:val="9"/>
                <w:rFonts w:hint="eastAsia" w:ascii="方正仿宋_GBK" w:hAnsi="方正仿宋_GBK" w:eastAsia="方正仿宋_GBK" w:cs="方正仿宋_GBK"/>
                <w:snapToGrid w:val="0"/>
                <w:sz w:val="20"/>
                <w:szCs w:val="20"/>
              </w:rPr>
              <w:t>元以上不足</w:t>
            </w:r>
            <w:r>
              <w:rPr>
                <w:rStyle w:val="10"/>
                <w:rFonts w:hint="eastAsia" w:ascii="方正仿宋_GBK" w:hAnsi="方正仿宋_GBK" w:eastAsia="方正仿宋_GBK" w:cs="方正仿宋_GBK"/>
                <w:snapToGrid w:val="0"/>
                <w:sz w:val="20"/>
                <w:szCs w:val="20"/>
              </w:rPr>
              <w:t>1</w:t>
            </w:r>
            <w:r>
              <w:rPr>
                <w:rStyle w:val="9"/>
                <w:rFonts w:hint="eastAsia" w:ascii="方正仿宋_GBK" w:hAnsi="方正仿宋_GBK" w:eastAsia="方正仿宋_GBK" w:cs="方正仿宋_GBK"/>
                <w:snapToGrid w:val="0"/>
                <w:sz w:val="20"/>
                <w:szCs w:val="20"/>
              </w:rPr>
              <w:t>万元的，并处</w:t>
            </w:r>
            <w:r>
              <w:rPr>
                <w:rStyle w:val="10"/>
                <w:rFonts w:hint="eastAsia" w:ascii="方正仿宋_GBK" w:hAnsi="方正仿宋_GBK" w:eastAsia="方正仿宋_GBK" w:cs="方正仿宋_GBK"/>
                <w:snapToGrid w:val="0"/>
                <w:sz w:val="20"/>
                <w:szCs w:val="20"/>
              </w:rPr>
              <w:t>10</w:t>
            </w:r>
            <w:r>
              <w:rPr>
                <w:rStyle w:val="9"/>
                <w:rFonts w:hint="eastAsia" w:ascii="方正仿宋_GBK" w:hAnsi="方正仿宋_GBK" w:eastAsia="方正仿宋_GBK" w:cs="方正仿宋_GBK"/>
                <w:snapToGrid w:val="0"/>
                <w:sz w:val="20"/>
                <w:szCs w:val="20"/>
              </w:rPr>
              <w:t>万元罚款；货值金额</w:t>
            </w:r>
            <w:r>
              <w:rPr>
                <w:rStyle w:val="10"/>
                <w:rFonts w:hint="eastAsia" w:ascii="方正仿宋_GBK" w:hAnsi="方正仿宋_GBK" w:eastAsia="方正仿宋_GBK" w:cs="方正仿宋_GBK"/>
                <w:snapToGrid w:val="0"/>
                <w:sz w:val="20"/>
                <w:szCs w:val="20"/>
              </w:rPr>
              <w:t>1</w:t>
            </w:r>
            <w:r>
              <w:rPr>
                <w:rStyle w:val="9"/>
                <w:rFonts w:hint="eastAsia" w:ascii="方正仿宋_GBK" w:hAnsi="方正仿宋_GBK" w:eastAsia="方正仿宋_GBK" w:cs="方正仿宋_GBK"/>
                <w:snapToGrid w:val="0"/>
                <w:sz w:val="20"/>
                <w:szCs w:val="20"/>
              </w:rPr>
              <w:t>万元以上的，并处货值金额</w:t>
            </w:r>
            <w:r>
              <w:rPr>
                <w:rStyle w:val="10"/>
                <w:rFonts w:hint="eastAsia" w:ascii="方正仿宋_GBK" w:hAnsi="方正仿宋_GBK" w:eastAsia="方正仿宋_GBK" w:cs="方正仿宋_GBK"/>
                <w:snapToGrid w:val="0"/>
                <w:sz w:val="20"/>
                <w:szCs w:val="20"/>
              </w:rPr>
              <w:t>10</w:t>
            </w:r>
            <w:r>
              <w:rPr>
                <w:rStyle w:val="9"/>
                <w:rFonts w:hint="eastAsia" w:ascii="方正仿宋_GBK" w:hAnsi="方正仿宋_GBK" w:eastAsia="方正仿宋_GBK" w:cs="方正仿宋_GBK"/>
                <w:snapToGrid w:val="0"/>
                <w:sz w:val="20"/>
                <w:szCs w:val="20"/>
              </w:rPr>
              <w:t>倍以上</w:t>
            </w:r>
            <w:r>
              <w:rPr>
                <w:rStyle w:val="10"/>
                <w:rFonts w:hint="eastAsia" w:ascii="方正仿宋_GBK" w:hAnsi="方正仿宋_GBK" w:eastAsia="方正仿宋_GBK" w:cs="方正仿宋_GBK"/>
                <w:snapToGrid w:val="0"/>
                <w:sz w:val="20"/>
                <w:szCs w:val="20"/>
              </w:rPr>
              <w:t>20</w:t>
            </w:r>
            <w:r>
              <w:rPr>
                <w:rStyle w:val="9"/>
                <w:rFonts w:hint="eastAsia" w:ascii="方正仿宋_GBK" w:hAnsi="方正仿宋_GBK" w:eastAsia="方正仿宋_GBK" w:cs="方正仿宋_GBK"/>
                <w:snapToGrid w:val="0"/>
                <w:sz w:val="20"/>
                <w:szCs w:val="20"/>
              </w:rPr>
              <w:t>倍以下的罚款；造成严重后果的，由原发证部门吊销许可证照；构成非法经营罪或者生产、销售伪劣商品罪等犯罪的，依法追究刑事责任。</w:t>
            </w:r>
          </w:p>
          <w:p>
            <w:pPr>
              <w:widowControl/>
              <w:snapToGrid w:val="0"/>
              <w:spacing w:line="0" w:lineRule="atLeas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　第三款　</w:t>
            </w:r>
            <w:r>
              <w:rPr>
                <w:rStyle w:val="9"/>
                <w:rFonts w:hint="eastAsia" w:ascii="方正仿宋_GBK" w:hAnsi="方正仿宋_GBK" w:eastAsia="方正仿宋_GBK" w:cs="方正仿宋_GBK"/>
                <w:snapToGrid w:val="0"/>
                <w:sz w:val="20"/>
                <w:szCs w:val="20"/>
              </w:rPr>
              <w:t>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widowControl/>
              <w:adjustRightInd w:val="0"/>
              <w:snapToGrid w:val="0"/>
              <w:spacing w:line="0" w:lineRule="atLeast"/>
              <w:textAlignment w:val="center"/>
              <w:rPr>
                <w:rStyle w:val="8"/>
                <w:rFonts w:ascii="方正仿宋_GBK" w:hAnsi="方正仿宋_GBK" w:eastAsia="方正仿宋_GBK" w:cs="方正仿宋_GBK"/>
                <w:sz w:val="20"/>
                <w:szCs w:val="20"/>
              </w:rPr>
            </w:pPr>
            <w:r>
              <w:rPr>
                <w:rFonts w:hint="eastAsia" w:ascii="方正仿宋_GBK" w:hAnsi="方正仿宋_GBK" w:eastAsia="方正仿宋_GBK" w:cs="方正仿宋_GBK"/>
                <w:snapToGrid w:val="0"/>
                <w:color w:val="000000"/>
                <w:kern w:val="0"/>
                <w:sz w:val="20"/>
                <w:szCs w:val="20"/>
              </w:rPr>
              <w:t>　　</w:t>
            </w:r>
            <w:r>
              <w:rPr>
                <w:rFonts w:hint="eastAsia" w:ascii="方正仿宋_GBK" w:hAnsi="方正仿宋_GBK" w:eastAsia="方正仿宋_GBK" w:cs="方正仿宋_GBK"/>
                <w:b/>
                <w:snapToGrid w:val="0"/>
                <w:color w:val="000000"/>
                <w:kern w:val="0"/>
                <w:sz w:val="20"/>
                <w:szCs w:val="20"/>
              </w:rPr>
              <w:t>第四款</w:t>
            </w:r>
            <w:r>
              <w:rPr>
                <w:rStyle w:val="9"/>
                <w:rFonts w:hint="eastAsia" w:ascii="方正仿宋_GBK" w:hAnsi="方正仿宋_GBK" w:eastAsia="方正仿宋_GBK" w:cs="方正仿宋_GBK"/>
                <w:snapToGrid w:val="0"/>
                <w:sz w:val="20"/>
                <w:szCs w:val="20"/>
              </w:rPr>
              <w:t>　依法应当取得许可证照而未取得许可证照从事生产经营活动的，由农业、卫生、质检、商务、工商、药品等监督管理部门依据各自职责，没收违法所得、产品和用于违法生产的工具、设备、原材料等物品，货值金额不足</w:t>
            </w:r>
            <w:r>
              <w:rPr>
                <w:rStyle w:val="10"/>
                <w:rFonts w:hint="eastAsia" w:ascii="方正仿宋_GBK" w:hAnsi="方正仿宋_GBK" w:eastAsia="方正仿宋_GBK" w:cs="方正仿宋_GBK"/>
                <w:snapToGrid w:val="0"/>
                <w:sz w:val="20"/>
                <w:szCs w:val="20"/>
              </w:rPr>
              <w:t>1</w:t>
            </w:r>
            <w:r>
              <w:rPr>
                <w:rStyle w:val="9"/>
                <w:rFonts w:hint="eastAsia" w:ascii="方正仿宋_GBK" w:hAnsi="方正仿宋_GBK" w:eastAsia="方正仿宋_GBK" w:cs="方正仿宋_GBK"/>
                <w:snapToGrid w:val="0"/>
                <w:sz w:val="20"/>
                <w:szCs w:val="20"/>
              </w:rPr>
              <w:t>万元的，并处</w:t>
            </w:r>
            <w:r>
              <w:rPr>
                <w:rStyle w:val="10"/>
                <w:rFonts w:hint="eastAsia" w:ascii="方正仿宋_GBK" w:hAnsi="方正仿宋_GBK" w:eastAsia="方正仿宋_GBK" w:cs="方正仿宋_GBK"/>
                <w:snapToGrid w:val="0"/>
                <w:sz w:val="20"/>
                <w:szCs w:val="20"/>
              </w:rPr>
              <w:t>10</w:t>
            </w:r>
            <w:r>
              <w:rPr>
                <w:rStyle w:val="9"/>
                <w:rFonts w:hint="eastAsia" w:ascii="方正仿宋_GBK" w:hAnsi="方正仿宋_GBK" w:eastAsia="方正仿宋_GBK" w:cs="方正仿宋_GBK"/>
                <w:snapToGrid w:val="0"/>
                <w:sz w:val="20"/>
                <w:szCs w:val="20"/>
              </w:rPr>
              <w:t>万元罚款；货值金额</w:t>
            </w:r>
            <w:r>
              <w:rPr>
                <w:rStyle w:val="10"/>
                <w:rFonts w:hint="eastAsia" w:ascii="方正仿宋_GBK" w:hAnsi="方正仿宋_GBK" w:eastAsia="方正仿宋_GBK" w:cs="方正仿宋_GBK"/>
                <w:snapToGrid w:val="0"/>
                <w:sz w:val="20"/>
                <w:szCs w:val="20"/>
              </w:rPr>
              <w:t>1</w:t>
            </w:r>
            <w:r>
              <w:rPr>
                <w:rStyle w:val="9"/>
                <w:rFonts w:hint="eastAsia" w:ascii="方正仿宋_GBK" w:hAnsi="方正仿宋_GBK" w:eastAsia="方正仿宋_GBK" w:cs="方正仿宋_GBK"/>
                <w:snapToGrid w:val="0"/>
                <w:sz w:val="20"/>
                <w:szCs w:val="20"/>
              </w:rPr>
              <w:t>万元以上的，并处货值金额</w:t>
            </w:r>
            <w:r>
              <w:rPr>
                <w:rStyle w:val="10"/>
                <w:rFonts w:hint="eastAsia" w:ascii="方正仿宋_GBK" w:hAnsi="方正仿宋_GBK" w:eastAsia="方正仿宋_GBK" w:cs="方正仿宋_GBK"/>
                <w:snapToGrid w:val="0"/>
                <w:sz w:val="20"/>
                <w:szCs w:val="20"/>
              </w:rPr>
              <w:t>10</w:t>
            </w:r>
            <w:r>
              <w:rPr>
                <w:rStyle w:val="9"/>
                <w:rFonts w:hint="eastAsia" w:ascii="方正仿宋_GBK" w:hAnsi="方正仿宋_GBK" w:eastAsia="方正仿宋_GBK" w:cs="方正仿宋_GBK"/>
                <w:snapToGrid w:val="0"/>
                <w:sz w:val="20"/>
                <w:szCs w:val="20"/>
              </w:rPr>
              <w:t>倍以上</w:t>
            </w:r>
            <w:r>
              <w:rPr>
                <w:rStyle w:val="10"/>
                <w:rFonts w:hint="eastAsia" w:ascii="方正仿宋_GBK" w:hAnsi="方正仿宋_GBK" w:eastAsia="方正仿宋_GBK" w:cs="方正仿宋_GBK"/>
                <w:snapToGrid w:val="0"/>
                <w:sz w:val="20"/>
                <w:szCs w:val="20"/>
              </w:rPr>
              <w:t>20</w:t>
            </w:r>
            <w:r>
              <w:rPr>
                <w:rStyle w:val="9"/>
                <w:rFonts w:hint="eastAsia" w:ascii="方正仿宋_GBK" w:hAnsi="方正仿宋_GBK" w:eastAsia="方正仿宋_GBK" w:cs="方正仿宋_GBK"/>
                <w:snapToGrid w:val="0"/>
                <w:sz w:val="20"/>
                <w:szCs w:val="20"/>
              </w:rPr>
              <w:t>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00" w:firstLineChars="200"/>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0"/>
                <w:szCs w:val="20"/>
              </w:rPr>
              <w:t>。</w:t>
            </w:r>
          </w:p>
          <w:p>
            <w:pPr>
              <w:snapToGrid w:val="0"/>
              <w:ind w:firstLine="400" w:firstLineChars="200"/>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（2）审查责任：</w:t>
            </w:r>
            <w:r>
              <w:rPr>
                <w:rStyle w:val="8"/>
                <w:rFonts w:hint="eastAsia" w:ascii="Times New Roman" w:hAnsi="Times New Roman" w:eastAsia="方正仿宋_GBK"/>
                <w:sz w:val="20"/>
                <w:szCs w:val="20"/>
              </w:rPr>
              <w:t>依法</w:t>
            </w:r>
            <w:r>
              <w:rPr>
                <w:rStyle w:val="8"/>
                <w:rFonts w:ascii="Times New Roman" w:hAnsi="Times New Roman" w:eastAsia="方正仿宋_GBK"/>
                <w:sz w:val="20"/>
                <w:szCs w:val="20"/>
              </w:rPr>
              <w:t>对书面材料进行审查，</w:t>
            </w:r>
            <w:r>
              <w:rPr>
                <w:rFonts w:ascii="Times New Roman" w:hAnsi="Times New Roman" w:eastAsia="方正仿宋_GBK"/>
                <w:color w:val="000000"/>
                <w:kern w:val="0"/>
                <w:sz w:val="20"/>
                <w:szCs w:val="20"/>
              </w:rPr>
              <w:t>对申请材料齐全、符合法定形式的，提出初审意见。</w:t>
            </w:r>
          </w:p>
          <w:p>
            <w:pPr>
              <w:snapToGrid w:val="0"/>
              <w:ind w:firstLine="400" w:firstLineChars="200"/>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（3）决定责任：做出</w:t>
            </w:r>
            <w:r>
              <w:rPr>
                <w:rFonts w:hint="eastAsia" w:ascii="Times New Roman" w:hAnsi="Times New Roman" w:eastAsia="方正仿宋_GBK"/>
                <w:color w:val="000000"/>
                <w:kern w:val="0"/>
                <w:sz w:val="20"/>
                <w:szCs w:val="20"/>
              </w:rPr>
              <w:t>是否准予的</w:t>
            </w:r>
            <w:r>
              <w:rPr>
                <w:rFonts w:ascii="Times New Roman" w:hAnsi="Times New Roman" w:eastAsia="方正仿宋_GBK"/>
                <w:color w:val="000000"/>
                <w:kern w:val="0"/>
                <w:sz w:val="20"/>
                <w:szCs w:val="20"/>
              </w:rPr>
              <w:t>决定，并依法送达</w:t>
            </w:r>
            <w:r>
              <w:rPr>
                <w:rStyle w:val="8"/>
                <w:rFonts w:ascii="Times New Roman" w:hAnsi="Times New Roman" w:eastAsia="方正仿宋_GBK"/>
                <w:sz w:val="20"/>
                <w:szCs w:val="20"/>
              </w:rPr>
              <w:t>（不予许可的应当书面告知理由）</w:t>
            </w:r>
            <w:r>
              <w:rPr>
                <w:rStyle w:val="8"/>
                <w:rFonts w:hint="eastAsia" w:ascii="Times New Roman" w:hAnsi="Times New Roman" w:eastAsia="方正仿宋_GBK"/>
                <w:sz w:val="20"/>
                <w:szCs w:val="20"/>
              </w:rPr>
              <w:t>。</w:t>
            </w:r>
          </w:p>
          <w:p>
            <w:pPr>
              <w:snapToGrid w:val="0"/>
              <w:ind w:firstLine="400" w:firstLineChars="200"/>
              <w:rPr>
                <w:rFonts w:ascii="Times New Roman" w:hAnsi="Times New Roman" w:eastAsia="方正仿宋_GBK"/>
                <w:color w:val="000000"/>
                <w:kern w:val="0"/>
                <w:sz w:val="20"/>
                <w:szCs w:val="20"/>
              </w:rPr>
            </w:pPr>
            <w:r>
              <w:rPr>
                <w:rFonts w:ascii="Times New Roman" w:hAnsi="Times New Roman" w:eastAsia="方正仿宋_GBK"/>
                <w:color w:val="000000"/>
                <w:kern w:val="0"/>
                <w:sz w:val="20"/>
                <w:szCs w:val="20"/>
              </w:rPr>
              <w:t>（4）事后监督责任：督促其按时复学，并完成相关手续。</w:t>
            </w:r>
          </w:p>
          <w:p>
            <w:pPr>
              <w:snapToGrid w:val="0"/>
              <w:ind w:firstLine="400" w:firstLineChars="200"/>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（5）其他责任：法律法规规章</w:t>
            </w:r>
            <w:r>
              <w:rPr>
                <w:rFonts w:hint="eastAsia" w:ascii="Times New Roman" w:hAnsi="Times New Roman" w:eastAsia="方正仿宋_GBK"/>
                <w:color w:val="000000"/>
                <w:kern w:val="0"/>
                <w:sz w:val="20"/>
                <w:szCs w:val="20"/>
              </w:rPr>
              <w:t>文件</w:t>
            </w:r>
            <w:r>
              <w:rPr>
                <w:rFonts w:ascii="Times New Roman" w:hAnsi="Times New Roman" w:eastAsia="方正仿宋_GBK"/>
                <w:color w:val="000000"/>
                <w:kern w:val="0"/>
                <w:sz w:val="20"/>
                <w:szCs w:val="20"/>
              </w:rPr>
              <w:t>规定应履行的</w:t>
            </w:r>
            <w:r>
              <w:rPr>
                <w:rFonts w:hint="eastAsia" w:ascii="Times New Roman" w:hAnsi="Times New Roman" w:eastAsia="方正仿宋_GBK"/>
                <w:color w:val="000000"/>
                <w:kern w:val="0"/>
                <w:sz w:val="20"/>
                <w:szCs w:val="20"/>
              </w:rPr>
              <w:t>其他</w:t>
            </w:r>
            <w:r>
              <w:rPr>
                <w:rFonts w:ascii="Times New Roman" w:hAnsi="Times New Roman" w:eastAsia="方正仿宋_GBK"/>
                <w:color w:val="000000"/>
                <w:kern w:val="0"/>
                <w:sz w:val="20"/>
                <w:szCs w:val="20"/>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《四川省〈中华人民共和国农产品质量安全法〉实施办法》第二十四条第一款</w:t>
            </w:r>
            <w:r>
              <w:rPr>
                <w:rStyle w:val="9"/>
                <w:rFonts w:ascii="Times New Roman" w:hAnsi="Times New Roman" w:cs="Times New Roman"/>
                <w:snapToGrid w:val="0"/>
              </w:rPr>
              <w:t>　农产品的运载工具、垫料、包装物、容器等应当符合国家规定的卫生、植物检疫和动物防疫条件，不得将农产品与有毒有害物品混装运输。</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　第四十五条</w:t>
            </w:r>
            <w:r>
              <w:rPr>
                <w:rStyle w:val="9"/>
                <w:rFonts w:ascii="Times New Roman" w:hAnsi="Times New Roman" w:cs="Times New Roman"/>
                <w:snapToGrid w:val="0"/>
              </w:rPr>
              <w:t>　违反本办法第二十四条第一款规定的，由县级以上地方人民政府农业行政主管部门或者其他有关部门责令改正，监督其对被污染的农产品进行无害化处理；对不能进行无害化处理的，予以监督销毁，并处</w:t>
            </w:r>
            <w:r>
              <w:rPr>
                <w:rStyle w:val="10"/>
                <w:rFonts w:eastAsia="方正仿宋简体"/>
                <w:snapToGrid w:val="0"/>
              </w:rPr>
              <w:t>5000</w:t>
            </w:r>
            <w:r>
              <w:rPr>
                <w:rStyle w:val="9"/>
                <w:rFonts w:ascii="Times New Roman" w:hAnsi="Times New Roman" w:cs="Times New Roman"/>
                <w:snapToGrid w:val="0"/>
              </w:rPr>
              <w:t>元以上</w:t>
            </w:r>
            <w:r>
              <w:rPr>
                <w:rStyle w:val="10"/>
                <w:rFonts w:eastAsia="方正仿宋简体"/>
                <w:snapToGrid w:val="0"/>
              </w:rPr>
              <w:t>2</w:t>
            </w:r>
            <w:r>
              <w:rPr>
                <w:rStyle w:val="9"/>
                <w:rFonts w:ascii="Times New Roman" w:hAnsi="Times New Roman" w:cs="Times New Roman"/>
                <w:snapToGrid w:val="0"/>
              </w:rPr>
              <w:t>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　《农业机械安全监督管理条例》第五十条</w:t>
            </w:r>
            <w:r>
              <w:rPr>
                <w:rStyle w:val="9"/>
                <w:rFonts w:hint="eastAsia" w:ascii="方正仿宋_GBK" w:hAnsi="方正仿宋_GBK" w:eastAsia="方正仿宋_GBK" w:cs="方正仿宋_GBK"/>
                <w:snapToGrid w:val="0"/>
              </w:rPr>
              <w:t>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w:t>
            </w:r>
            <w:r>
              <w:rPr>
                <w:rStyle w:val="10"/>
                <w:rFonts w:hint="eastAsia" w:ascii="方正仿宋_GBK" w:hAnsi="方正仿宋_GBK" w:eastAsia="方正仿宋_GBK" w:cs="方正仿宋_GBK"/>
                <w:snapToGrid w:val="0"/>
              </w:rPr>
              <w:t>200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元以下罚款。当事人补办相关手续的，应当及时退还扣押的拖拉机、联合收割机。</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《农业机械安全监督管理条例》第五十二条</w:t>
            </w:r>
            <w:r>
              <w:rPr>
                <w:rStyle w:val="9"/>
                <w:rFonts w:ascii="Times New Roman" w:hAnsi="Times New Roman" w:cs="Times New Roman"/>
                <w:snapToGrid w:val="0"/>
              </w:rPr>
              <w:t>　未取得拖拉机、联合收割机操作证件而操作拖拉机、联合收割机的，由县级以上地方人民政府农业机械化主管部门责令改正，处</w:t>
            </w:r>
            <w:r>
              <w:rPr>
                <w:rStyle w:val="10"/>
                <w:rFonts w:eastAsia="方正仿宋简体"/>
                <w:snapToGrid w:val="0"/>
              </w:rPr>
              <w:t>100</w:t>
            </w:r>
            <w:r>
              <w:rPr>
                <w:rStyle w:val="9"/>
                <w:rFonts w:ascii="Times New Roman" w:hAnsi="Times New Roman" w:cs="Times New Roman"/>
                <w:snapToGrid w:val="0"/>
              </w:rPr>
              <w:t>元以上</w:t>
            </w:r>
            <w:r>
              <w:rPr>
                <w:rStyle w:val="10"/>
                <w:rFonts w:eastAsia="方正仿宋简体"/>
                <w:snapToGrid w:val="0"/>
              </w:rPr>
              <w:t>500</w:t>
            </w:r>
            <w:r>
              <w:rPr>
                <w:rStyle w:val="9"/>
                <w:rFonts w:ascii="Times New Roman" w:hAnsi="Times New Roman" w:cs="Times New Roman"/>
                <w:snapToGrid w:val="0"/>
              </w:rPr>
              <w:t>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69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对未按照规定操作拖拉机、联合收割机的行政处罚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《农业机械安全监督管理条例》第五十三条</w:t>
            </w:r>
            <w:r>
              <w:rPr>
                <w:rStyle w:val="9"/>
                <w:rFonts w:ascii="Times New Roman" w:hAnsi="Times New Roman" w:cs="Times New Roman"/>
                <w:snapToGrid w:val="0"/>
              </w:rPr>
              <w:t>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w:t>
            </w:r>
            <w:r>
              <w:rPr>
                <w:rStyle w:val="10"/>
                <w:rFonts w:eastAsia="方正仿宋简体"/>
                <w:snapToGrid w:val="0"/>
              </w:rPr>
              <w:t>100</w:t>
            </w:r>
            <w:r>
              <w:rPr>
                <w:rStyle w:val="9"/>
                <w:rFonts w:ascii="Times New Roman" w:hAnsi="Times New Roman" w:cs="Times New Roman"/>
                <w:snapToGrid w:val="0"/>
              </w:rPr>
              <w:t>元以上</w:t>
            </w:r>
            <w:r>
              <w:rPr>
                <w:rStyle w:val="10"/>
                <w:rFonts w:eastAsia="方正仿宋简体"/>
                <w:snapToGrid w:val="0"/>
              </w:rPr>
              <w:t>500</w:t>
            </w:r>
            <w:r>
              <w:rPr>
                <w:rStyle w:val="9"/>
                <w:rFonts w:ascii="Times New Roman" w:hAnsi="Times New Roman" w:cs="Times New Roman"/>
                <w:snapToGrid w:val="0"/>
              </w:rPr>
              <w:t>元以下罚款；情节严重的，吊销有关人员的操作证件。</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对使用拖拉机、联合收割机违反规定载人的行政处罚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Style w:val="11"/>
                <w:rFonts w:eastAsia="方正仿宋简体"/>
                <w:snapToGrid w:val="0"/>
              </w:rPr>
              <w:t>1.</w:t>
            </w:r>
            <w:r>
              <w:rPr>
                <w:rFonts w:ascii="Times New Roman" w:hAnsi="Times New Roman" w:eastAsia="方正仿宋简体"/>
                <w:b/>
                <w:snapToGrid w:val="0"/>
                <w:color w:val="000000"/>
                <w:kern w:val="0"/>
                <w:sz w:val="22"/>
                <w:szCs w:val="22"/>
              </w:rPr>
              <w:t>《中华人民共和国农业机械化促进法》第三十一条</w:t>
            </w:r>
            <w:r>
              <w:rPr>
                <w:rStyle w:val="9"/>
                <w:rFonts w:ascii="Times New Roman" w:hAnsi="Times New Roman" w:cs="Times New Roman"/>
                <w:snapToGrid w:val="0"/>
              </w:rPr>
              <w:t>　农业机械驾驶、操作人员违反国家规定的安全操作规程，违章作业的，责令改正，依照有关法律、行政法规的规定予以处罚；构成犯罪的，依法追究刑事责任。</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Style w:val="11"/>
                <w:rFonts w:eastAsia="方正仿宋简体"/>
                <w:snapToGrid w:val="0"/>
              </w:rPr>
              <w:t>2.</w:t>
            </w:r>
            <w:r>
              <w:rPr>
                <w:rFonts w:ascii="Times New Roman" w:hAnsi="Times New Roman" w:eastAsia="方正仿宋简体"/>
                <w:b/>
                <w:snapToGrid w:val="0"/>
                <w:color w:val="000000"/>
                <w:kern w:val="0"/>
                <w:sz w:val="22"/>
                <w:szCs w:val="22"/>
              </w:rPr>
              <w:t>《农业机械安全监督管理条例》第五十四条</w:t>
            </w:r>
            <w:r>
              <w:rPr>
                <w:rStyle w:val="9"/>
                <w:rFonts w:ascii="Times New Roman" w:hAnsi="Times New Roman" w:cs="Times New Roman"/>
                <w:snapToGrid w:val="0"/>
              </w:rPr>
              <w:t>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b/>
                <w:snapToGrid w:val="0"/>
                <w:color w:val="000000"/>
                <w:kern w:val="0"/>
                <w:sz w:val="22"/>
                <w:szCs w:val="22"/>
              </w:rPr>
            </w:pPr>
            <w:r>
              <w:rPr>
                <w:rFonts w:ascii="Times New Roman" w:hAnsi="Times New Roman" w:eastAsia="方正仿宋简体"/>
                <w:b/>
                <w:snapToGrid w:val="0"/>
                <w:color w:val="000000"/>
                <w:kern w:val="0"/>
                <w:sz w:val="22"/>
                <w:szCs w:val="22"/>
              </w:rPr>
              <w:t>　　《四川省农业机械安全监督管理条例》第二十八条第一项至第三项、第六项至第八项</w:t>
            </w:r>
            <w:r>
              <w:rPr>
                <w:rStyle w:val="9"/>
                <w:rFonts w:ascii="Times New Roman" w:hAnsi="Times New Roman" w:cs="Times New Roman"/>
                <w:snapToGrid w:val="0"/>
              </w:rPr>
              <w:t>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widowControl/>
              <w:snapToGrid w:val="0"/>
              <w:spacing w:line="0" w:lineRule="atLeast"/>
              <w:textAlignment w:val="center"/>
              <w:rPr>
                <w:rFonts w:ascii="Times New Roman" w:hAnsi="Times New Roman" w:eastAsia="方正仿宋简体"/>
                <w:color w:val="00000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第二十九条第七项</w:t>
            </w:r>
            <w:r>
              <w:rPr>
                <w:rStyle w:val="9"/>
                <w:rFonts w:ascii="Times New Roman" w:hAnsi="Times New Roman" w:cs="Times New Roman"/>
                <w:snapToGrid w:val="0"/>
              </w:rPr>
              <w:t>　操作拖拉机、联合收割机应当严格执行有关安全操作规程，不得有下列行为：（七）操作拼装或者报废的拖拉机、联合收割机。</w:t>
            </w:r>
          </w:p>
          <w:p>
            <w:pPr>
              <w:widowControl/>
              <w:adjustRightInd w:val="0"/>
              <w:snapToGrid w:val="0"/>
              <w:spacing w:line="0" w:lineRule="atLeast"/>
              <w:textAlignment w:val="center"/>
              <w:rPr>
                <w:rStyle w:val="8"/>
                <w:rFonts w:ascii="方正仿宋_GBK" w:hAnsi="方正仿宋_GBK" w:eastAsia="方正仿宋_GBK" w:cs="方正仿宋_GBK"/>
                <w:sz w:val="20"/>
                <w:szCs w:val="20"/>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第四十五条</w:t>
            </w:r>
            <w:r>
              <w:rPr>
                <w:rStyle w:val="9"/>
                <w:rFonts w:ascii="Times New Roman" w:hAnsi="Times New Roman" w:cs="Times New Roman"/>
                <w:snapToGrid w:val="0"/>
              </w:rPr>
              <w:t>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《四川省农村机电提灌管理条例》第三十八条</w:t>
            </w:r>
            <w:r>
              <w:rPr>
                <w:rStyle w:val="9"/>
                <w:rFonts w:ascii="Times New Roman" w:hAnsi="Times New Roman" w:cs="Times New Roman"/>
                <w:snapToGrid w:val="0"/>
              </w:rPr>
              <w:t>　违反本条例的规定，有下列行为之一的，由县级以上人民政府农业机械主管部门责令停止或者纠正；拒不停止或者纠正的，可并处</w:t>
            </w:r>
            <w:r>
              <w:rPr>
                <w:rStyle w:val="10"/>
                <w:rFonts w:eastAsia="方正仿宋简体"/>
                <w:snapToGrid w:val="0"/>
              </w:rPr>
              <w:t>2000</w:t>
            </w:r>
            <w:r>
              <w:rPr>
                <w:rStyle w:val="9"/>
                <w:rFonts w:ascii="Times New Roman" w:hAnsi="Times New Roman" w:cs="Times New Roman"/>
                <w:snapToGrid w:val="0"/>
              </w:rPr>
              <w:t>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对养殖者违规使用饲料和添加物质的行政处罚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snapToGrid w:val="0"/>
              <w:ind w:firstLine="440" w:firstLineChars="200"/>
              <w:rPr>
                <w:rStyle w:val="8"/>
                <w:rFonts w:ascii="方正仿宋_GBK" w:hAnsi="方正仿宋_GBK" w:eastAsia="方正仿宋_GBK" w:cs="方正仿宋_GBK"/>
                <w:sz w:val="20"/>
                <w:szCs w:val="20"/>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《饲料和饲料添加剂管理条例》第四十七条第一款</w:t>
            </w:r>
            <w:r>
              <w:rPr>
                <w:rStyle w:val="9"/>
                <w:rFonts w:hint="eastAsia" w:ascii="方正仿宋_GBK" w:hAnsi="方正仿宋_GBK" w:eastAsia="方正仿宋_GBK" w:cs="方正仿宋_GBK"/>
                <w:snapToGrid w:val="0"/>
              </w:rPr>
              <w:t>　养殖者有下列行为之一的，由县级人民政府饲料管理部门没收违法使用的产品和非法添加物质，对单位处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万元以下罚款，对个人处</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《四川省〈中华人民共和国渔业法〉实施办法》第七条</w:t>
            </w:r>
            <w:r>
              <w:rPr>
                <w:rStyle w:val="9"/>
                <w:rFonts w:hint="eastAsia" w:ascii="方正仿宋_GBK" w:hAnsi="方正仿宋_GBK" w:eastAsia="方正仿宋_GBK" w:cs="方正仿宋_GBK"/>
                <w:snapToGrid w:val="0"/>
              </w:rPr>
              <w:t>　禁止在生活饮用水地表水源一级保护区和县级以上人民政府确定的不能从事养殖活动的水域从事养殖业。</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　第三十一条</w:t>
            </w:r>
            <w:r>
              <w:rPr>
                <w:rStyle w:val="9"/>
                <w:rFonts w:hint="eastAsia" w:ascii="方正仿宋_GBK" w:hAnsi="方正仿宋_GBK" w:eastAsia="方正仿宋_GBK" w:cs="方正仿宋_GBK"/>
                <w:snapToGrid w:val="0"/>
              </w:rPr>
              <w:t>　违反本办法第七条规定，在县级以上人民政府确定的不能从事养殖活动的水域从事养殖业的，责令停止养殖生产，限期拆除养殖设施，没收渔获物和违法所得，可并处</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《四川省〈中华人民共和国渔业法〉实施办法》第二十六条第三款</w:t>
            </w:r>
            <w:r>
              <w:rPr>
                <w:rStyle w:val="9"/>
                <w:rFonts w:hint="eastAsia" w:ascii="方正仿宋_GBK" w:hAnsi="方正仿宋_GBK" w:eastAsia="方正仿宋_GBK" w:cs="方正仿宋_GBK"/>
                <w:snapToGrid w:val="0"/>
              </w:rPr>
              <w:t>　在禁渔期和禁渔区内，禁止捕捞作业、游钓和水禽放养，禁止扎巢取卵、挖沙采石，禁止销售、收购在禁渔期和禁渔区内捕捞的渔获物。</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　第三十五条</w:t>
            </w:r>
            <w:r>
              <w:rPr>
                <w:rStyle w:val="9"/>
                <w:rFonts w:hint="eastAsia" w:ascii="方正仿宋_GBK" w:hAnsi="方正仿宋_GBK" w:eastAsia="方正仿宋_GBK" w:cs="方正仿宋_GBK"/>
                <w:snapToGrid w:val="0"/>
              </w:rPr>
              <w:t>　违反本办法第二十六条第三款规定的，按以下规定处罚：（一）在禁渔期和禁渔区内从事游钓和水禽放养及扎巢取卵、挖沙采石的，给予警告，责令改正；拒不改正的，可并处</w:t>
            </w:r>
            <w:r>
              <w:rPr>
                <w:rStyle w:val="10"/>
                <w:rFonts w:hint="eastAsia" w:ascii="方正仿宋_GBK" w:hAnsi="方正仿宋_GBK" w:eastAsia="方正仿宋_GBK" w:cs="方正仿宋_GBK"/>
                <w:snapToGrid w:val="0"/>
              </w:rPr>
              <w:t>100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元以下罚款；（二）销售、收购在禁渔区、禁渔期内捕捞的渔获物的，没收非法渔获物和违法所得，可并处相当于实物价值</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至</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倍的罚款。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对未经定点从事生猪屠宰活动，冒用、使用伪造、出借、转让生猪定点屠宰证书或者生猪定点屠宰标志牌的行政处罚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《生猪屠宰管理条例》第三十一条</w:t>
            </w:r>
            <w:r>
              <w:rPr>
                <w:rStyle w:val="9"/>
                <w:rFonts w:ascii="Times New Roman" w:hAnsi="Times New Roman" w:cs="Times New Roman"/>
                <w:snapToGrid w:val="0"/>
              </w:rPr>
              <w:t>　违反本条例规定，未经定点从事生猪屠宰活动的，由农业农村主管部门责令关闭，没收生猪、生猪产品、屠宰工具和设备以及违法所得；货值金额不足</w:t>
            </w:r>
            <w:r>
              <w:rPr>
                <w:rStyle w:val="10"/>
                <w:rFonts w:eastAsia="方正仿宋简体"/>
                <w:snapToGrid w:val="0"/>
              </w:rPr>
              <w:t>1</w:t>
            </w:r>
            <w:r>
              <w:rPr>
                <w:rStyle w:val="9"/>
                <w:rFonts w:ascii="Times New Roman" w:hAnsi="Times New Roman" w:cs="Times New Roman"/>
                <w:snapToGrid w:val="0"/>
              </w:rPr>
              <w:t>万元的，并处</w:t>
            </w:r>
            <w:r>
              <w:rPr>
                <w:rStyle w:val="10"/>
                <w:rFonts w:eastAsia="方正仿宋简体"/>
                <w:snapToGrid w:val="0"/>
              </w:rPr>
              <w:t>5</w:t>
            </w:r>
            <w:r>
              <w:rPr>
                <w:rStyle w:val="9"/>
                <w:rFonts w:ascii="Times New Roman" w:hAnsi="Times New Roman" w:cs="Times New Roman"/>
                <w:snapToGrid w:val="0"/>
              </w:rPr>
              <w:t>万元以上</w:t>
            </w:r>
            <w:r>
              <w:rPr>
                <w:rStyle w:val="10"/>
                <w:rFonts w:eastAsia="方正仿宋简体"/>
                <w:snapToGrid w:val="0"/>
              </w:rPr>
              <w:t>10</w:t>
            </w:r>
            <w:r>
              <w:rPr>
                <w:rStyle w:val="9"/>
                <w:rFonts w:ascii="Times New Roman" w:hAnsi="Times New Roman" w:cs="Times New Roman"/>
                <w:snapToGrid w:val="0"/>
              </w:rPr>
              <w:t>万元以下的罚款；货值金额</w:t>
            </w:r>
            <w:r>
              <w:rPr>
                <w:rStyle w:val="10"/>
                <w:rFonts w:eastAsia="方正仿宋简体"/>
                <w:snapToGrid w:val="0"/>
              </w:rPr>
              <w:t>1</w:t>
            </w:r>
            <w:r>
              <w:rPr>
                <w:rStyle w:val="9"/>
                <w:rFonts w:ascii="Times New Roman" w:hAnsi="Times New Roman" w:cs="Times New Roman"/>
                <w:snapToGrid w:val="0"/>
              </w:rPr>
              <w:t>万元以上的，并处货值金额</w:t>
            </w:r>
            <w:r>
              <w:rPr>
                <w:rStyle w:val="10"/>
                <w:rFonts w:eastAsia="方正仿宋简体"/>
                <w:snapToGrid w:val="0"/>
              </w:rPr>
              <w:t>10</w:t>
            </w:r>
            <w:r>
              <w:rPr>
                <w:rStyle w:val="9"/>
                <w:rFonts w:ascii="Times New Roman" w:hAnsi="Times New Roman" w:cs="Times New Roman"/>
                <w:snapToGrid w:val="0"/>
              </w:rPr>
              <w:t>倍以上</w:t>
            </w:r>
            <w:r>
              <w:rPr>
                <w:rStyle w:val="10"/>
                <w:rFonts w:eastAsia="方正仿宋简体"/>
                <w:snapToGrid w:val="0"/>
              </w:rPr>
              <w:t>20</w:t>
            </w:r>
            <w:r>
              <w:rPr>
                <w:rStyle w:val="9"/>
                <w:rFonts w:ascii="Times New Roman" w:hAnsi="Times New Roman" w:cs="Times New Roman"/>
                <w:snapToGrid w:val="0"/>
              </w:rPr>
              <w:t>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w:t>
            </w:r>
            <w:r>
              <w:rPr>
                <w:rStyle w:val="10"/>
                <w:rFonts w:eastAsia="方正仿宋简体"/>
                <w:snapToGrid w:val="0"/>
              </w:rPr>
              <w:t>5</w:t>
            </w:r>
            <w:r>
              <w:rPr>
                <w:rStyle w:val="9"/>
                <w:rFonts w:ascii="Times New Roman" w:hAnsi="Times New Roman" w:cs="Times New Roman"/>
                <w:snapToGrid w:val="0"/>
              </w:rPr>
              <w:t>万元以上</w:t>
            </w:r>
            <w:r>
              <w:rPr>
                <w:rStyle w:val="10"/>
                <w:rFonts w:eastAsia="方正仿宋简体"/>
                <w:snapToGrid w:val="0"/>
              </w:rPr>
              <w:t>10</w:t>
            </w:r>
            <w:r>
              <w:rPr>
                <w:rStyle w:val="9"/>
                <w:rFonts w:ascii="Times New Roman" w:hAnsi="Times New Roman" w:cs="Times New Roman"/>
                <w:snapToGrid w:val="0"/>
              </w:rPr>
              <w:t>万元以下的罚款。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对为违法生猪屠宰相关活动提供场所的行政处罚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《生猪屠宰管理条例》第三十七条</w:t>
            </w:r>
            <w:r>
              <w:rPr>
                <w:rStyle w:val="9"/>
                <w:rFonts w:ascii="Times New Roman" w:hAnsi="Times New Roman" w:cs="Times New Roman"/>
                <w:snapToGrid w:val="0"/>
              </w:rPr>
              <w:t>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w:t>
            </w:r>
            <w:r>
              <w:rPr>
                <w:rStyle w:val="10"/>
                <w:rFonts w:eastAsia="方正仿宋简体"/>
                <w:snapToGrid w:val="0"/>
              </w:rPr>
              <w:t>5</w:t>
            </w:r>
            <w:r>
              <w:rPr>
                <w:rStyle w:val="9"/>
                <w:rFonts w:ascii="Times New Roman" w:hAnsi="Times New Roman" w:cs="Times New Roman"/>
                <w:snapToGrid w:val="0"/>
              </w:rPr>
              <w:t>万元以上</w:t>
            </w:r>
            <w:r>
              <w:rPr>
                <w:rStyle w:val="10"/>
                <w:rFonts w:eastAsia="方正仿宋简体"/>
                <w:snapToGrid w:val="0"/>
              </w:rPr>
              <w:t>10</w:t>
            </w:r>
            <w:r>
              <w:rPr>
                <w:rStyle w:val="9"/>
                <w:rFonts w:ascii="Times New Roman" w:hAnsi="Times New Roman" w:cs="Times New Roman"/>
                <w:snapToGrid w:val="0"/>
              </w:rPr>
              <w:t>万以下的罚款。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Times New Roman" w:hAnsi="Times New Roman" w:eastAsia="方正仿宋简体"/>
                <w:snapToGrid w:val="0"/>
                <w:color w:val="000000"/>
                <w:kern w:val="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　</w:t>
            </w:r>
            <w:r>
              <w:rPr>
                <w:rStyle w:val="11"/>
                <w:rFonts w:eastAsia="方正仿宋简体"/>
                <w:snapToGrid w:val="0"/>
              </w:rPr>
              <w:t>1.</w:t>
            </w:r>
            <w:r>
              <w:rPr>
                <w:rFonts w:ascii="Times New Roman" w:hAnsi="Times New Roman" w:eastAsia="方正仿宋简体"/>
                <w:b/>
                <w:snapToGrid w:val="0"/>
                <w:color w:val="000000"/>
                <w:kern w:val="0"/>
                <w:sz w:val="22"/>
                <w:szCs w:val="22"/>
              </w:rPr>
              <w:t>《农药管理条例》第五十五条第一款第一项</w:t>
            </w:r>
            <w:r>
              <w:rPr>
                <w:rStyle w:val="9"/>
                <w:rFonts w:ascii="Times New Roman" w:hAnsi="Times New Roman" w:cs="Times New Roman"/>
                <w:snapToGrid w:val="0"/>
              </w:rPr>
              <w:t>　农药经营者有下列行为之一的，由县级以上地方人民政府农业主管部门责令停止经营，没收违法所得、违法经营的农药和用于违法经营的工具、设备等，违法经营的农药货值金额不足</w:t>
            </w:r>
            <w:r>
              <w:rPr>
                <w:rStyle w:val="10"/>
                <w:rFonts w:eastAsia="方正仿宋简体"/>
                <w:snapToGrid w:val="0"/>
              </w:rPr>
              <w:t>1</w:t>
            </w:r>
            <w:r>
              <w:rPr>
                <w:rStyle w:val="9"/>
                <w:rFonts w:ascii="Times New Roman" w:hAnsi="Times New Roman" w:cs="Times New Roman"/>
                <w:snapToGrid w:val="0"/>
              </w:rPr>
              <w:t>万元的，并处</w:t>
            </w:r>
            <w:r>
              <w:rPr>
                <w:rStyle w:val="10"/>
                <w:rFonts w:eastAsia="方正仿宋简体"/>
                <w:snapToGrid w:val="0"/>
              </w:rPr>
              <w:t>5000</w:t>
            </w:r>
            <w:r>
              <w:rPr>
                <w:rStyle w:val="9"/>
                <w:rFonts w:ascii="Times New Roman" w:hAnsi="Times New Roman" w:cs="Times New Roman"/>
                <w:snapToGrid w:val="0"/>
              </w:rPr>
              <w:t>元以上</w:t>
            </w:r>
            <w:r>
              <w:rPr>
                <w:rStyle w:val="10"/>
                <w:rFonts w:eastAsia="方正仿宋简体"/>
                <w:snapToGrid w:val="0"/>
              </w:rPr>
              <w:t>5</w:t>
            </w:r>
            <w:r>
              <w:rPr>
                <w:rStyle w:val="9"/>
                <w:rFonts w:ascii="Times New Roman" w:hAnsi="Times New Roman" w:cs="Times New Roman"/>
                <w:snapToGrid w:val="0"/>
              </w:rPr>
              <w:t>万元以下罚款，货值金额</w:t>
            </w:r>
            <w:r>
              <w:rPr>
                <w:rStyle w:val="10"/>
                <w:rFonts w:eastAsia="方正仿宋简体"/>
                <w:snapToGrid w:val="0"/>
              </w:rPr>
              <w:t>1</w:t>
            </w:r>
            <w:r>
              <w:rPr>
                <w:rStyle w:val="9"/>
                <w:rFonts w:ascii="Times New Roman" w:hAnsi="Times New Roman" w:cs="Times New Roman"/>
                <w:snapToGrid w:val="0"/>
              </w:rPr>
              <w:t>万元以上的，并处货值金额</w:t>
            </w:r>
            <w:r>
              <w:rPr>
                <w:rStyle w:val="10"/>
                <w:rFonts w:eastAsia="方正仿宋简体"/>
                <w:snapToGrid w:val="0"/>
              </w:rPr>
              <w:t>5</w:t>
            </w:r>
            <w:r>
              <w:rPr>
                <w:rStyle w:val="9"/>
                <w:rFonts w:ascii="Times New Roman" w:hAnsi="Times New Roman" w:cs="Times New Roman"/>
                <w:snapToGrid w:val="0"/>
              </w:rPr>
              <w:t>倍以上</w:t>
            </w:r>
            <w:r>
              <w:rPr>
                <w:rStyle w:val="10"/>
                <w:rFonts w:eastAsia="方正仿宋简体"/>
                <w:snapToGrid w:val="0"/>
              </w:rPr>
              <w:t>10</w:t>
            </w:r>
            <w:r>
              <w:rPr>
                <w:rStyle w:val="9"/>
                <w:rFonts w:ascii="Times New Roman" w:hAnsi="Times New Roman" w:cs="Times New Roman"/>
                <w:snapToGrid w:val="0"/>
              </w:rPr>
              <w:t>倍以下罚款；构成犯罪的，依法追究刑事责任：（一）违反本条例规定，未取得农药经营许可证经营农药。</w:t>
            </w:r>
          </w:p>
          <w:p>
            <w:pPr>
              <w:widowControl/>
              <w:snapToGrid w:val="0"/>
              <w:spacing w:line="0" w:lineRule="atLeast"/>
              <w:textAlignment w:val="center"/>
              <w:rPr>
                <w:rFonts w:ascii="Times New Roman" w:hAnsi="Times New Roman" w:eastAsia="方正仿宋简体"/>
                <w:color w:val="000000"/>
                <w:sz w:val="22"/>
                <w:szCs w:val="22"/>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　</w:t>
            </w:r>
            <w:r>
              <w:rPr>
                <w:rStyle w:val="11"/>
                <w:rFonts w:eastAsia="方正仿宋简体"/>
                <w:snapToGrid w:val="0"/>
              </w:rPr>
              <w:t>2.</w:t>
            </w:r>
            <w:r>
              <w:rPr>
                <w:rFonts w:ascii="Times New Roman" w:hAnsi="Times New Roman" w:eastAsia="方正仿宋简体"/>
                <w:b/>
                <w:snapToGrid w:val="0"/>
                <w:color w:val="000000"/>
                <w:kern w:val="0"/>
                <w:sz w:val="22"/>
                <w:szCs w:val="22"/>
              </w:rPr>
              <w:t>《农药经营许可管理办法》第二十一条</w:t>
            </w:r>
            <w:r>
              <w:rPr>
                <w:rStyle w:val="9"/>
                <w:rFonts w:ascii="Times New Roman" w:hAnsi="Times New Roman" w:cs="Times New Roman"/>
                <w:snapToGrid w:val="0"/>
              </w:rPr>
              <w:t>　限制使用农药不得利用互联网经营。利用互联网经营其他农药的，应当取得农药经营许可证。超出经营范围经营限制使用农药，或者利用互联网经营限制使用农药的，按照未取得农药经营许可证处理。</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第三十条</w:t>
            </w:r>
            <w:r>
              <w:rPr>
                <w:rStyle w:val="9"/>
                <w:rFonts w:ascii="Times New Roman" w:hAnsi="Times New Roman" w:cs="Times New Roman"/>
                <w:snapToGrid w:val="0"/>
              </w:rPr>
              <w:t>　农药经营者违法从事农药经营活动的，按照《农药管理条例》的规定处罚；构成犯罪的，依法追究刑事责任。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79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对向未取得农药生产许可证的农药生产企业或者未取得农药经营许可证的其他农药经营者采购农药的行政处罚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《农药管理条例》第五十七条第二项</w:t>
            </w:r>
            <w:r>
              <w:rPr>
                <w:rStyle w:val="9"/>
                <w:rFonts w:hint="eastAsia" w:ascii="方正仿宋_GBK" w:hAnsi="方正仿宋_GBK" w:eastAsia="方正仿宋_GBK" w:cs="方正仿宋_GBK"/>
                <w:snapToGrid w:val="0"/>
              </w:rPr>
              <w:t>　农药经营者有下列行为之一的，由县级以上地方人民政府农业主管部门责令改正，没收违法所得和违法经营的农药，并处</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万元以下罚款；拒不改正或者情节严重的，由发证机关吊销农药经营许可证：（二）向未取得农药生产许可证的农药生产企业或者未取得农药经营许可证的其他农药经营者采购农药。</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对采购、销售未附具产品质量检验合格证或者包装、标签不符合规定的农药的行政处罚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《农药管理条例》第五十七条第三项</w:t>
            </w:r>
            <w:r>
              <w:rPr>
                <w:rStyle w:val="9"/>
                <w:rFonts w:ascii="Times New Roman" w:hAnsi="Times New Roman" w:cs="Times New Roman"/>
                <w:snapToGrid w:val="0"/>
              </w:rPr>
              <w:t>　农药经营者有下列行为之一的，由县级以上地方人民政府农业主管部门责令改正，没收违法所得和违法经营的农药，并处</w:t>
            </w:r>
            <w:r>
              <w:rPr>
                <w:rStyle w:val="10"/>
                <w:rFonts w:eastAsia="方正仿宋简体"/>
                <w:snapToGrid w:val="0"/>
              </w:rPr>
              <w:t>5000</w:t>
            </w:r>
            <w:r>
              <w:rPr>
                <w:rStyle w:val="9"/>
                <w:rFonts w:ascii="Times New Roman" w:hAnsi="Times New Roman" w:cs="Times New Roman"/>
                <w:snapToGrid w:val="0"/>
              </w:rPr>
              <w:t>元以上</w:t>
            </w:r>
            <w:r>
              <w:rPr>
                <w:rStyle w:val="10"/>
                <w:rFonts w:eastAsia="方正仿宋简体"/>
                <w:snapToGrid w:val="0"/>
              </w:rPr>
              <w:t>5</w:t>
            </w:r>
            <w:r>
              <w:rPr>
                <w:rStyle w:val="9"/>
                <w:rFonts w:ascii="Times New Roman" w:hAnsi="Times New Roman" w:cs="Times New Roman"/>
                <w:snapToGrid w:val="0"/>
              </w:rPr>
              <w:t>万元以下罚款；拒不改正或者情节严重的，由发证机关吊销农药经营许可证：（三）采购、销售未附具产品质量检验合格证或者包装、标签不符合规定的农药。</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对不停止销售依法应当召回的农药的行政处罚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《农药管理条例》第五十七条第四项</w:t>
            </w:r>
            <w:r>
              <w:rPr>
                <w:rStyle w:val="9"/>
                <w:rFonts w:ascii="Times New Roman" w:hAnsi="Times New Roman" w:cs="Times New Roman"/>
                <w:snapToGrid w:val="0"/>
              </w:rPr>
              <w:t>　农药经营者有下列行为之一的，由县级以上地方人民政府农业主管部门责令改正，没收违法所得和违法经营的农药，并处</w:t>
            </w:r>
            <w:r>
              <w:rPr>
                <w:rStyle w:val="10"/>
                <w:rFonts w:eastAsia="方正仿宋简体"/>
                <w:snapToGrid w:val="0"/>
              </w:rPr>
              <w:t>5000</w:t>
            </w:r>
            <w:r>
              <w:rPr>
                <w:rStyle w:val="9"/>
                <w:rFonts w:ascii="Times New Roman" w:hAnsi="Times New Roman" w:cs="Times New Roman"/>
                <w:snapToGrid w:val="0"/>
              </w:rPr>
              <w:t>元以上</w:t>
            </w:r>
            <w:r>
              <w:rPr>
                <w:rStyle w:val="10"/>
                <w:rFonts w:eastAsia="方正仿宋简体"/>
                <w:snapToGrid w:val="0"/>
              </w:rPr>
              <w:t>5</w:t>
            </w:r>
            <w:r>
              <w:rPr>
                <w:rStyle w:val="9"/>
                <w:rFonts w:ascii="Times New Roman" w:hAnsi="Times New Roman" w:cs="Times New Roman"/>
                <w:snapToGrid w:val="0"/>
              </w:rPr>
              <w:t>万元以下罚款；拒不改正或者情节严重的，由发证机关吊销农药经营许可证：（四）不停止销售依法应当召回的农药。</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对不执行农药采购台账、销售台账制度的行政处罚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《农药管理条例》第五十八条第一项</w:t>
            </w:r>
            <w:r>
              <w:rPr>
                <w:rStyle w:val="9"/>
                <w:rFonts w:ascii="Times New Roman" w:hAnsi="Times New Roman" w:cs="Times New Roman"/>
                <w:snapToGrid w:val="0"/>
              </w:rPr>
              <w:t>　农药经营者有下列行为之一的，由县级以上地方人民政府农业主管部门责令改正；拒不改正或者情节严重的，处</w:t>
            </w:r>
            <w:r>
              <w:rPr>
                <w:rStyle w:val="10"/>
                <w:rFonts w:eastAsia="方正仿宋简体"/>
                <w:snapToGrid w:val="0"/>
              </w:rPr>
              <w:t>2000</w:t>
            </w:r>
            <w:r>
              <w:rPr>
                <w:rStyle w:val="9"/>
                <w:rFonts w:ascii="Times New Roman" w:hAnsi="Times New Roman" w:cs="Times New Roman"/>
                <w:snapToGrid w:val="0"/>
              </w:rPr>
              <w:t>元以上</w:t>
            </w:r>
            <w:r>
              <w:rPr>
                <w:rStyle w:val="10"/>
                <w:rFonts w:eastAsia="方正仿宋简体"/>
                <w:snapToGrid w:val="0"/>
              </w:rPr>
              <w:t>2</w:t>
            </w:r>
            <w:r>
              <w:rPr>
                <w:rStyle w:val="9"/>
                <w:rFonts w:ascii="Times New Roman" w:hAnsi="Times New Roman" w:cs="Times New Roman"/>
                <w:snapToGrid w:val="0"/>
              </w:rPr>
              <w:t>万元以下罚款，并由发证机关吊销农药经营许可证：（一）不执行农药采购台账、销售台账制度。</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对在卫生用农药以外的农药经营场所内经营食品、食用农产品、饲料等的行政处罚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《农药管理条例》第五十八条第二项</w:t>
            </w:r>
            <w:r>
              <w:rPr>
                <w:rStyle w:val="9"/>
                <w:rFonts w:hint="eastAsia" w:ascii="方正仿宋_GBK" w:hAnsi="方正仿宋_GBK" w:eastAsia="方正仿宋_GBK" w:cs="方正仿宋_GBK"/>
                <w:snapToGrid w:val="0"/>
              </w:rPr>
              <w:t>　农药经营者有下列行为之一的，由县级以上地方人民政府农业主管部门责令改正；拒不改正或者情节严重的，处</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万元以下罚款，并由发证机关吊销农药经营许可证：（二）在卫生用农药以外的农药经营场所内经营食品、食用农产品、饲料等。</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对未将卫生用农药与其他商品分柜销售的行政处罚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《农药管理条例》第五十八条第三项</w:t>
            </w:r>
            <w:r>
              <w:rPr>
                <w:rStyle w:val="9"/>
                <w:rFonts w:hint="eastAsia" w:ascii="方正仿宋_GBK" w:hAnsi="方正仿宋_GBK" w:eastAsia="方正仿宋_GBK" w:cs="方正仿宋_GBK"/>
                <w:snapToGrid w:val="0"/>
              </w:rPr>
              <w:t>　农药经营者有下列行为之一的，由县级以上地方人民政府农业主管部门责令改正；拒不改正或者情节严重的，处</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万元以下罚款，并由发证机关吊销农药经营许可证：（三）未将卫生用农药与其他商品分柜销售。</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对不履行农药废弃物回收义务的行政处罚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　《农药管理条例》第五十八条第四项</w:t>
            </w:r>
            <w:r>
              <w:rPr>
                <w:rStyle w:val="9"/>
                <w:rFonts w:hint="eastAsia" w:ascii="方正仿宋_GBK" w:hAnsi="方正仿宋_GBK" w:eastAsia="方正仿宋_GBK" w:cs="方正仿宋_GBK"/>
                <w:snapToGrid w:val="0"/>
              </w:rPr>
              <w:t>　农药经营者有下列行为之一的，由县级以上地方人民政府农业主管部门责令改正；拒不改正或者情节严重的，处</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万元以下罚款，并由发证机关吊销农药经营许可证：（四）不履行农药废弃物回收义务。</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对农药使用者不按照农药的标签标注的使用范围、使用方法和剂量、使用技术要求和注意事项、安全间隔期使用农药的行政处罚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《农药管理条例》第六十条第一款第一项</w:t>
            </w:r>
            <w:r>
              <w:rPr>
                <w:rStyle w:val="9"/>
                <w:rFonts w:hint="eastAsia" w:ascii="方正仿宋_GBK" w:hAnsi="方正仿宋_GBK" w:eastAsia="方正仿宋_GBK" w:cs="方正仿宋_GBK"/>
                <w:snapToGrid w:val="0"/>
              </w:rPr>
              <w:t>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10</w:t>
            </w:r>
            <w:r>
              <w:rPr>
                <w:rStyle w:val="9"/>
                <w:rFonts w:hint="eastAsia" w:ascii="方正仿宋_GBK" w:hAnsi="方正仿宋_GBK" w:eastAsia="方正仿宋_GBK" w:cs="方正仿宋_GBK"/>
                <w:snapToGrid w:val="0"/>
              </w:rPr>
              <w:t>万元以下罚款，农药使用者为个人的，处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万元以下罚款；构成犯罪的，依法追究刑事责任：（一）不按照农药的标签标注的使用范围、使用方法和剂量、使用技术要求和注意事项、安全间隔期使用农药。</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对使用禁用的农药的行政处罚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4"/>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《农药管理条例》第六十条第一款第二项</w:t>
            </w:r>
            <w:r>
              <w:rPr>
                <w:rStyle w:val="9"/>
                <w:rFonts w:ascii="Times New Roman" w:hAnsi="Times New Roman" w:cs="Times New Roman"/>
                <w:snapToGrid w:val="0"/>
              </w:rPr>
              <w:t>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Style w:val="10"/>
                <w:rFonts w:eastAsia="方正仿宋简体"/>
                <w:snapToGrid w:val="0"/>
              </w:rPr>
              <w:t>5</w:t>
            </w:r>
            <w:r>
              <w:rPr>
                <w:rStyle w:val="9"/>
                <w:rFonts w:ascii="Times New Roman" w:hAnsi="Times New Roman" w:cs="Times New Roman"/>
                <w:snapToGrid w:val="0"/>
              </w:rPr>
              <w:t>万元以上</w:t>
            </w:r>
            <w:r>
              <w:rPr>
                <w:rStyle w:val="10"/>
                <w:rFonts w:eastAsia="方正仿宋简体"/>
                <w:snapToGrid w:val="0"/>
              </w:rPr>
              <w:t>10</w:t>
            </w:r>
            <w:r>
              <w:rPr>
                <w:rStyle w:val="9"/>
                <w:rFonts w:ascii="Times New Roman" w:hAnsi="Times New Roman" w:cs="Times New Roman"/>
                <w:snapToGrid w:val="0"/>
              </w:rPr>
              <w:t>万元以下罚款，农药使用者为个人的，处</w:t>
            </w:r>
            <w:r>
              <w:rPr>
                <w:rStyle w:val="10"/>
                <w:rFonts w:eastAsia="方正仿宋简体"/>
                <w:snapToGrid w:val="0"/>
              </w:rPr>
              <w:t>1</w:t>
            </w:r>
            <w:r>
              <w:rPr>
                <w:rStyle w:val="9"/>
                <w:rFonts w:ascii="Times New Roman" w:hAnsi="Times New Roman" w:cs="Times New Roman"/>
                <w:snapToGrid w:val="0"/>
              </w:rPr>
              <w:t>万元以下罚款；构成犯罪的，依法追究刑事责任：（二）使用禁用的农药。</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第二款</w:t>
            </w:r>
            <w:r>
              <w:rPr>
                <w:rStyle w:val="9"/>
                <w:rFonts w:ascii="Times New Roman" w:hAnsi="Times New Roman" w:cs="Times New Roman"/>
                <w:snapToGrid w:val="0"/>
              </w:rPr>
              <w:t>　有前款第二项规定的行为的，县级人民政府农业主管部门还应当没收禁用的农药。</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对将剧毒、高毒农药用于防治卫生害虫，用于蔬菜、瓜果、茶叶、菌类、中草药材生产或者用于水生植物的病虫害防治的行政处罚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《农药管理条例》第六十条第一款第三项</w:t>
            </w:r>
            <w:r>
              <w:rPr>
                <w:rStyle w:val="9"/>
                <w:rFonts w:ascii="Times New Roman" w:hAnsi="Times New Roman" w:cs="Times New Roman"/>
                <w:snapToGrid w:val="0"/>
              </w:rPr>
              <w:t>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Style w:val="10"/>
                <w:rFonts w:eastAsia="方正仿宋简体"/>
                <w:snapToGrid w:val="0"/>
              </w:rPr>
              <w:t>5</w:t>
            </w:r>
            <w:r>
              <w:rPr>
                <w:rStyle w:val="9"/>
                <w:rFonts w:ascii="Times New Roman" w:hAnsi="Times New Roman" w:cs="Times New Roman"/>
                <w:snapToGrid w:val="0"/>
              </w:rPr>
              <w:t>万元以上</w:t>
            </w:r>
            <w:r>
              <w:rPr>
                <w:rStyle w:val="10"/>
                <w:rFonts w:eastAsia="方正仿宋简体"/>
                <w:snapToGrid w:val="0"/>
              </w:rPr>
              <w:t>10</w:t>
            </w:r>
            <w:r>
              <w:rPr>
                <w:rStyle w:val="9"/>
                <w:rFonts w:ascii="Times New Roman" w:hAnsi="Times New Roman" w:cs="Times New Roman"/>
                <w:snapToGrid w:val="0"/>
              </w:rPr>
              <w:t>万元以下罚款，农药使用者为个人的，处</w:t>
            </w:r>
            <w:r>
              <w:rPr>
                <w:rStyle w:val="10"/>
                <w:rFonts w:eastAsia="方正仿宋简体"/>
                <w:snapToGrid w:val="0"/>
              </w:rPr>
              <w:t>1</w:t>
            </w:r>
            <w:r>
              <w:rPr>
                <w:rStyle w:val="9"/>
                <w:rFonts w:ascii="Times New Roman" w:hAnsi="Times New Roman" w:cs="Times New Roman"/>
                <w:snapToGrid w:val="0"/>
              </w:rPr>
              <w:t>万元以下罚款；构成犯罪的，依法追究刑事责任：（三）将剧毒、高毒农药用于防治卫生害虫，用于蔬菜、瓜果、茶叶、菌类、中草药材生产或者用于水生植物的病虫害防治。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89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对使用农药毒鱼、虾、鸟、兽等的行政处罚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《农药管理条例》第六十条第一款第五项</w:t>
            </w:r>
            <w:r>
              <w:rPr>
                <w:rStyle w:val="9"/>
                <w:rFonts w:ascii="Times New Roman" w:hAnsi="Times New Roman" w:cs="Times New Roman"/>
                <w:snapToGrid w:val="0"/>
              </w:rPr>
              <w:t>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Style w:val="10"/>
                <w:rFonts w:eastAsia="方正仿宋简体"/>
                <w:snapToGrid w:val="0"/>
              </w:rPr>
              <w:t>5</w:t>
            </w:r>
            <w:r>
              <w:rPr>
                <w:rStyle w:val="9"/>
                <w:rFonts w:ascii="Times New Roman" w:hAnsi="Times New Roman" w:cs="Times New Roman"/>
                <w:snapToGrid w:val="0"/>
              </w:rPr>
              <w:t>万元以上</w:t>
            </w:r>
            <w:r>
              <w:rPr>
                <w:rStyle w:val="10"/>
                <w:rFonts w:eastAsia="方正仿宋简体"/>
                <w:snapToGrid w:val="0"/>
              </w:rPr>
              <w:t>10</w:t>
            </w:r>
            <w:r>
              <w:rPr>
                <w:rStyle w:val="9"/>
                <w:rFonts w:ascii="Times New Roman" w:hAnsi="Times New Roman" w:cs="Times New Roman"/>
                <w:snapToGrid w:val="0"/>
              </w:rPr>
              <w:t>万元以下罚款，农药使用者为个人的，处</w:t>
            </w:r>
            <w:r>
              <w:rPr>
                <w:rStyle w:val="10"/>
                <w:rFonts w:eastAsia="方正仿宋简体"/>
                <w:snapToGrid w:val="0"/>
              </w:rPr>
              <w:t>1</w:t>
            </w:r>
            <w:r>
              <w:rPr>
                <w:rStyle w:val="9"/>
                <w:rFonts w:ascii="Times New Roman" w:hAnsi="Times New Roman" w:cs="Times New Roman"/>
                <w:snapToGrid w:val="0"/>
              </w:rPr>
              <w:t>万元以下罚款；构成犯罪的，依法追究刑事责任：（五）使用农药毒鱼、虾、鸟、兽等。</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《农药管理条例》第六十一条</w:t>
            </w:r>
            <w:r>
              <w:rPr>
                <w:rStyle w:val="9"/>
                <w:rFonts w:hint="eastAsia" w:ascii="方正仿宋_GBK" w:hAnsi="方正仿宋_GBK" w:eastAsia="方正仿宋_GBK" w:cs="方正仿宋_GBK"/>
                <w:snapToGrid w:val="0"/>
              </w:rPr>
              <w:t>　农产品生产企业、食品和食用农产品仓储企业、专业化病虫害防治服务组织和从事农产品生产的农民专业合作社等不执行农药使用记录制度的，由县级人民政府农业主管部门责令改正；拒不改正或者情节严重的，处</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《中华人民共和国渔业法》第三十八条第三款</w:t>
            </w:r>
            <w:r>
              <w:rPr>
                <w:rStyle w:val="9"/>
                <w:rFonts w:ascii="Times New Roman" w:hAnsi="Times New Roman" w:cs="Times New Roman"/>
                <w:snapToGrid w:val="0"/>
              </w:rPr>
              <w:t>　制造、销售禁用的渔具的，没收非法制造、销售的渔具和违法所得，并处一万元以下的罚款。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　　《中华人民共和国土地管理法》第七十八条</w:t>
            </w:r>
            <w:r>
              <w:rPr>
                <w:rStyle w:val="9"/>
                <w:rFonts w:hint="eastAsia" w:ascii="方正仿宋_GBK" w:hAnsi="方正仿宋_GBK" w:eastAsia="方正仿宋_GBK" w:cs="方正仿宋_GBK"/>
                <w:snapToGrid w:val="0"/>
              </w:rPr>
              <w:t>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对互联网上网服务营业场所接纳未成年人的行政处罚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《互联网上网服务营业场所管理条例》第三十一条第二项</w:t>
            </w:r>
            <w:r>
              <w:rPr>
                <w:rStyle w:val="9"/>
                <w:rFonts w:hint="eastAsia" w:ascii="方正仿宋_GBK" w:hAnsi="方正仿宋_GBK" w:eastAsia="方正仿宋_GBK" w:cs="方正仿宋_GBK"/>
                <w:snapToGrid w:val="0"/>
              </w:rPr>
              <w:t>　互联网上网服务营业场所经营单位违反本条例的规定，有下列行为之一的，由文化行政部门给予警告，可以并处</w:t>
            </w:r>
            <w:r>
              <w:rPr>
                <w:rStyle w:val="10"/>
                <w:rFonts w:hint="eastAsia" w:ascii="方正仿宋_GBK" w:hAnsi="方正仿宋_GBK" w:eastAsia="方正仿宋_GBK" w:cs="方正仿宋_GBK"/>
                <w:snapToGrid w:val="0"/>
              </w:rPr>
              <w:t>15000</w:t>
            </w:r>
            <w:r>
              <w:rPr>
                <w:rStyle w:val="9"/>
                <w:rFonts w:hint="eastAsia" w:ascii="方正仿宋_GBK" w:hAnsi="方正仿宋_GBK" w:eastAsia="方正仿宋_GBK" w:cs="方正仿宋_GBK"/>
                <w:snapToGrid w:val="0"/>
              </w:rPr>
              <w:t>元以下的罚款；情节严重的，责令停业整顿，直至吊销《网络文化经营许可证》：（二）接纳未成年人进入营业场所的。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对互联网上网服务营业场所未悬挂《网络文化经营许可证》或者未成年人禁入标志的行政处罚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《互联网上网服务营业场所管理条例》第三十一条第五项</w:t>
            </w:r>
            <w:r>
              <w:rPr>
                <w:rStyle w:val="9"/>
                <w:rFonts w:hint="eastAsia" w:ascii="方正仿宋_GBK" w:hAnsi="方正仿宋_GBK" w:eastAsia="方正仿宋_GBK" w:cs="方正仿宋_GBK"/>
                <w:snapToGrid w:val="0"/>
              </w:rPr>
              <w:t>　互联网上网服务营业场所经营单位违反本条例的规定，有下列行为之一的，由文化行政部门给予警告，可以并处</w:t>
            </w:r>
            <w:r>
              <w:rPr>
                <w:rStyle w:val="10"/>
                <w:rFonts w:hint="eastAsia" w:ascii="方正仿宋_GBK" w:hAnsi="方正仿宋_GBK" w:eastAsia="方正仿宋_GBK" w:cs="方正仿宋_GBK"/>
                <w:snapToGrid w:val="0"/>
              </w:rPr>
              <w:t>15000</w:t>
            </w:r>
            <w:r>
              <w:rPr>
                <w:rStyle w:val="9"/>
                <w:rFonts w:hint="eastAsia" w:ascii="方正仿宋_GBK" w:hAnsi="方正仿宋_GBK" w:eastAsia="方正仿宋_GBK" w:cs="方正仿宋_GBK"/>
                <w:snapToGrid w:val="0"/>
              </w:rPr>
              <w:t>元以下的罚款；情节严重的，责令停业整顿，直至吊销《网络文化经营许可证》：（五）未悬挂《网络文化经营许可证》或者未成年人禁入标志的。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对擅自从事营业性演出经营活动的行政处罚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textAlignment w:val="center"/>
              <w:rPr>
                <w:rFonts w:ascii="方正仿宋_GBK" w:hAnsi="方正仿宋_GBK" w:eastAsia="方正仿宋_GBK" w:cs="方正仿宋_GBK"/>
                <w:snapToGrid w:val="0"/>
                <w:color w:val="000000"/>
                <w:kern w:val="0"/>
                <w:sz w:val="22"/>
                <w:szCs w:val="22"/>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《营业性演出管理条例》第六条</w:t>
            </w:r>
            <w:r>
              <w:rPr>
                <w:rStyle w:val="13"/>
                <w:rFonts w:hint="default" w:ascii="方正仿宋_GBK" w:hAnsi="方正仿宋_GBK" w:eastAsia="方正仿宋_GBK" w:cs="方正仿宋_GBK"/>
                <w:snapToGrid w:val="0"/>
              </w:rPr>
              <w:t>　文艺表演团体申请从事营业性演出活动，应当有与其业务相适应的专职演员和器材设备，并向县级人民政府文化主管部门提出申请；演出经纪机构申请从事营业性演出经营活动，应当有</w:t>
            </w:r>
            <w:r>
              <w:rPr>
                <w:rFonts w:hint="eastAsia" w:ascii="方正仿宋_GBK" w:hAnsi="方正仿宋_GBK" w:eastAsia="方正仿宋_GBK" w:cs="方正仿宋_GBK"/>
                <w:snapToGrid w:val="0"/>
                <w:color w:val="000000"/>
                <w:kern w:val="0"/>
                <w:sz w:val="22"/>
                <w:szCs w:val="22"/>
              </w:rPr>
              <w:t>3</w:t>
            </w:r>
            <w:r>
              <w:rPr>
                <w:rStyle w:val="13"/>
                <w:rFonts w:hint="default" w:ascii="方正仿宋_GBK" w:hAnsi="方正仿宋_GBK" w:eastAsia="方正仿宋_GBK" w:cs="方正仿宋_GBK"/>
                <w:snapToGrid w:val="0"/>
              </w:rPr>
              <w:t>名以上专职演出经纪人员和与其业务相适应的资金，并向省、自治区、直辖市人民政府文化主管部门提出申请。文化主管部门应当自受理申请之日起</w:t>
            </w:r>
            <w:r>
              <w:rPr>
                <w:rFonts w:hint="eastAsia" w:ascii="方正仿宋_GBK" w:hAnsi="方正仿宋_GBK" w:eastAsia="方正仿宋_GBK" w:cs="方正仿宋_GBK"/>
                <w:snapToGrid w:val="0"/>
                <w:color w:val="000000"/>
                <w:kern w:val="0"/>
                <w:sz w:val="22"/>
                <w:szCs w:val="22"/>
              </w:rPr>
              <w:t>20</w:t>
            </w:r>
            <w:r>
              <w:rPr>
                <w:rStyle w:val="13"/>
                <w:rFonts w:hint="default" w:ascii="方正仿宋_GBK" w:hAnsi="方正仿宋_GBK" w:eastAsia="方正仿宋_GBK" w:cs="方正仿宋_GBK"/>
                <w:snapToGrid w:val="0"/>
              </w:rPr>
              <w:t>日内作出决定。批准的，颁发营业性演出许可证；不批准的，应当书面通知申请人并说明理由。</w:t>
            </w:r>
          </w:p>
          <w:p>
            <w:pPr>
              <w:widowControl/>
              <w:snapToGrid w:val="0"/>
              <w:spacing w:line="0" w:lineRule="atLeast"/>
              <w:textAlignment w:val="center"/>
              <w:rPr>
                <w:rFonts w:ascii="方正仿宋_GBK" w:hAnsi="方正仿宋_GBK" w:eastAsia="方正仿宋_GBK" w:cs="方正仿宋_GBK"/>
                <w:snapToGrid w:val="0"/>
                <w:color w:val="000000"/>
                <w:sz w:val="22"/>
                <w:szCs w:val="22"/>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第十条</w:t>
            </w:r>
            <w:r>
              <w:rPr>
                <w:rStyle w:val="13"/>
                <w:rFonts w:hint="default" w:ascii="方正仿宋_GBK" w:hAnsi="方正仿宋_GBK" w:eastAsia="方正仿宋_GBK" w:cs="方正仿宋_GBK"/>
                <w:snapToGrid w:val="0"/>
              </w:rPr>
              <w:t>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w:t>
            </w:r>
            <w:r>
              <w:rPr>
                <w:rFonts w:hint="eastAsia" w:ascii="方正仿宋_GBK" w:hAnsi="方正仿宋_GBK" w:eastAsia="方正仿宋_GBK" w:cs="方正仿宋_GBK"/>
                <w:snapToGrid w:val="0"/>
                <w:color w:val="000000"/>
                <w:kern w:val="0"/>
                <w:sz w:val="22"/>
                <w:szCs w:val="22"/>
              </w:rPr>
              <w:t>20</w:t>
            </w:r>
            <w:r>
              <w:rPr>
                <w:rStyle w:val="13"/>
                <w:rFonts w:hint="default" w:ascii="方正仿宋_GBK" w:hAnsi="方正仿宋_GBK" w:eastAsia="方正仿宋_GBK" w:cs="方正仿宋_GBK"/>
                <w:snapToGrid w:val="0"/>
              </w:rPr>
              <w:t>日内作出决定。批准的，颁发营业性演出许可证；不批准的，应当书面通知申请人并说明理由。</w:t>
            </w:r>
          </w:p>
          <w:p>
            <w:pPr>
              <w:widowControl/>
              <w:snapToGrid w:val="0"/>
              <w:spacing w:line="0" w:lineRule="atLeast"/>
              <w:ind w:firstLine="400"/>
              <w:textAlignment w:val="center"/>
              <w:rPr>
                <w:rStyle w:val="13"/>
                <w:rFonts w:hint="default"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第十一条</w:t>
            </w:r>
            <w:r>
              <w:rPr>
                <w:rStyle w:val="13"/>
                <w:rFonts w:hint="default" w:ascii="方正仿宋_GBK" w:hAnsi="方正仿宋_GBK" w:eastAsia="方正仿宋_GBK" w:cs="方正仿宋_GBK"/>
                <w:snapToGrid w:val="0"/>
              </w:rPr>
              <w:t>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w:t>
            </w:r>
            <w:r>
              <w:rPr>
                <w:rFonts w:hint="eastAsia" w:ascii="方正仿宋_GBK" w:hAnsi="方正仿宋_GBK" w:eastAsia="方正仿宋_GBK" w:cs="方正仿宋_GBK"/>
                <w:snapToGrid w:val="0"/>
                <w:color w:val="000000"/>
                <w:kern w:val="0"/>
                <w:sz w:val="22"/>
                <w:szCs w:val="22"/>
              </w:rPr>
              <w:t>20</w:t>
            </w:r>
            <w:r>
              <w:rPr>
                <w:rStyle w:val="13"/>
                <w:rFonts w:hint="default" w:ascii="方正仿宋_GBK" w:hAnsi="方正仿宋_GBK" w:eastAsia="方正仿宋_GBK" w:cs="方正仿宋_GBK"/>
                <w:snapToGrid w:val="0"/>
              </w:rPr>
              <w:t>日内作出决定。批准的，颁发营业性演出许可证；不批准的，应当书面通知申请人并说明理由。依照本条规定设立演出经纪机构、演出场所经营单位的，还应当遵守我国其他法律、法规的规定。</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第四十三条第一款第一项</w:t>
            </w:r>
            <w:r>
              <w:rPr>
                <w:rStyle w:val="13"/>
                <w:rFonts w:hint="default" w:ascii="方正仿宋_GBK" w:hAnsi="方正仿宋_GBK" w:eastAsia="方正仿宋_GBK" w:cs="方正仿宋_GBK"/>
                <w:snapToGrid w:val="0"/>
              </w:rPr>
              <w:t>　有下列行为之一的，由县级人民政府文化主管部门予以取缔，没收演出器材和违法所得，并处违法所得</w:t>
            </w:r>
            <w:r>
              <w:rPr>
                <w:rFonts w:hint="eastAsia" w:ascii="方正仿宋_GBK" w:hAnsi="方正仿宋_GBK" w:eastAsia="方正仿宋_GBK" w:cs="方正仿宋_GBK"/>
                <w:snapToGrid w:val="0"/>
                <w:color w:val="000000"/>
                <w:kern w:val="0"/>
                <w:sz w:val="22"/>
                <w:szCs w:val="22"/>
              </w:rPr>
              <w:t>8</w:t>
            </w:r>
            <w:r>
              <w:rPr>
                <w:rStyle w:val="13"/>
                <w:rFonts w:hint="default" w:ascii="方正仿宋_GBK" w:hAnsi="方正仿宋_GBK" w:eastAsia="方正仿宋_GBK" w:cs="方正仿宋_GBK"/>
                <w:snapToGrid w:val="0"/>
              </w:rPr>
              <w:t>倍以上</w:t>
            </w:r>
            <w:r>
              <w:rPr>
                <w:rFonts w:hint="eastAsia" w:ascii="方正仿宋_GBK" w:hAnsi="方正仿宋_GBK" w:eastAsia="方正仿宋_GBK" w:cs="方正仿宋_GBK"/>
                <w:snapToGrid w:val="0"/>
                <w:color w:val="000000"/>
                <w:kern w:val="0"/>
                <w:sz w:val="22"/>
                <w:szCs w:val="22"/>
              </w:rPr>
              <w:t>10</w:t>
            </w:r>
            <w:r>
              <w:rPr>
                <w:rStyle w:val="13"/>
                <w:rFonts w:hint="default" w:ascii="方正仿宋_GBK" w:hAnsi="方正仿宋_GBK" w:eastAsia="方正仿宋_GBK" w:cs="方正仿宋_GBK"/>
                <w:snapToGrid w:val="0"/>
              </w:rPr>
              <w:t>倍以下的罚款；没有违法所得或者违法所得不足</w:t>
            </w:r>
            <w:r>
              <w:rPr>
                <w:rFonts w:hint="eastAsia" w:ascii="方正仿宋_GBK" w:hAnsi="方正仿宋_GBK" w:eastAsia="方正仿宋_GBK" w:cs="方正仿宋_GBK"/>
                <w:snapToGrid w:val="0"/>
                <w:color w:val="000000"/>
                <w:kern w:val="0"/>
                <w:sz w:val="22"/>
                <w:szCs w:val="22"/>
              </w:rPr>
              <w:t>1</w:t>
            </w:r>
            <w:r>
              <w:rPr>
                <w:rStyle w:val="13"/>
                <w:rFonts w:hint="default" w:ascii="方正仿宋_GBK" w:hAnsi="方正仿宋_GBK" w:eastAsia="方正仿宋_GBK" w:cs="方正仿宋_GBK"/>
                <w:snapToGrid w:val="0"/>
              </w:rPr>
              <w:t>万元的，并处</w:t>
            </w:r>
            <w:r>
              <w:rPr>
                <w:rFonts w:hint="eastAsia" w:ascii="方正仿宋_GBK" w:hAnsi="方正仿宋_GBK" w:eastAsia="方正仿宋_GBK" w:cs="方正仿宋_GBK"/>
                <w:snapToGrid w:val="0"/>
                <w:color w:val="000000"/>
                <w:kern w:val="0"/>
                <w:sz w:val="22"/>
                <w:szCs w:val="22"/>
              </w:rPr>
              <w:t>5</w:t>
            </w:r>
            <w:r>
              <w:rPr>
                <w:rStyle w:val="13"/>
                <w:rFonts w:hint="default" w:ascii="方正仿宋_GBK" w:hAnsi="方正仿宋_GBK" w:eastAsia="方正仿宋_GBK" w:cs="方正仿宋_GBK"/>
                <w:snapToGrid w:val="0"/>
              </w:rPr>
              <w:t>万元以上</w:t>
            </w:r>
            <w:r>
              <w:rPr>
                <w:rFonts w:hint="eastAsia" w:ascii="方正仿宋_GBK" w:hAnsi="方正仿宋_GBK" w:eastAsia="方正仿宋_GBK" w:cs="方正仿宋_GBK"/>
                <w:snapToGrid w:val="0"/>
                <w:color w:val="000000"/>
                <w:kern w:val="0"/>
                <w:sz w:val="22"/>
                <w:szCs w:val="22"/>
              </w:rPr>
              <w:t>10</w:t>
            </w:r>
            <w:r>
              <w:rPr>
                <w:rStyle w:val="13"/>
                <w:rFonts w:hint="default" w:ascii="方正仿宋_GBK" w:hAnsi="方正仿宋_GBK" w:eastAsia="方正仿宋_GBK" w:cs="方正仿宋_GBK"/>
                <w:snapToGrid w:val="0"/>
              </w:rPr>
              <w:t>万元以下的罚款；构成犯罪的，依法追究刑事责任：（一）违反本条例第六条、第十条、第十一条规定，擅自从事营业性演出经营活动的。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对未经批准举办营业性演出的行政处罚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13"/>
                <w:rFonts w:hint="default" w:ascii="Times New Roman" w:hAnsi="Times New Roman" w:cs="Times New Roman"/>
                <w:snapToGrid w:val="0"/>
              </w:rPr>
            </w:pPr>
            <w:r>
              <w:rPr>
                <w:rFonts w:ascii="Times New Roman" w:hAnsi="Times New Roman" w:eastAsia="方正仿宋简体"/>
                <w:b/>
                <w:snapToGrid w:val="0"/>
                <w:color w:val="000000"/>
                <w:kern w:val="0"/>
                <w:sz w:val="22"/>
                <w:szCs w:val="22"/>
              </w:rPr>
              <w:t>《营业性演出管理条例》第十三条</w:t>
            </w:r>
            <w:r>
              <w:rPr>
                <w:rStyle w:val="13"/>
                <w:rFonts w:hint="default" w:ascii="Times New Roman" w:hAnsi="Times New Roman" w:cs="Times New Roman"/>
                <w:snapToGrid w:val="0"/>
              </w:rPr>
              <w:t>　举办营业性演出，应当向演出所在地县级人民政府文化主管部门提出申请。县级人民政府文化主管部门应当自受理申请之日起</w:t>
            </w:r>
            <w:r>
              <w:rPr>
                <w:rFonts w:ascii="Times New Roman" w:hAnsi="Times New Roman" w:eastAsia="方正仿宋简体"/>
                <w:snapToGrid w:val="0"/>
                <w:color w:val="000000"/>
                <w:kern w:val="0"/>
                <w:sz w:val="22"/>
                <w:szCs w:val="22"/>
              </w:rPr>
              <w:t>3</w:t>
            </w:r>
            <w:r>
              <w:rPr>
                <w:rStyle w:val="13"/>
                <w:rFonts w:hint="default" w:ascii="Times New Roman" w:hAnsi="Times New Roman" w:cs="Times New Roman"/>
                <w:snapToGrid w:val="0"/>
              </w:rPr>
              <w:t>日内作出决定。对符合本条例第二十五条规定的，发给批准文件；对不符合本条例第二十五条规定的，不予批准，书面通知申请人并说明理由。</w:t>
            </w:r>
          </w:p>
          <w:p>
            <w:pPr>
              <w:widowControl/>
              <w:snapToGrid w:val="0"/>
              <w:spacing w:line="0" w:lineRule="atLeast"/>
              <w:ind w:firstLine="442" w:firstLineChars="200"/>
              <w:textAlignment w:val="center"/>
              <w:rPr>
                <w:rStyle w:val="13"/>
                <w:rFonts w:hint="default" w:ascii="Times New Roman" w:hAnsi="Times New Roman" w:cs="Times New Roman"/>
                <w:snapToGrid w:val="0"/>
              </w:rPr>
            </w:pPr>
            <w:r>
              <w:rPr>
                <w:rStyle w:val="13"/>
                <w:rFonts w:hint="default" w:ascii="Times New Roman" w:hAnsi="Times New Roman" w:cs="Times New Roman"/>
                <w:b/>
                <w:bCs/>
                <w:snapToGrid w:val="0"/>
              </w:rPr>
              <w:t xml:space="preserve">第十五条 </w:t>
            </w:r>
            <w:r>
              <w:rPr>
                <w:rStyle w:val="13"/>
                <w:rFonts w:hint="default" w:ascii="Times New Roman" w:hAnsi="Times New Roman" w:cs="Times New Roman"/>
                <w:snapToGrid w:val="0"/>
              </w:rPr>
              <w:t>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w:t>
            </w:r>
            <w:r>
              <w:rPr>
                <w:rFonts w:ascii="Times New Roman" w:hAnsi="Times New Roman" w:eastAsia="方正仿宋简体"/>
                <w:snapToGrid w:val="0"/>
                <w:color w:val="000000"/>
                <w:kern w:val="0"/>
                <w:sz w:val="22"/>
                <w:szCs w:val="22"/>
              </w:rPr>
              <w:t>20</w:t>
            </w:r>
            <w:r>
              <w:rPr>
                <w:rStyle w:val="13"/>
                <w:rFonts w:hint="default" w:ascii="Times New Roman" w:hAnsi="Times New Roman" w:cs="Times New Roman"/>
                <w:snapToGrid w:val="0"/>
              </w:rPr>
              <w:t>日内作出决定。对符合本条例第二十五条规定的，发给批准文件；对不符合本条例第二十五条规定的，不予批准，书面通知申请人并说明理由。</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b/>
                <w:snapToGrid w:val="0"/>
                <w:color w:val="000000"/>
                <w:kern w:val="0"/>
                <w:sz w:val="22"/>
                <w:szCs w:val="22"/>
              </w:rPr>
              <w:t>第四十四条第一款</w:t>
            </w:r>
            <w:r>
              <w:rPr>
                <w:rStyle w:val="13"/>
                <w:rFonts w:hint="default" w:ascii="Times New Roman" w:hAnsi="Times New Roman" w:cs="Times New Roman"/>
                <w:snapToGrid w:val="0"/>
              </w:rPr>
              <w:t>　违反本条例第十三条、第十五条规定，未经批准举办营业性演出的，由县级人民政府文化主管部门责令停止演出，没收违法所得，并处违法所得</w:t>
            </w:r>
            <w:r>
              <w:rPr>
                <w:rFonts w:ascii="Times New Roman" w:hAnsi="Times New Roman" w:eastAsia="方正仿宋简体"/>
                <w:snapToGrid w:val="0"/>
                <w:color w:val="000000"/>
                <w:kern w:val="0"/>
                <w:sz w:val="22"/>
                <w:szCs w:val="22"/>
              </w:rPr>
              <w:t>8</w:t>
            </w:r>
            <w:r>
              <w:rPr>
                <w:rStyle w:val="13"/>
                <w:rFonts w:hint="default" w:ascii="Times New Roman" w:hAnsi="Times New Roman" w:cs="Times New Roman"/>
                <w:snapToGrid w:val="0"/>
              </w:rPr>
              <w:t>倍以上</w:t>
            </w:r>
            <w:r>
              <w:rPr>
                <w:rFonts w:ascii="Times New Roman" w:hAnsi="Times New Roman" w:eastAsia="方正仿宋简体"/>
                <w:snapToGrid w:val="0"/>
                <w:color w:val="000000"/>
                <w:kern w:val="0"/>
                <w:sz w:val="22"/>
                <w:szCs w:val="22"/>
              </w:rPr>
              <w:t>10</w:t>
            </w:r>
            <w:r>
              <w:rPr>
                <w:rStyle w:val="13"/>
                <w:rFonts w:hint="default" w:ascii="Times New Roman" w:hAnsi="Times New Roman" w:cs="Times New Roman"/>
                <w:snapToGrid w:val="0"/>
              </w:rPr>
              <w:t>倍以下的罚款；没有违法所得或者违法所得不足</w:t>
            </w:r>
            <w:r>
              <w:rPr>
                <w:rFonts w:ascii="Times New Roman" w:hAnsi="Times New Roman" w:eastAsia="方正仿宋简体"/>
                <w:snapToGrid w:val="0"/>
                <w:color w:val="000000"/>
                <w:kern w:val="0"/>
                <w:sz w:val="22"/>
                <w:szCs w:val="22"/>
              </w:rPr>
              <w:t>1</w:t>
            </w:r>
            <w:r>
              <w:rPr>
                <w:rStyle w:val="13"/>
                <w:rFonts w:hint="default" w:ascii="Times New Roman" w:hAnsi="Times New Roman" w:cs="Times New Roman"/>
                <w:snapToGrid w:val="0"/>
              </w:rPr>
              <w:t>万元的，并处</w:t>
            </w:r>
            <w:r>
              <w:rPr>
                <w:rFonts w:ascii="Times New Roman" w:hAnsi="Times New Roman" w:eastAsia="方正仿宋简体"/>
                <w:snapToGrid w:val="0"/>
                <w:color w:val="000000"/>
                <w:kern w:val="0"/>
                <w:sz w:val="22"/>
                <w:szCs w:val="22"/>
              </w:rPr>
              <w:t>5</w:t>
            </w:r>
            <w:r>
              <w:rPr>
                <w:rStyle w:val="13"/>
                <w:rFonts w:hint="default" w:ascii="Times New Roman" w:hAnsi="Times New Roman" w:cs="Times New Roman"/>
                <w:snapToGrid w:val="0"/>
              </w:rPr>
              <w:t>万元以上</w:t>
            </w:r>
            <w:r>
              <w:rPr>
                <w:rFonts w:ascii="Times New Roman" w:hAnsi="Times New Roman" w:eastAsia="方正仿宋简体"/>
                <w:snapToGrid w:val="0"/>
                <w:color w:val="000000"/>
                <w:kern w:val="0"/>
                <w:sz w:val="22"/>
                <w:szCs w:val="22"/>
              </w:rPr>
              <w:t>10</w:t>
            </w:r>
            <w:r>
              <w:rPr>
                <w:rStyle w:val="13"/>
                <w:rFonts w:hint="default" w:ascii="Times New Roman" w:hAnsi="Times New Roman" w:cs="Times New Roman"/>
                <w:snapToGrid w:val="0"/>
              </w:rPr>
              <w:t>万元以下的罚款；情节严重的，由原发证机关吊销营业性演出许可证。</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《娱乐场所管理条例》第四十八条第三项</w:t>
            </w:r>
            <w:r>
              <w:rPr>
                <w:rStyle w:val="9"/>
                <w:rFonts w:hint="eastAsia" w:ascii="方正仿宋_GBK" w:hAnsi="方正仿宋_GBK" w:eastAsia="方正仿宋_GBK" w:cs="方正仿宋_GBK"/>
                <w:snapToGrid w:val="0"/>
              </w:rPr>
              <w:t>　违反本条例规定，有下列情形之一的，由县级人民政府文化主管部门没收违法所得和非法财物，并处违法所得</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倍以上</w:t>
            </w:r>
            <w:r>
              <w:rPr>
                <w:rStyle w:val="10"/>
                <w:rFonts w:hint="eastAsia" w:ascii="方正仿宋_GBK" w:hAnsi="方正仿宋_GBK" w:eastAsia="方正仿宋_GBK" w:cs="方正仿宋_GBK"/>
                <w:snapToGrid w:val="0"/>
              </w:rPr>
              <w:t>3</w:t>
            </w:r>
            <w:r>
              <w:rPr>
                <w:rStyle w:val="9"/>
                <w:rFonts w:hint="eastAsia" w:ascii="方正仿宋_GBK" w:hAnsi="方正仿宋_GBK" w:eastAsia="方正仿宋_GBK" w:cs="方正仿宋_GBK"/>
                <w:snapToGrid w:val="0"/>
              </w:rPr>
              <w:t>倍以下的罚款；没有违法所得或者违法所得不足</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万元的，并处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3</w:t>
            </w:r>
            <w:r>
              <w:rPr>
                <w:rStyle w:val="9"/>
                <w:rFonts w:hint="eastAsia" w:ascii="方正仿宋_GBK" w:hAnsi="方正仿宋_GBK" w:eastAsia="方正仿宋_GBK" w:cs="方正仿宋_GBK"/>
                <w:snapToGrid w:val="0"/>
              </w:rPr>
              <w:t>万元以下的罚款；情节严重的，责令停业整顿</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个月至</w:t>
            </w:r>
            <w:r>
              <w:rPr>
                <w:rStyle w:val="10"/>
                <w:rFonts w:hint="eastAsia" w:ascii="方正仿宋_GBK" w:hAnsi="方正仿宋_GBK" w:eastAsia="方正仿宋_GBK" w:cs="方正仿宋_GBK"/>
                <w:snapToGrid w:val="0"/>
              </w:rPr>
              <w:t>6</w:t>
            </w:r>
            <w:r>
              <w:rPr>
                <w:rStyle w:val="9"/>
                <w:rFonts w:hint="eastAsia" w:ascii="方正仿宋_GBK" w:hAnsi="方正仿宋_GBK" w:eastAsia="方正仿宋_GBK" w:cs="方正仿宋_GBK"/>
                <w:snapToGrid w:val="0"/>
              </w:rPr>
              <w:t>个月：（三）歌舞娱乐场所接纳未成年人的。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《娱乐场所管理条例》第四十八条第四项</w:t>
            </w:r>
            <w:r>
              <w:rPr>
                <w:rStyle w:val="9"/>
                <w:rFonts w:hint="eastAsia" w:ascii="方正仿宋_GBK" w:hAnsi="方正仿宋_GBK" w:eastAsia="方正仿宋_GBK" w:cs="方正仿宋_GBK"/>
                <w:snapToGrid w:val="0"/>
              </w:rPr>
              <w:t>　违反本条例规定，有下列情形之一的，由县级人民政府文化主管部门没收违法所得和非法财物，并处违法所得</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倍以上</w:t>
            </w:r>
            <w:r>
              <w:rPr>
                <w:rStyle w:val="10"/>
                <w:rFonts w:hint="eastAsia" w:ascii="方正仿宋_GBK" w:hAnsi="方正仿宋_GBK" w:eastAsia="方正仿宋_GBK" w:cs="方正仿宋_GBK"/>
                <w:snapToGrid w:val="0"/>
              </w:rPr>
              <w:t>3</w:t>
            </w:r>
            <w:r>
              <w:rPr>
                <w:rStyle w:val="9"/>
                <w:rFonts w:hint="eastAsia" w:ascii="方正仿宋_GBK" w:hAnsi="方正仿宋_GBK" w:eastAsia="方正仿宋_GBK" w:cs="方正仿宋_GBK"/>
                <w:snapToGrid w:val="0"/>
              </w:rPr>
              <w:t>倍以下的罚款；没有违法所得或者违法所得不足</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万元的，并处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3</w:t>
            </w:r>
            <w:r>
              <w:rPr>
                <w:rStyle w:val="9"/>
                <w:rFonts w:hint="eastAsia" w:ascii="方正仿宋_GBK" w:hAnsi="方正仿宋_GBK" w:eastAsia="方正仿宋_GBK" w:cs="方正仿宋_GBK"/>
                <w:snapToGrid w:val="0"/>
              </w:rPr>
              <w:t>万元以下的罚款；情节严重的，责令停业整顿</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个月至</w:t>
            </w:r>
            <w:r>
              <w:rPr>
                <w:rStyle w:val="10"/>
                <w:rFonts w:hint="eastAsia" w:ascii="方正仿宋_GBK" w:hAnsi="方正仿宋_GBK" w:eastAsia="方正仿宋_GBK" w:cs="方正仿宋_GBK"/>
                <w:snapToGrid w:val="0"/>
              </w:rPr>
              <w:t>6</w:t>
            </w:r>
            <w:r>
              <w:rPr>
                <w:rStyle w:val="9"/>
                <w:rFonts w:hint="eastAsia" w:ascii="方正仿宋_GBK" w:hAnsi="方正仿宋_GBK" w:eastAsia="方正仿宋_GBK" w:cs="方正仿宋_GBK"/>
                <w:snapToGrid w:val="0"/>
              </w:rPr>
              <w:t>个月：（四）游艺娱乐场所设置的电子游戏机在国家法定节假日外向未成年人提供的。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99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《娱乐场所管理条例》第五十一条</w:t>
            </w:r>
            <w:r>
              <w:rPr>
                <w:rStyle w:val="9"/>
                <w:rFonts w:hint="eastAsia" w:ascii="方正仿宋_GBK" w:hAnsi="方正仿宋_GBK" w:eastAsia="方正仿宋_GBK" w:cs="方正仿宋_GBK"/>
                <w:snapToGrid w:val="0"/>
              </w:rPr>
              <w:t>　娱乐场所未按照本条例规定悬挂警示标志、未成年人禁入或者限入标志的，由县级人民政府文化主管部门、县级公安部门依据法定职权责令改正，给予警告。</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1.《娱乐场所管理办法》第二十四条</w:t>
            </w:r>
            <w:r>
              <w:rPr>
                <w:rStyle w:val="9"/>
                <w:rFonts w:hint="eastAsia" w:ascii="方正仿宋_GBK" w:hAnsi="方正仿宋_GBK" w:eastAsia="方正仿宋_GBK" w:cs="方正仿宋_GBK"/>
                <w:snapToGrid w:val="0"/>
              </w:rPr>
              <w:t>　娱乐场所应当在显著位置悬挂娱乐经营许可证、未成年人禁入或者限入标志，标志应当注明“</w:t>
            </w:r>
            <w:r>
              <w:rPr>
                <w:rStyle w:val="10"/>
                <w:rFonts w:hint="eastAsia" w:ascii="方正仿宋_GBK" w:hAnsi="方正仿宋_GBK" w:eastAsia="方正仿宋_GBK" w:cs="方正仿宋_GBK"/>
                <w:snapToGrid w:val="0"/>
              </w:rPr>
              <w:t>12318</w:t>
            </w:r>
            <w:r>
              <w:rPr>
                <w:rStyle w:val="9"/>
                <w:rFonts w:hint="eastAsia" w:ascii="方正仿宋_GBK" w:hAnsi="方正仿宋_GBK" w:eastAsia="方正仿宋_GBK" w:cs="方正仿宋_GBK"/>
                <w:snapToGrid w:val="0"/>
              </w:rPr>
              <w:t>”文化市场举报电话。</w:t>
            </w:r>
          </w:p>
          <w:p>
            <w:pPr>
              <w:widowControl/>
              <w:snapToGrid w:val="0"/>
              <w:spacing w:line="0" w:lineRule="atLeast"/>
              <w:ind w:firstLine="442" w:firstLineChars="200"/>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第三十三条</w:t>
            </w:r>
            <w:r>
              <w:rPr>
                <w:rStyle w:val="9"/>
                <w:rFonts w:hint="eastAsia" w:ascii="方正仿宋_GBK" w:hAnsi="方正仿宋_GBK" w:eastAsia="方正仿宋_GBK" w:cs="方正仿宋_GBK"/>
                <w:snapToGrid w:val="0"/>
              </w:rPr>
              <w:t>　娱乐场所违反本办法第二十四条规定的，由县级以上人民政府文化主管部门责令改正，予以警告。</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Style w:val="11"/>
                <w:rFonts w:hint="eastAsia" w:ascii="方正仿宋_GBK" w:hAnsi="方正仿宋_GBK" w:eastAsia="方正仿宋_GBK" w:cs="方正仿宋_GBK"/>
                <w:snapToGrid w:val="0"/>
              </w:rPr>
              <w:t>2.</w:t>
            </w:r>
            <w:r>
              <w:rPr>
                <w:rFonts w:hint="eastAsia" w:ascii="方正仿宋_GBK" w:hAnsi="方正仿宋_GBK" w:eastAsia="方正仿宋_GBK" w:cs="方正仿宋_GBK"/>
                <w:b/>
                <w:snapToGrid w:val="0"/>
                <w:color w:val="000000"/>
                <w:kern w:val="0"/>
                <w:sz w:val="22"/>
                <w:szCs w:val="22"/>
              </w:rPr>
              <w:t>《四川省娱乐场所管理办法》第三十三条第一款</w:t>
            </w:r>
            <w:r>
              <w:rPr>
                <w:rStyle w:val="9"/>
                <w:rFonts w:hint="eastAsia" w:ascii="方正仿宋_GBK" w:hAnsi="方正仿宋_GBK" w:eastAsia="方正仿宋_GBK" w:cs="方正仿宋_GBK"/>
                <w:snapToGrid w:val="0"/>
              </w:rPr>
              <w:t>　娱乐场所未按要求悬挂娱乐经营许可证、卫生许可证和工商营业执照，并拒不改正的，分别由县级文化行政主管部门或者依法授权的文化市场综合执法机构、卫生部门、工商部门按照各自职责，处</w:t>
            </w:r>
            <w:r>
              <w:rPr>
                <w:rStyle w:val="10"/>
                <w:rFonts w:hint="eastAsia" w:ascii="方正仿宋_GBK" w:hAnsi="方正仿宋_GBK" w:eastAsia="方正仿宋_GBK" w:cs="方正仿宋_GBK"/>
                <w:snapToGrid w:val="0"/>
              </w:rPr>
              <w:t>1000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《烟花爆竹安全管理条例》第三十六条第一款</w:t>
            </w:r>
            <w:r>
              <w:rPr>
                <w:rStyle w:val="9"/>
                <w:rFonts w:hint="eastAsia" w:ascii="方正仿宋_GBK" w:hAnsi="方正仿宋_GBK" w:eastAsia="方正仿宋_GBK" w:cs="方正仿宋_GBK"/>
                <w:snapToGrid w:val="0"/>
              </w:rPr>
              <w:t>　对未经许可生产、经营烟花爆竹制品，或者向未取得烟花爆竹安全生产许可的单位或者个人销售黑火药、烟火药、引火线的，由安全生产监督管理部门责令停止非法生产、经营活动，处</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10</w:t>
            </w:r>
            <w:r>
              <w:rPr>
                <w:rStyle w:val="9"/>
                <w:rFonts w:hint="eastAsia" w:ascii="方正仿宋_GBK" w:hAnsi="方正仿宋_GBK" w:eastAsia="方正仿宋_GBK" w:cs="方正仿宋_GBK"/>
                <w:snapToGrid w:val="0"/>
              </w:rPr>
              <w:t>万元以下的罚款，并没收非法生产、经营的物品及违法所得。</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《烟花爆竹经营许可实施办法》第三十一条</w:t>
            </w:r>
            <w:r>
              <w:rPr>
                <w:rStyle w:val="9"/>
                <w:rFonts w:ascii="Times New Roman" w:hAnsi="Times New Roman" w:cs="Times New Roman"/>
                <w:snapToGrid w:val="0"/>
              </w:rPr>
              <w:t>　对未经许可经营、超许可范围经营、许可证过期继续经营烟花爆竹的，责令其停止非法经营活动，处</w:t>
            </w:r>
            <w:r>
              <w:rPr>
                <w:rStyle w:val="10"/>
                <w:rFonts w:eastAsia="方正仿宋简体"/>
                <w:snapToGrid w:val="0"/>
              </w:rPr>
              <w:t>2</w:t>
            </w:r>
            <w:r>
              <w:rPr>
                <w:rStyle w:val="9"/>
                <w:rFonts w:ascii="Times New Roman" w:hAnsi="Times New Roman" w:cs="Times New Roman"/>
                <w:snapToGrid w:val="0"/>
              </w:rPr>
              <w:t>万元以上</w:t>
            </w:r>
            <w:r>
              <w:rPr>
                <w:rStyle w:val="10"/>
                <w:rFonts w:eastAsia="方正仿宋简体"/>
                <w:snapToGrid w:val="0"/>
              </w:rPr>
              <w:t>10</w:t>
            </w:r>
            <w:r>
              <w:rPr>
                <w:rStyle w:val="9"/>
                <w:rFonts w:ascii="Times New Roman" w:hAnsi="Times New Roman" w:cs="Times New Roman"/>
                <w:snapToGrid w:val="0"/>
              </w:rPr>
              <w:t>万元以下的罚款，并没收非法经营的物品及违法所得。</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b/>
                <w:snapToGrid w:val="0"/>
                <w:color w:val="000000"/>
                <w:kern w:val="0"/>
                <w:sz w:val="22"/>
                <w:szCs w:val="22"/>
              </w:rPr>
              <w:t>第三十九条</w:t>
            </w:r>
            <w:r>
              <w:rPr>
                <w:rStyle w:val="9"/>
                <w:rFonts w:ascii="Times New Roman" w:hAnsi="Times New Roman" w:cs="Times New Roman"/>
                <w:snapToGrid w:val="0"/>
              </w:rPr>
              <w:t>　本办法规定的行政处罚，由安全生产监督管理部门决定，暂扣、吊销经营许可证的行政处罚由发证机关决定。</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11"/>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《烟花爆竹经营许可实施办法》第三十五条第二项</w:t>
            </w:r>
            <w:r>
              <w:rPr>
                <w:rStyle w:val="9"/>
                <w:rFonts w:ascii="Times New Roman" w:hAnsi="Times New Roman" w:cs="Times New Roman"/>
                <w:snapToGrid w:val="0"/>
              </w:rPr>
              <w:t>　零售经营者有下列行为之一的，责令其限期改正，处</w:t>
            </w:r>
            <w:r>
              <w:rPr>
                <w:rStyle w:val="10"/>
                <w:rFonts w:eastAsia="方正仿宋简体"/>
                <w:snapToGrid w:val="0"/>
              </w:rPr>
              <w:t>1000</w:t>
            </w:r>
            <w:r>
              <w:rPr>
                <w:rStyle w:val="9"/>
                <w:rFonts w:ascii="Times New Roman" w:hAnsi="Times New Roman" w:cs="Times New Roman"/>
                <w:snapToGrid w:val="0"/>
              </w:rPr>
              <w:t>元以上</w:t>
            </w:r>
            <w:r>
              <w:rPr>
                <w:rStyle w:val="10"/>
                <w:rFonts w:eastAsia="方正仿宋简体"/>
                <w:snapToGrid w:val="0"/>
              </w:rPr>
              <w:t>5000</w:t>
            </w:r>
            <w:r>
              <w:rPr>
                <w:rStyle w:val="9"/>
                <w:rFonts w:ascii="Times New Roman" w:hAnsi="Times New Roman" w:cs="Times New Roman"/>
                <w:snapToGrid w:val="0"/>
              </w:rPr>
              <w:t>元以下的罚款；情节严重的，处</w:t>
            </w:r>
            <w:r>
              <w:rPr>
                <w:rStyle w:val="10"/>
                <w:rFonts w:eastAsia="方正仿宋简体"/>
                <w:snapToGrid w:val="0"/>
              </w:rPr>
              <w:t>5000</w:t>
            </w:r>
            <w:r>
              <w:rPr>
                <w:rStyle w:val="9"/>
                <w:rFonts w:ascii="Times New Roman" w:hAnsi="Times New Roman" w:cs="Times New Roman"/>
                <w:snapToGrid w:val="0"/>
              </w:rPr>
              <w:t>元以上</w:t>
            </w:r>
            <w:r>
              <w:rPr>
                <w:rStyle w:val="10"/>
                <w:rFonts w:eastAsia="方正仿宋简体"/>
                <w:snapToGrid w:val="0"/>
              </w:rPr>
              <w:t>30000</w:t>
            </w:r>
            <w:r>
              <w:rPr>
                <w:rStyle w:val="9"/>
                <w:rFonts w:ascii="Times New Roman" w:hAnsi="Times New Roman" w:cs="Times New Roman"/>
                <w:snapToGrid w:val="0"/>
              </w:rPr>
              <w:t>元以下的罚款：（二）存放的烟花爆竹数量超过零售许可证载明范围的。</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b/>
                <w:snapToGrid w:val="0"/>
                <w:color w:val="000000"/>
                <w:kern w:val="0"/>
                <w:sz w:val="22"/>
                <w:szCs w:val="22"/>
              </w:rPr>
              <w:t>第三十九条</w:t>
            </w:r>
            <w:r>
              <w:rPr>
                <w:rStyle w:val="9"/>
                <w:rFonts w:ascii="Times New Roman" w:hAnsi="Times New Roman" w:cs="Times New Roman"/>
                <w:snapToGrid w:val="0"/>
              </w:rPr>
              <w:t>　本办法规定的行政处罚，由安全生产监督管理部门决定，暂扣、吊销经营许可证的行政处罚由发证机关决定。</w:t>
            </w:r>
            <w:r>
              <w:rPr>
                <w:rFonts w:ascii="Times New Roman" w:hAnsi="Times New Roman" w:eastAsia="方正仿宋简体"/>
                <w:snapToGrid w:val="0"/>
                <w:color w:val="000000"/>
                <w:kern w:val="0"/>
                <w:sz w:val="22"/>
                <w:szCs w:val="22"/>
              </w:rPr>
              <w:t>　</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《生产安全事故应急预案管理办法》第四十五条第一款第六项</w:t>
            </w:r>
            <w:r>
              <w:rPr>
                <w:rStyle w:val="9"/>
                <w:rFonts w:hint="eastAsia" w:ascii="方正仿宋_GBK" w:hAnsi="方正仿宋_GBK" w:eastAsia="方正仿宋_GBK" w:cs="方正仿宋_GBK"/>
                <w:snapToGrid w:val="0"/>
              </w:rPr>
              <w:t>　生产经营单位有下列情形之一的，由县级以上人民政府应急管理部门责令限期改正，可以处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3</w:t>
            </w:r>
            <w:r>
              <w:rPr>
                <w:rStyle w:val="9"/>
                <w:rFonts w:hint="eastAsia" w:ascii="方正仿宋_GBK" w:hAnsi="方正仿宋_GBK" w:eastAsia="方正仿宋_GBK" w:cs="方正仿宋_GBK"/>
                <w:snapToGrid w:val="0"/>
              </w:rPr>
              <w:t>万元以下的罚款：（六）未落实应急预案规定的应急物资及装备的。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《四川省古树名木保护条例》第二十六条第三款</w:t>
            </w:r>
            <w:r>
              <w:rPr>
                <w:rStyle w:val="9"/>
                <w:rFonts w:hint="eastAsia" w:ascii="方正仿宋_GBK" w:hAnsi="方正仿宋_GBK" w:eastAsia="方正仿宋_GBK" w:cs="方正仿宋_GBK"/>
                <w:snapToGrid w:val="0"/>
              </w:rPr>
              <w:t>　任何单位和个人不得擅自移动或者损毁古树名木保护牌以及保护设施。</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第三十九条</w:t>
            </w:r>
            <w:r>
              <w:rPr>
                <w:rStyle w:val="9"/>
                <w:rFonts w:hint="eastAsia" w:ascii="方正仿宋_GBK" w:hAnsi="方正仿宋_GBK" w:eastAsia="方正仿宋_GBK" w:cs="方正仿宋_GBK"/>
                <w:snapToGrid w:val="0"/>
              </w:rPr>
              <w:t>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《四川省古树名木保护条例》第二十七条第三项至第五项</w:t>
            </w:r>
            <w:r>
              <w:rPr>
                <w:rStyle w:val="9"/>
                <w:rFonts w:hint="eastAsia" w:ascii="方正仿宋_GBK" w:hAnsi="方正仿宋_GBK" w:eastAsia="方正仿宋_GBK" w:cs="方正仿宋_GBK"/>
                <w:snapToGrid w:val="0"/>
              </w:rPr>
              <w:t>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第四十一条第一款</w:t>
            </w:r>
            <w:r>
              <w:rPr>
                <w:rStyle w:val="9"/>
                <w:rFonts w:hint="eastAsia" w:ascii="方正仿宋_GBK" w:hAnsi="方正仿宋_GBK" w:eastAsia="方正仿宋_GBK" w:cs="方正仿宋_GBK"/>
                <w:snapToGrid w:val="0"/>
              </w:rPr>
              <w:t>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对违规在草原上采挖植物或者从事破坏草原植被活动的行政处罚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sz w:val="22"/>
                <w:szCs w:val="22"/>
              </w:rPr>
              <w:t>　　</w:t>
            </w:r>
            <w:r>
              <w:rPr>
                <w:rFonts w:ascii="Times New Roman" w:hAnsi="Times New Roman" w:eastAsia="方正仿宋简体"/>
                <w:b/>
                <w:bCs/>
                <w:snapToGrid w:val="0"/>
                <w:color w:val="000000"/>
                <w:sz w:val="22"/>
                <w:szCs w:val="22"/>
              </w:rPr>
              <w:t>《中华人民共和国草原法》第六十七条</w:t>
            </w:r>
            <w:r>
              <w:rPr>
                <w:rFonts w:ascii="Times New Roman" w:hAnsi="Times New Roman" w:eastAsia="方正仿宋简体"/>
                <w:snapToGrid w:val="0"/>
                <w:color w:val="000000"/>
                <w:sz w:val="22"/>
                <w:szCs w:val="22"/>
              </w:rPr>
              <w:t>　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对未经批准或者未按照规定在草原上进行采土、采砂、采石等活动的行政处罚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《中华人民共和国草原法》第六十八条</w:t>
            </w:r>
            <w:r>
              <w:rPr>
                <w:rStyle w:val="9"/>
                <w:rFonts w:hint="eastAsia" w:ascii="方正仿宋_GBK" w:hAnsi="方正仿宋_GBK" w:eastAsia="方正仿宋_GBK" w:cs="方正仿宋_GBK"/>
                <w:snapToGrid w:val="0"/>
              </w:rPr>
              <w:t>　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109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对违反规定在草原上开展经营性旅游活动，破坏草原植被的行政处罚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《中华人民共和国草原法》第五十二条</w:t>
            </w:r>
            <w:r>
              <w:rPr>
                <w:rStyle w:val="9"/>
                <w:rFonts w:hint="eastAsia" w:ascii="方正仿宋_GBK" w:hAnsi="方正仿宋_GBK" w:eastAsia="方正仿宋_GBK" w:cs="方正仿宋_GBK"/>
                <w:snapToGrid w:val="0"/>
              </w:rPr>
              <w:t>　在草原上开展经营性旅游活动，应当符合有关草原保护、建设、利用规划，并不得侵犯草原所有者、使用者和承包经营者的合法权益，不得破坏草原植被。</w:t>
            </w:r>
          </w:p>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第六十九条</w:t>
            </w:r>
            <w:r>
              <w:rPr>
                <w:rStyle w:val="9"/>
                <w:rFonts w:hint="eastAsia" w:ascii="方正仿宋_GBK" w:hAnsi="方正仿宋_GBK" w:eastAsia="方正仿宋_GBK" w:cs="方正仿宋_GBK"/>
                <w:snapToGrid w:val="0"/>
              </w:rPr>
              <w:t>　违反本法第五十二条规定，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对未按照确认的行驶区域和行驶路线在草原上行驶，破坏草原植被的行政处罚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《中华人民共和国草原法》第七十条</w:t>
            </w:r>
            <w:r>
              <w:rPr>
                <w:rStyle w:val="9"/>
                <w:rFonts w:hint="eastAsia" w:ascii="方正仿宋_GBK" w:hAnsi="方正仿宋_GBK" w:eastAsia="方正仿宋_GBK" w:cs="方正仿宋_GBK"/>
                <w:snapToGrid w:val="0"/>
              </w:rPr>
              <w:t>　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对经营性采挖天然草皮的行政处罚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2"/>
              <w:textAlignment w:val="center"/>
              <w:rPr>
                <w:rStyle w:val="9"/>
                <w:rFonts w:ascii="方正仿宋_GBK" w:hAnsi="方正仿宋_GBK" w:eastAsia="方正仿宋_GBK" w:cs="方正仿宋_GBK"/>
                <w:snapToGrid w:val="0"/>
              </w:rPr>
            </w:pPr>
            <w:r>
              <w:rPr>
                <w:rFonts w:hint="eastAsia" w:ascii="方正仿宋_GBK" w:hAnsi="方正仿宋_GBK" w:eastAsia="方正仿宋_GBK" w:cs="方正仿宋_GBK"/>
                <w:b/>
                <w:snapToGrid w:val="0"/>
                <w:color w:val="000000"/>
                <w:kern w:val="0"/>
                <w:sz w:val="22"/>
                <w:szCs w:val="22"/>
              </w:rPr>
              <w:t>《四川省〈中华人民共和国草原法〉实施办法》第二十一条第一款</w:t>
            </w:r>
            <w:r>
              <w:rPr>
                <w:rStyle w:val="9"/>
                <w:rFonts w:hint="eastAsia" w:ascii="方正仿宋_GBK" w:hAnsi="方正仿宋_GBK" w:eastAsia="方正仿宋_GBK" w:cs="方正仿宋_GBK"/>
                <w:snapToGrid w:val="0"/>
              </w:rPr>
              <w:t>　禁止经营性采挖天然草皮。确需在草原上采挖天然草皮的，应当报县级人民政府草原行政主管部门批准，并交纳草原植被恢复保证金。</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第二十八条</w:t>
            </w:r>
            <w:r>
              <w:rPr>
                <w:rStyle w:val="9"/>
                <w:rFonts w:hint="eastAsia" w:ascii="方正仿宋_GBK" w:hAnsi="方正仿宋_GBK" w:eastAsia="方正仿宋_GBK" w:cs="方正仿宋_GBK"/>
                <w:snapToGrid w:val="0"/>
              </w:rPr>
              <w:t>　违反本实施办法第二十一条第一款规定的，由县级人民政府草原行政主管部门责令停止违法行为，限期恢复植被，没收非法财物和违法所得，可并处违法所得</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倍以上</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倍以下的罚款；没有违法所得的，可处以</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万元以下的罚款；给草原承包方或者使用方造成损失的，依法承担赔偿责任。</w:t>
            </w:r>
            <w:r>
              <w:rPr>
                <w:rFonts w:hint="eastAsia" w:ascii="方正仿宋_GBK" w:hAnsi="方正仿宋_GBK" w:eastAsia="方正仿宋_GBK" w:cs="方正仿宋_GBK"/>
                <w:snapToGrid w:val="0"/>
                <w:color w:val="000000"/>
                <w:kern w:val="0"/>
                <w:sz w:val="22"/>
                <w:szCs w:val="22"/>
              </w:rPr>
              <w:t>　</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对未经批准在草原上野外用火或者进行爆破、勘察和施工等活动，未取得草原防火通行证进入草原防火管制区的行政处罚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《草原防火条例》第四十四条</w:t>
            </w:r>
            <w:r>
              <w:rPr>
                <w:rStyle w:val="9"/>
                <w:rFonts w:hint="eastAsia" w:ascii="方正仿宋_GBK" w:hAnsi="方正仿宋_GBK" w:eastAsia="方正仿宋_GBK" w:cs="方正仿宋_GBK"/>
                <w:snapToGrid w:val="0"/>
              </w:rPr>
              <w:t>　违反本条例规定，有下列行为之一的，由县级以上地方人民政府草原防火主管部门责令停止违法行为，采取防火措施，并限期补办有关手续，对有关责任人员处</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元以下罚款，对有关责任单位处</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万元以下罚款：（一）未经批准在草原上野外用火或者进行爆破、勘察和施工等活动的；（二）未取得草原防火通行证进入草原防火管制区的。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对草原防火未采取防火措施、未安装防火装置、丢弃火种、不遵守防火安全操作规程和未按照规定用火的行政处罚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《草原防火条例》第四十五条</w:t>
            </w:r>
            <w:r>
              <w:rPr>
                <w:rStyle w:val="9"/>
                <w:rFonts w:ascii="Times New Roman" w:hAnsi="Times New Roman" w:cs="Times New Roman"/>
                <w:snapToGrid w:val="0"/>
              </w:rPr>
              <w:t>　草原防火条例违反本条例规定，有下列行为之一的，由县级以上地方人民政府草原防火主管部门责令停止违法行为，采取防火措施，消除火灾隐患，并对有关责任人员处</w:t>
            </w:r>
            <w:r>
              <w:rPr>
                <w:rStyle w:val="10"/>
                <w:rFonts w:eastAsia="方正仿宋简体"/>
                <w:snapToGrid w:val="0"/>
              </w:rPr>
              <w:t>200</w:t>
            </w:r>
            <w:r>
              <w:rPr>
                <w:rStyle w:val="9"/>
                <w:rFonts w:ascii="Times New Roman" w:hAnsi="Times New Roman" w:cs="Times New Roman"/>
                <w:snapToGrid w:val="0"/>
              </w:rPr>
              <w:t>元以上</w:t>
            </w:r>
            <w:r>
              <w:rPr>
                <w:rStyle w:val="10"/>
                <w:rFonts w:eastAsia="方正仿宋简体"/>
                <w:snapToGrid w:val="0"/>
              </w:rPr>
              <w:t>2000</w:t>
            </w:r>
            <w:r>
              <w:rPr>
                <w:rStyle w:val="9"/>
                <w:rFonts w:ascii="Times New Roman" w:hAnsi="Times New Roman" w:cs="Times New Roman"/>
                <w:snapToGrid w:val="0"/>
              </w:rPr>
              <w:t>元以下罚款，对有关责任单位处</w:t>
            </w:r>
            <w:r>
              <w:rPr>
                <w:rStyle w:val="10"/>
                <w:rFonts w:eastAsia="方正仿宋简体"/>
                <w:snapToGrid w:val="0"/>
              </w:rPr>
              <w:t>2000</w:t>
            </w:r>
            <w:r>
              <w:rPr>
                <w:rStyle w:val="9"/>
                <w:rFonts w:ascii="Times New Roman" w:hAnsi="Times New Roman" w:cs="Times New Roman"/>
                <w:snapToGrid w:val="0"/>
              </w:rPr>
              <w:t>元以上</w:t>
            </w:r>
            <w:r>
              <w:rPr>
                <w:rStyle w:val="10"/>
                <w:rFonts w:eastAsia="方正仿宋简体"/>
                <w:snapToGrid w:val="0"/>
              </w:rPr>
              <w:t>2</w:t>
            </w:r>
            <w:r>
              <w:rPr>
                <w:rStyle w:val="9"/>
                <w:rFonts w:ascii="Times New Roman" w:hAnsi="Times New Roman" w:cs="Times New Roman"/>
                <w:snapToGrid w:val="0"/>
              </w:rPr>
              <w:t>万元以下罚款；拒不采取防火措施、消除火灾隐患的，由县级以上地方人民政府草原防火主管部门代为采取防火措施、消除火灾隐患，所需费用由违法单位或者个人承担：（一）在草原防火期内，经批准的野外用火未采取防火措施的；（二）在草原上作业和行驶的机动车辆未安装防火装置或者存在火灾隐患的；（三）在草原上行驶的公共交通工具上的司机、乘务人员或者旅客丢弃火种的；（四）在草原上从事野外作业的机械设备作业人员不遵守防火安全操作规程或者对野外作业的机械设备未采取防火措施的；（五）在草原防火管制区内未按照规定用火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对未建立或者未落实草原防火责任制的行政处罚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《草原防火条例》第四十六条</w:t>
            </w:r>
            <w:r>
              <w:rPr>
                <w:rStyle w:val="9"/>
                <w:rFonts w:hint="eastAsia" w:ascii="方正仿宋_GBK" w:hAnsi="方正仿宋_GBK" w:eastAsia="方正仿宋_GBK" w:cs="方正仿宋_GBK"/>
                <w:snapToGrid w:val="0"/>
              </w:rPr>
              <w:t>　违反本条例规定，草原上的生产经营等单位未建立或者未落实草原防火责任制的，由县级以上地方人民政府草原防火主管部门责令改正，对有关责任单位处</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w:t>
            </w:r>
            <w:r>
              <w:rPr>
                <w:rStyle w:val="9"/>
                <w:rFonts w:hint="eastAsia" w:ascii="方正仿宋_GBK" w:hAnsi="方正仿宋_GBK" w:eastAsia="方正仿宋_GBK" w:cs="方正仿宋_GBK"/>
                <w:snapToGrid w:val="0"/>
              </w:rPr>
              <w:t>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《森林防火条例》第五十条</w:t>
            </w:r>
            <w:r>
              <w:rPr>
                <w:rStyle w:val="9"/>
                <w:rFonts w:hint="eastAsia" w:ascii="方正仿宋_GBK" w:hAnsi="方正仿宋_GBK" w:eastAsia="方正仿宋_GBK" w:cs="方正仿宋_GBK"/>
                <w:snapToGrid w:val="0"/>
              </w:rPr>
              <w:t>　违反本条例规定，森林防火期内未经批准擅自在森林防火区内野外用火的，由县级以上地方人民政府林业主管部门责令停止违法行为，给予警告，对个人并处</w:t>
            </w:r>
            <w:r>
              <w:rPr>
                <w:rStyle w:val="10"/>
                <w:rFonts w:hint="eastAsia" w:ascii="方正仿宋_GBK" w:hAnsi="方正仿宋_GBK" w:eastAsia="方正仿宋_GBK" w:cs="方正仿宋_GBK"/>
                <w:snapToGrid w:val="0"/>
              </w:rPr>
              <w:t>200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3000</w:t>
            </w:r>
            <w:r>
              <w:rPr>
                <w:rStyle w:val="9"/>
                <w:rFonts w:hint="eastAsia" w:ascii="方正仿宋_GBK" w:hAnsi="方正仿宋_GBK" w:eastAsia="方正仿宋_GBK" w:cs="方正仿宋_GBK"/>
                <w:snapToGrid w:val="0"/>
              </w:rPr>
              <w:t>元以下罚款，对单位并处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pPr>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《森林防火条例》第五十二条第三项</w:t>
            </w:r>
            <w:r>
              <w:rPr>
                <w:rStyle w:val="9"/>
                <w:rFonts w:hint="eastAsia" w:ascii="方正仿宋_GBK" w:hAnsi="方正仿宋_GBK" w:eastAsia="方正仿宋_GBK" w:cs="方正仿宋_GBK"/>
                <w:snapToGrid w:val="0"/>
              </w:rPr>
              <w:t>　违反本条例规定，有下列行为之一的，由县级以上地方人民政府林业主管部门责令改正，给予警告，对个人并处</w:t>
            </w:r>
            <w:r>
              <w:rPr>
                <w:rStyle w:val="10"/>
                <w:rFonts w:hint="eastAsia" w:ascii="方正仿宋_GBK" w:hAnsi="方正仿宋_GBK" w:eastAsia="方正仿宋_GBK" w:cs="方正仿宋_GBK"/>
                <w:snapToGrid w:val="0"/>
              </w:rPr>
              <w:t>200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元以下罚款，对单位并处</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元以下罚款：（三）森林高火险期内，未经批准擅自进入森林高火险区活动的。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117</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《森林防火条例》第五十二条第二项</w:t>
            </w:r>
            <w:r>
              <w:rPr>
                <w:rStyle w:val="9"/>
                <w:rFonts w:ascii="Times New Roman" w:hAnsi="Times New Roman" w:cs="Times New Roman"/>
                <w:snapToGrid w:val="0"/>
              </w:rPr>
              <w:t>　违反本条例规定，有下列行为之一的，由县级以上地方人民政府林业主管部门责令改正，给予警告，对个人并处</w:t>
            </w:r>
            <w:r>
              <w:rPr>
                <w:rStyle w:val="10"/>
                <w:rFonts w:eastAsia="方正仿宋简体"/>
                <w:snapToGrid w:val="0"/>
              </w:rPr>
              <w:t>200</w:t>
            </w:r>
            <w:r>
              <w:rPr>
                <w:rStyle w:val="9"/>
                <w:rFonts w:ascii="Times New Roman" w:hAnsi="Times New Roman" w:cs="Times New Roman"/>
                <w:snapToGrid w:val="0"/>
              </w:rPr>
              <w:t>元以上</w:t>
            </w:r>
            <w:r>
              <w:rPr>
                <w:rStyle w:val="10"/>
                <w:rFonts w:eastAsia="方正仿宋简体"/>
                <w:snapToGrid w:val="0"/>
              </w:rPr>
              <w:t>2000</w:t>
            </w:r>
            <w:r>
              <w:rPr>
                <w:rStyle w:val="9"/>
                <w:rFonts w:ascii="Times New Roman" w:hAnsi="Times New Roman" w:cs="Times New Roman"/>
                <w:snapToGrid w:val="0"/>
              </w:rPr>
              <w:t>元以下罚款，对单位并处</w:t>
            </w:r>
            <w:r>
              <w:rPr>
                <w:rStyle w:val="10"/>
                <w:rFonts w:eastAsia="方正仿宋简体"/>
                <w:snapToGrid w:val="0"/>
              </w:rPr>
              <w:t>2000</w:t>
            </w:r>
            <w:r>
              <w:rPr>
                <w:rStyle w:val="9"/>
                <w:rFonts w:ascii="Times New Roman" w:hAnsi="Times New Roman" w:cs="Times New Roman"/>
                <w:snapToGrid w:val="0"/>
              </w:rPr>
              <w:t>元以上</w:t>
            </w:r>
            <w:r>
              <w:rPr>
                <w:rStyle w:val="10"/>
                <w:rFonts w:eastAsia="方正仿宋简体"/>
                <w:snapToGrid w:val="0"/>
              </w:rPr>
              <w:t>5000</w:t>
            </w:r>
            <w:r>
              <w:rPr>
                <w:rStyle w:val="9"/>
                <w:rFonts w:ascii="Times New Roman" w:hAnsi="Times New Roman" w:cs="Times New Roman"/>
                <w:snapToGrid w:val="0"/>
              </w:rPr>
              <w:t>元以下罚款：（二）森林防火期内，进入森林防火区的机动车辆未安装森林防火装置的。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118</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《森林防火条例》第五十二条第一项</w:t>
            </w:r>
            <w:r>
              <w:rPr>
                <w:rStyle w:val="9"/>
                <w:rFonts w:hint="eastAsia" w:ascii="方正仿宋_GBK" w:hAnsi="方正仿宋_GBK" w:eastAsia="方正仿宋_GBK" w:cs="方正仿宋_GBK"/>
                <w:snapToGrid w:val="0"/>
              </w:rPr>
              <w:t>　违反本条例规定，有下列行为之一的，由县级以上地方人民政府林业主管部门责令改正，给予警告，对个人并处</w:t>
            </w:r>
            <w:r>
              <w:rPr>
                <w:rStyle w:val="10"/>
                <w:rFonts w:hint="eastAsia" w:ascii="方正仿宋_GBK" w:hAnsi="方正仿宋_GBK" w:eastAsia="方正仿宋_GBK" w:cs="方正仿宋_GBK"/>
                <w:snapToGrid w:val="0"/>
              </w:rPr>
              <w:t>200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元以下罚款，对单位并处</w:t>
            </w:r>
            <w:r>
              <w:rPr>
                <w:rStyle w:val="10"/>
                <w:rFonts w:hint="eastAsia" w:ascii="方正仿宋_GBK" w:hAnsi="方正仿宋_GBK" w:eastAsia="方正仿宋_GBK" w:cs="方正仿宋_GBK"/>
                <w:snapToGrid w:val="0"/>
              </w:rPr>
              <w:t>2000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元以下罚款：（一）森林防火期内，森林、林木、林地的经营单位未设置森林防火警示宣传标志的。</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119</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《森林防火条例》第四十九条</w:t>
            </w:r>
            <w:r>
              <w:rPr>
                <w:rStyle w:val="9"/>
                <w:rFonts w:ascii="Times New Roman" w:hAnsi="Times New Roman" w:cs="Times New Roman"/>
                <w:snapToGrid w:val="0"/>
              </w:rPr>
              <w:t>　违反本条例规定，森林防火区内的有关单位或者个人拒绝接受森林防火检查或者接到森林火灾隐患整改通知书逾期不消除火灾隐患的，由县级以上地方人民政府林业主管部门责令改正，给予警告，对个人并处</w:t>
            </w:r>
            <w:r>
              <w:rPr>
                <w:rStyle w:val="10"/>
                <w:rFonts w:eastAsia="方正仿宋简体"/>
                <w:snapToGrid w:val="0"/>
              </w:rPr>
              <w:t>200</w:t>
            </w:r>
            <w:r>
              <w:rPr>
                <w:rStyle w:val="9"/>
                <w:rFonts w:ascii="Times New Roman" w:hAnsi="Times New Roman" w:cs="Times New Roman"/>
                <w:snapToGrid w:val="0"/>
              </w:rPr>
              <w:t>元以上</w:t>
            </w:r>
            <w:r>
              <w:rPr>
                <w:rStyle w:val="10"/>
                <w:rFonts w:eastAsia="方正仿宋简体"/>
                <w:snapToGrid w:val="0"/>
              </w:rPr>
              <w:t>2000</w:t>
            </w:r>
            <w:r>
              <w:rPr>
                <w:rStyle w:val="9"/>
                <w:rFonts w:ascii="Times New Roman" w:hAnsi="Times New Roman" w:cs="Times New Roman"/>
                <w:snapToGrid w:val="0"/>
              </w:rPr>
              <w:t>元以下罚款，对单位并处</w:t>
            </w:r>
            <w:r>
              <w:rPr>
                <w:rStyle w:val="10"/>
                <w:rFonts w:eastAsia="方正仿宋简体"/>
                <w:snapToGrid w:val="0"/>
              </w:rPr>
              <w:t>5000</w:t>
            </w:r>
            <w:r>
              <w:rPr>
                <w:rStyle w:val="9"/>
                <w:rFonts w:ascii="Times New Roman" w:hAnsi="Times New Roman" w:cs="Times New Roman"/>
                <w:snapToGrid w:val="0"/>
              </w:rPr>
              <w:t>元以上</w:t>
            </w:r>
            <w:r>
              <w:rPr>
                <w:rStyle w:val="10"/>
                <w:rFonts w:eastAsia="方正仿宋简体"/>
                <w:snapToGrid w:val="0"/>
              </w:rPr>
              <w:t>1</w:t>
            </w:r>
            <w:r>
              <w:rPr>
                <w:rStyle w:val="9"/>
                <w:rFonts w:ascii="Times New Roman" w:hAnsi="Times New Roman" w:cs="Times New Roman"/>
                <w:snapToGrid w:val="0"/>
              </w:rPr>
              <w:t>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120</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《森林防火条例》第四十八条</w:t>
            </w:r>
            <w:r>
              <w:rPr>
                <w:rStyle w:val="9"/>
                <w:rFonts w:hint="eastAsia" w:ascii="方正仿宋_GBK" w:hAnsi="方正仿宋_GBK" w:eastAsia="方正仿宋_GBK" w:cs="方正仿宋_GBK"/>
                <w:snapToGrid w:val="0"/>
              </w:rPr>
              <w:t>　违反本条例规定，森林、林木、林地的经营单位或者个人未履行森林防火责任的，由县级以上地方人民政府林业主管部门责令改正，对个人处</w:t>
            </w:r>
            <w:r>
              <w:rPr>
                <w:rStyle w:val="10"/>
                <w:rFonts w:hint="eastAsia" w:ascii="方正仿宋_GBK" w:hAnsi="方正仿宋_GBK" w:eastAsia="方正仿宋_GBK" w:cs="方正仿宋_GBK"/>
                <w:snapToGrid w:val="0"/>
              </w:rPr>
              <w:t>500</w:t>
            </w:r>
            <w:r>
              <w:rPr>
                <w:rStyle w:val="9"/>
                <w:rFonts w:hint="eastAsia" w:ascii="方正仿宋_GBK" w:hAnsi="方正仿宋_GBK" w:eastAsia="方正仿宋_GBK" w:cs="方正仿宋_GBK"/>
                <w:snapToGrid w:val="0"/>
              </w:rPr>
              <w:t>元以上</w:t>
            </w:r>
            <w:r>
              <w:rPr>
                <w:rStyle w:val="10"/>
                <w:rFonts w:hint="eastAsia" w:ascii="方正仿宋_GBK" w:hAnsi="方正仿宋_GBK" w:eastAsia="方正仿宋_GBK" w:cs="方正仿宋_GBK"/>
                <w:snapToGrid w:val="0"/>
              </w:rPr>
              <w:t>5000</w:t>
            </w:r>
            <w:r>
              <w:rPr>
                <w:rStyle w:val="9"/>
                <w:rFonts w:hint="eastAsia" w:ascii="方正仿宋_GBK" w:hAnsi="方正仿宋_GBK" w:eastAsia="方正仿宋_GBK" w:cs="方正仿宋_GBK"/>
                <w:snapToGrid w:val="0"/>
              </w:rPr>
              <w:t>元以下罚款，对单位处</w:t>
            </w:r>
            <w:r>
              <w:rPr>
                <w:rStyle w:val="10"/>
                <w:rFonts w:hint="eastAsia" w:ascii="方正仿宋_GBK" w:hAnsi="方正仿宋_GBK" w:eastAsia="方正仿宋_GBK" w:cs="方正仿宋_GBK"/>
                <w:snapToGrid w:val="0"/>
              </w:rPr>
              <w:t>1</w:t>
            </w:r>
            <w:r>
              <w:rPr>
                <w:rStyle w:val="9"/>
                <w:rFonts w:hint="eastAsia" w:ascii="方正仿宋_GBK" w:hAnsi="方正仿宋_GBK" w:eastAsia="方正仿宋_GBK" w:cs="方正仿宋_GBK"/>
                <w:snapToGrid w:val="0"/>
              </w:rPr>
              <w:t>万元以上</w:t>
            </w:r>
            <w:r>
              <w:rPr>
                <w:rStyle w:val="10"/>
                <w:rFonts w:hint="eastAsia" w:ascii="方正仿宋_GBK" w:hAnsi="方正仿宋_GBK" w:eastAsia="方正仿宋_GBK" w:cs="方正仿宋_GBK"/>
                <w:snapToGrid w:val="0"/>
              </w:rPr>
              <w:t>5</w:t>
            </w:r>
            <w:r>
              <w:rPr>
                <w:rStyle w:val="9"/>
                <w:rFonts w:hint="eastAsia" w:ascii="方正仿宋_GBK" w:hAnsi="方正仿宋_GBK" w:eastAsia="方正仿宋_GBK" w:cs="方正仿宋_GBK"/>
                <w:snapToGrid w:val="0"/>
              </w:rPr>
              <w:t>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121</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《四川省森林防火条例》第四十四条</w:t>
            </w:r>
            <w:r>
              <w:rPr>
                <w:rStyle w:val="9"/>
                <w:rFonts w:hint="eastAsia" w:ascii="方正仿宋_GBK" w:hAnsi="方正仿宋_GBK" w:eastAsia="方正仿宋_GBK" w:cs="方正仿宋_GBK"/>
                <w:snapToGrid w:val="0"/>
              </w:rPr>
              <w:t>　违反本条例规定，破坏和侵占森林防火通道、标志、宣传碑（牌）、</w:t>
            </w:r>
            <w:r>
              <w:rPr>
                <w:rStyle w:val="12"/>
                <w:rFonts w:hint="eastAsia" w:ascii="方正仿宋_GBK" w:hAnsi="方正仿宋_GBK" w:eastAsia="方正仿宋_GBK" w:cs="方正仿宋_GBK"/>
                <w:snapToGrid w:val="0"/>
              </w:rPr>
              <w:t>瞭</w:t>
            </w:r>
            <w:r>
              <w:rPr>
                <w:rStyle w:val="9"/>
                <w:rFonts w:hint="eastAsia" w:ascii="方正仿宋_GBK" w:hAnsi="方正仿宋_GBK" w:eastAsia="方正仿宋_GBK" w:cs="方正仿宋_GBK"/>
                <w:snapToGrid w:val="0"/>
              </w:rPr>
              <w:t>望台（塔）、隔离带等设施设备的，依法赔偿损失，由县级以上地方人民政府林业行政主管部门责令停止违法行为，对个人并处五百元以上二千元以下罚款，对单位并处一万元以上三万元以下罚款。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122</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snapToGrid w:val="0"/>
                <w:color w:val="000000"/>
                <w:kern w:val="0"/>
                <w:sz w:val="22"/>
                <w:szCs w:val="22"/>
              </w:rPr>
              <w:t>　　</w:t>
            </w:r>
            <w:r>
              <w:rPr>
                <w:rFonts w:ascii="Times New Roman" w:hAnsi="Times New Roman" w:eastAsia="方正仿宋简体"/>
                <w:b/>
                <w:snapToGrid w:val="0"/>
                <w:color w:val="000000"/>
                <w:kern w:val="0"/>
                <w:sz w:val="22"/>
                <w:szCs w:val="22"/>
              </w:rPr>
              <w:t>《四川省森林防火条例》第四十三条第二项、第三项</w:t>
            </w:r>
            <w:r>
              <w:rPr>
                <w:rStyle w:val="9"/>
                <w:rFonts w:ascii="Times New Roman" w:hAnsi="Times New Roman" w:cs="Times New Roman"/>
                <w:snapToGrid w:val="0"/>
              </w:rPr>
              <w:t>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123</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snapToGrid w:val="0"/>
              <w:spacing w:line="0" w:lineRule="atLeast"/>
              <w:ind w:firstLine="401"/>
              <w:textAlignment w:val="center"/>
              <w:rPr>
                <w:rStyle w:val="9"/>
                <w:rFonts w:ascii="Times New Roman" w:hAnsi="Times New Roman" w:cs="Times New Roman"/>
                <w:snapToGrid w:val="0"/>
              </w:rPr>
            </w:pPr>
            <w:r>
              <w:rPr>
                <w:rFonts w:ascii="Times New Roman" w:hAnsi="Times New Roman" w:eastAsia="方正仿宋简体"/>
                <w:b/>
                <w:snapToGrid w:val="0"/>
                <w:color w:val="000000"/>
                <w:kern w:val="0"/>
                <w:sz w:val="22"/>
                <w:szCs w:val="22"/>
              </w:rPr>
              <w:t>《四川省野生植物保护条例》第九条第三款</w:t>
            </w:r>
            <w:r>
              <w:rPr>
                <w:rStyle w:val="9"/>
                <w:rFonts w:ascii="Times New Roman" w:hAnsi="Times New Roman" w:cs="Times New Roman"/>
                <w:snapToGrid w:val="0"/>
              </w:rPr>
              <w:t>　禁止破坏野生植物生长环境和野生植物保护小区、保护点的保护设施、保护标志。</w:t>
            </w:r>
          </w:p>
          <w:p>
            <w:pPr>
              <w:widowControl/>
              <w:adjustRightInd w:val="0"/>
              <w:snapToGrid w:val="0"/>
              <w:spacing w:line="0" w:lineRule="atLeast"/>
              <w:ind w:firstLine="442" w:firstLineChars="200"/>
              <w:textAlignment w:val="center"/>
              <w:rPr>
                <w:rFonts w:ascii="方正仿宋_GBK" w:hAnsi="方正仿宋_GBK" w:eastAsia="方正仿宋_GBK" w:cs="方正仿宋_GBK"/>
                <w:b/>
                <w:snapToGrid w:val="0"/>
                <w:color w:val="000000"/>
                <w:kern w:val="0"/>
                <w:sz w:val="18"/>
                <w:szCs w:val="18"/>
              </w:rPr>
            </w:pPr>
            <w:r>
              <w:rPr>
                <w:rFonts w:ascii="Times New Roman" w:hAnsi="Times New Roman" w:eastAsia="方正仿宋简体"/>
                <w:b/>
                <w:snapToGrid w:val="0"/>
                <w:color w:val="000000"/>
                <w:kern w:val="0"/>
                <w:sz w:val="22"/>
                <w:szCs w:val="22"/>
              </w:rPr>
              <w:t>第二十四条</w:t>
            </w:r>
            <w:r>
              <w:rPr>
                <w:rStyle w:val="9"/>
                <w:rFonts w:ascii="Times New Roman" w:hAnsi="Times New Roman" w:cs="Times New Roman"/>
                <w:snapToGrid w:val="0"/>
              </w:rPr>
              <w:t>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124</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《中华人民共和国森林法》第七十四条第二款</w:t>
            </w:r>
            <w:r>
              <w:rPr>
                <w:rStyle w:val="9"/>
                <w:rFonts w:hint="eastAsia" w:ascii="方正仿宋_GBK" w:hAnsi="方正仿宋_GBK" w:eastAsia="方正仿宋_GBK" w:cs="方正仿宋_GBK"/>
                <w:snapToGrid w:val="0"/>
              </w:rPr>
              <w:t>　违反本法规定，在幼林地砍柴、毁苗、放牧造成林木毁坏的，由县级以上人民政府林业主管部门责令停止违法行为，限期在原地或者异地补种毁坏株数一倍以上三倍以下的树木。</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Style w:val="14"/>
                <w:rFonts w:ascii="Times New Roman" w:hAnsi="Times New Roman" w:eastAsia="方正仿宋_GBK" w:cs="Times New Roman"/>
                <w:b w:val="0"/>
                <w:sz w:val="24"/>
                <w:szCs w:val="24"/>
              </w:rPr>
              <w:t>应急管理和生态环境办公室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125</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ascii="Times New Roman" w:hAnsi="Times New Roman" w:eastAsia="方正仿宋简体"/>
                <w:snapToGrid w:val="0"/>
                <w:color w:val="000000"/>
                <w:kern w:val="0"/>
                <w:sz w:val="22"/>
                <w:szCs w:val="2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对违规停放机动车的行政处罚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b/>
                <w:snapToGrid w:val="0"/>
                <w:color w:val="000000"/>
                <w:kern w:val="0"/>
                <w:sz w:val="22"/>
                <w:szCs w:val="22"/>
              </w:rPr>
              <w:t>　　《中华人民共和国道路交通安全法》第九十三条</w:t>
            </w:r>
            <w:r>
              <w:rPr>
                <w:rStyle w:val="9"/>
                <w:rFonts w:hint="eastAsia" w:ascii="方正仿宋_GBK" w:hAnsi="方正仿宋_GBK" w:eastAsia="方正仿宋_GBK" w:cs="方正仿宋_GBK"/>
                <w:snapToGrid w:val="0"/>
              </w:rPr>
              <w:t>　对违反道路交通安全法律、法规关于机动车停放、临时停车规定的，可以指出违法行为，并予以口头警告，令其立即驶离。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因采取不正确的方法拖车造成机动车损坏的，应当依法承担补偿责任。</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Pr>
        <w:pStyle w:val="2"/>
        <w:jc w:val="center"/>
        <w:rPr>
          <w:rFonts w:ascii="方正小标宋_GBK" w:hAnsi="Times New Roman" w:eastAsia="方正小标宋_GBK"/>
          <w:spacing w:val="-23"/>
          <w:sz w:val="38"/>
          <w:szCs w:val="38"/>
        </w:rPr>
      </w:pPr>
      <w:r>
        <w:rPr>
          <w:rFonts w:hint="eastAsia" w:ascii="方正小标宋_GBK" w:hAnsi="Times New Roman" w:eastAsia="方正小标宋_GBK"/>
          <w:spacing w:val="-23"/>
          <w:sz w:val="38"/>
          <w:szCs w:val="38"/>
        </w:rPr>
        <w:t>仁和区仁和镇行政权力责任清单</w:t>
      </w:r>
    </w:p>
    <w:p>
      <w:pPr>
        <w:spacing w:line="360" w:lineRule="exact"/>
        <w:jc w:val="left"/>
        <w:textAlignment w:val="center"/>
        <w:rPr>
          <w:rFonts w:ascii="方正黑体_GBK" w:hAnsi="方正黑体_GBK" w:eastAsia="方正黑体_GBK" w:cs="方正黑体_GBK"/>
          <w:color w:val="000000"/>
          <w:sz w:val="28"/>
          <w:szCs w:val="28"/>
        </w:rPr>
      </w:pPr>
      <w:r>
        <w:rPr>
          <w:rFonts w:ascii="方正黑体_GBK" w:hAnsi="方正黑体_GBK" w:eastAsia="方正黑体_GBK" w:cs="方正黑体_GBK"/>
          <w:color w:val="000000"/>
          <w:sz w:val="28"/>
          <w:szCs w:val="28"/>
        </w:rPr>
        <w:t>表1-</w:t>
      </w:r>
      <w:r>
        <w:rPr>
          <w:rFonts w:hint="eastAsia" w:ascii="方正黑体_GBK" w:hAnsi="方正黑体_GBK" w:eastAsia="方正黑体_GBK" w:cs="方正黑体_GBK"/>
          <w:color w:val="000000"/>
          <w:sz w:val="28"/>
          <w:szCs w:val="28"/>
        </w:rPr>
        <w:t>126</w:t>
      </w: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序    号</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权力类型</w:t>
            </w:r>
          </w:p>
        </w:tc>
        <w:tc>
          <w:tcPr>
            <w:tcW w:w="7470" w:type="dxa"/>
            <w:vAlign w:val="center"/>
          </w:tcPr>
          <w:p>
            <w:pPr>
              <w:snapToGrid w:val="0"/>
              <w:jc w:val="center"/>
              <w:rPr>
                <w:rStyle w:val="8"/>
                <w:rFonts w:ascii="Times New Roman" w:hAnsi="Times New Roman" w:eastAsia="方正仿宋_GBK"/>
                <w:sz w:val="24"/>
                <w:szCs w:val="24"/>
              </w:rPr>
            </w:pPr>
            <w:r>
              <w:rPr>
                <w:rFonts w:hint="eastAsia" w:ascii="Times New Roman" w:hAnsi="Times New Roman" w:eastAsia="方正仿宋简体"/>
                <w:snapToGrid w:val="0"/>
                <w:color w:val="000000"/>
                <w:kern w:val="0"/>
                <w:sz w:val="22"/>
                <w:szCs w:val="22"/>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权力名称</w:t>
            </w:r>
          </w:p>
        </w:tc>
        <w:tc>
          <w:tcPr>
            <w:tcW w:w="7470" w:type="dxa"/>
            <w:vAlign w:val="center"/>
          </w:tcPr>
          <w:p>
            <w:pPr>
              <w:snapToGrid w:val="0"/>
              <w:jc w:val="center"/>
              <w:rPr>
                <w:rStyle w:val="8"/>
                <w:rFonts w:ascii="方正仿宋_GBK" w:hAnsi="方正仿宋_GBK" w:eastAsia="方正仿宋_GBK" w:cs="方正仿宋_GBK"/>
              </w:rPr>
            </w:pPr>
            <w:r>
              <w:rPr>
                <w:rFonts w:hint="eastAsia" w:ascii="方正仿宋_GBK" w:hAnsi="方正仿宋_GBK" w:eastAsia="方正仿宋_GBK" w:cs="方正仿宋_GBK"/>
                <w:snapToGrid w:val="0"/>
                <w:color w:val="000000"/>
                <w:kern w:val="0"/>
                <w:sz w:val="22"/>
                <w:szCs w:val="22"/>
              </w:rPr>
              <w:t>临时停车泊位的施划与取消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权力主体</w:t>
            </w:r>
          </w:p>
        </w:tc>
        <w:tc>
          <w:tcPr>
            <w:tcW w:w="7470" w:type="dxa"/>
            <w:vAlign w:val="center"/>
          </w:tcPr>
          <w:p>
            <w:pPr>
              <w:snapToGrid w:val="0"/>
              <w:jc w:val="center"/>
              <w:rPr>
                <w:rStyle w:val="8"/>
                <w:rFonts w:ascii="Times New Roman" w:hAnsi="Times New Roman" w:eastAsia="方正仿宋_GBK"/>
                <w:sz w:val="24"/>
                <w:szCs w:val="24"/>
              </w:rPr>
            </w:pPr>
            <w:r>
              <w:rPr>
                <w:rStyle w:val="8"/>
                <w:rFonts w:hint="eastAsia" w:ascii="Times New Roman" w:hAnsi="Times New Roman" w:eastAsia="方正仿宋_GBK"/>
                <w:sz w:val="24"/>
                <w:szCs w:val="24"/>
              </w:rPr>
              <w:t>仁和镇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权力来源</w:t>
            </w:r>
          </w:p>
        </w:tc>
        <w:tc>
          <w:tcPr>
            <w:tcW w:w="7470" w:type="dxa"/>
            <w:vAlign w:val="center"/>
          </w:tcPr>
          <w:p>
            <w:pPr>
              <w:snapToGrid w:val="0"/>
              <w:ind w:firstLine="1200" w:firstLineChars="500"/>
              <w:rPr>
                <w:rFonts w:ascii="Times New Roman" w:hAnsi="Times New Roman" w:eastAsia="方正仿宋_GBK"/>
                <w:sz w:val="24"/>
                <w:szCs w:val="24"/>
              </w:rPr>
            </w:pPr>
            <w:r>
              <w:rPr>
                <w:rStyle w:val="8"/>
                <w:rFonts w:ascii="Times New Roman" w:hAnsi="Times New Roman" w:eastAsia="方正仿宋_GBK"/>
                <w:sz w:val="24"/>
                <w:szCs w:val="24"/>
              </w:rPr>
              <w:sym w:font="Wingdings 2" w:char="0052"/>
            </w:r>
            <w:r>
              <w:rPr>
                <w:rStyle w:val="8"/>
                <w:rFonts w:ascii="Times New Roman" w:hAnsi="Times New Roman" w:eastAsia="方正仿宋_GBK"/>
                <w:sz w:val="24"/>
                <w:szCs w:val="24"/>
              </w:rPr>
              <w:t xml:space="preserve">法定            </w:t>
            </w:r>
            <w:r>
              <w:rPr>
                <w:rStyle w:val="8"/>
                <w:rFonts w:ascii="Times New Roman" w:hAnsi="Times New Roman" w:eastAsia="方正仿宋_GBK"/>
                <w:sz w:val="24"/>
                <w:szCs w:val="24"/>
              </w:rPr>
              <w:sym w:font="Wingdings 2" w:char="00A3"/>
            </w:r>
            <w:r>
              <w:rPr>
                <w:rStyle w:val="8"/>
                <w:rFonts w:ascii="Times New Roman" w:hAnsi="Times New Roman" w:eastAsia="方正仿宋_GBK"/>
                <w:sz w:val="24"/>
                <w:szCs w:val="24"/>
              </w:rPr>
              <w:t>赋权（</w:t>
            </w:r>
            <w:r>
              <w:rPr>
                <w:rStyle w:val="8"/>
                <w:rFonts w:ascii="Times New Roman" w:hAnsi="Times New Roman" w:eastAsia="方正仿宋_GBK"/>
                <w:sz w:val="24"/>
                <w:szCs w:val="24"/>
                <w:u w:val="single"/>
              </w:rPr>
              <w:t>县&lt;区&gt;XXX 局</w:t>
            </w:r>
            <w:r>
              <w:rPr>
                <w:rStyle w:val="8"/>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设定依据</w:t>
            </w:r>
          </w:p>
        </w:tc>
        <w:tc>
          <w:tcPr>
            <w:tcW w:w="7470" w:type="dxa"/>
            <w:vAlign w:val="center"/>
          </w:tcPr>
          <w:p>
            <w:pPr>
              <w:widowControl/>
              <w:adjustRightInd w:val="0"/>
              <w:snapToGrid w:val="0"/>
              <w:spacing w:line="0" w:lineRule="atLeast"/>
              <w:textAlignment w:val="center"/>
              <w:rPr>
                <w:rFonts w:ascii="方正仿宋_GBK" w:hAnsi="方正仿宋_GBK" w:eastAsia="方正仿宋_GBK" w:cs="方正仿宋_GBK"/>
                <w:b/>
                <w:snapToGrid w:val="0"/>
                <w:color w:val="000000"/>
                <w:kern w:val="0"/>
                <w:sz w:val="18"/>
                <w:szCs w:val="18"/>
              </w:rPr>
            </w:pPr>
            <w:r>
              <w:rPr>
                <w:rFonts w:hint="eastAsia" w:ascii="方正仿宋_GBK" w:hAnsi="方正仿宋_GBK" w:eastAsia="方正仿宋_GBK" w:cs="方正仿宋_GBK"/>
                <w:snapToGrid w:val="0"/>
                <w:color w:val="000000"/>
                <w:kern w:val="0"/>
                <w:sz w:val="22"/>
                <w:szCs w:val="22"/>
              </w:rPr>
              <w:t>　　</w:t>
            </w:r>
            <w:r>
              <w:rPr>
                <w:rFonts w:hint="eastAsia" w:ascii="方正仿宋_GBK" w:hAnsi="方正仿宋_GBK" w:eastAsia="方正仿宋_GBK" w:cs="方正仿宋_GBK"/>
                <w:b/>
                <w:snapToGrid w:val="0"/>
                <w:color w:val="000000"/>
                <w:kern w:val="0"/>
                <w:sz w:val="22"/>
                <w:szCs w:val="22"/>
              </w:rPr>
              <w:t>《四川省〈中华人民共和国道路交通安全法〉实施办法》第三十一条</w:t>
            </w:r>
            <w:r>
              <w:rPr>
                <w:rStyle w:val="9"/>
                <w:rFonts w:hint="eastAsia" w:ascii="方正仿宋_GBK" w:hAnsi="方正仿宋_GBK" w:eastAsia="方正仿宋_GBK" w:cs="方正仿宋_GBK"/>
                <w:snapToGrid w:val="0"/>
              </w:rPr>
              <w:t>　公安机关交通管理部门在停车位不足的城市道路范围内，可以在不影响行人、车辆通行的情况下施划一个月至十二个月不等期限的临时停车泊位，并向社会公告；发现已经施划的临时泊位停车影响行人、车辆通行时，应当及时将其取消。</w:t>
            </w:r>
          </w:p>
          <w:p>
            <w:pPr>
              <w:snapToGrid w:val="0"/>
              <w:ind w:firstLine="400" w:firstLineChars="200"/>
              <w:rPr>
                <w:rStyle w:val="8"/>
                <w:rFonts w:ascii="方正仿宋_GBK" w:hAnsi="方正仿宋_GBK" w:eastAsia="方正仿宋_GBK" w:cs="方正仿宋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责任主体</w:t>
            </w:r>
          </w:p>
        </w:tc>
        <w:tc>
          <w:tcPr>
            <w:tcW w:w="7470" w:type="dxa"/>
            <w:vAlign w:val="center"/>
          </w:tcPr>
          <w:p>
            <w:pPr>
              <w:snapToGrid w:val="0"/>
              <w:jc w:val="center"/>
              <w:rPr>
                <w:rFonts w:ascii="Times New Roman" w:hAnsi="Times New Roman" w:eastAsia="方正仿宋_GBK"/>
                <w:sz w:val="24"/>
                <w:szCs w:val="24"/>
              </w:rPr>
            </w:pPr>
            <w:r>
              <w:rPr>
                <w:rFonts w:ascii="Times New Roman" w:hAnsi="Times New Roman" w:eastAsia="方正仿宋_GBK"/>
                <w:sz w:val="24"/>
                <w:szCs w:val="24"/>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责任事项</w:t>
            </w:r>
          </w:p>
        </w:tc>
        <w:tc>
          <w:tcPr>
            <w:tcW w:w="7470" w:type="dxa"/>
            <w:vAlign w:val="center"/>
          </w:tcPr>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（1）受理责任：公示依法应当提交的材料；一次性告知补正材料，依法受理或不予受理（不予受理的依法告知理由）</w:t>
            </w:r>
            <w:r>
              <w:rPr>
                <w:rFonts w:hint="eastAsia" w:ascii="Times New Roman" w:hAnsi="Times New Roman" w:eastAsia="方正仿宋_GBK"/>
                <w:color w:val="000000"/>
                <w:kern w:val="0"/>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（2）审查责任：</w:t>
            </w:r>
            <w:r>
              <w:rPr>
                <w:rStyle w:val="8"/>
                <w:rFonts w:hint="eastAsia" w:ascii="Times New Roman" w:hAnsi="Times New Roman" w:eastAsia="方正仿宋_GBK"/>
                <w:sz w:val="24"/>
                <w:szCs w:val="24"/>
              </w:rPr>
              <w:t>依法</w:t>
            </w:r>
            <w:r>
              <w:rPr>
                <w:rStyle w:val="8"/>
                <w:rFonts w:ascii="Times New Roman" w:hAnsi="Times New Roman" w:eastAsia="方正仿宋_GBK"/>
                <w:sz w:val="24"/>
                <w:szCs w:val="24"/>
              </w:rPr>
              <w:t>对书面材料进行审查，</w:t>
            </w:r>
            <w:r>
              <w:rPr>
                <w:rFonts w:ascii="Times New Roman" w:hAnsi="Times New Roman" w:eastAsia="方正仿宋_GBK"/>
                <w:color w:val="000000"/>
                <w:kern w:val="0"/>
                <w:sz w:val="24"/>
                <w:szCs w:val="24"/>
              </w:rPr>
              <w:t>对申请材料齐全、符合法定形式的，提出初审意见。</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（3）决定责任：做出</w:t>
            </w:r>
            <w:r>
              <w:rPr>
                <w:rFonts w:hint="eastAsia" w:ascii="Times New Roman" w:hAnsi="Times New Roman" w:eastAsia="方正仿宋_GBK"/>
                <w:color w:val="000000"/>
                <w:kern w:val="0"/>
                <w:sz w:val="24"/>
                <w:szCs w:val="24"/>
              </w:rPr>
              <w:t>是否准予的</w:t>
            </w:r>
            <w:r>
              <w:rPr>
                <w:rFonts w:ascii="Times New Roman" w:hAnsi="Times New Roman" w:eastAsia="方正仿宋_GBK"/>
                <w:color w:val="000000"/>
                <w:kern w:val="0"/>
                <w:sz w:val="24"/>
                <w:szCs w:val="24"/>
              </w:rPr>
              <w:t>决定，并依法送达</w:t>
            </w:r>
            <w:r>
              <w:rPr>
                <w:rStyle w:val="8"/>
                <w:rFonts w:ascii="Times New Roman" w:hAnsi="Times New Roman" w:eastAsia="方正仿宋_GBK"/>
                <w:sz w:val="24"/>
                <w:szCs w:val="24"/>
              </w:rPr>
              <w:t>（不予许可的应当书面告知理由）</w:t>
            </w:r>
            <w:r>
              <w:rPr>
                <w:rStyle w:val="8"/>
                <w:rFonts w:hint="eastAsia" w:ascii="Times New Roman" w:hAnsi="Times New Roman" w:eastAsia="方正仿宋_GBK"/>
                <w:sz w:val="24"/>
                <w:szCs w:val="24"/>
              </w:rPr>
              <w:t>。</w:t>
            </w:r>
          </w:p>
          <w:p>
            <w:pPr>
              <w:snapToGrid w:val="0"/>
              <w:ind w:firstLine="480" w:firstLineChars="200"/>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（4）事后监督责任：督促其按时复学，并完成相关手续。</w:t>
            </w:r>
          </w:p>
          <w:p>
            <w:pPr>
              <w:snapToGrid w:val="0"/>
              <w:ind w:firstLine="480" w:firstLineChars="200"/>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（5）其他责任：法律法规规章</w:t>
            </w:r>
            <w:r>
              <w:rPr>
                <w:rFonts w:hint="eastAsia" w:ascii="Times New Roman" w:hAnsi="Times New Roman" w:eastAsia="方正仿宋_GBK"/>
                <w:color w:val="000000"/>
                <w:kern w:val="0"/>
                <w:sz w:val="24"/>
                <w:szCs w:val="24"/>
              </w:rPr>
              <w:t>文件</w:t>
            </w:r>
            <w:r>
              <w:rPr>
                <w:rFonts w:ascii="Times New Roman" w:hAnsi="Times New Roman" w:eastAsia="方正仿宋_GBK"/>
                <w:color w:val="000000"/>
                <w:kern w:val="0"/>
                <w:sz w:val="24"/>
                <w:szCs w:val="24"/>
              </w:rPr>
              <w:t>规定应履行的</w:t>
            </w:r>
            <w:r>
              <w:rPr>
                <w:rFonts w:hint="eastAsia" w:ascii="Times New Roman" w:hAnsi="Times New Roman" w:eastAsia="方正仿宋_GBK"/>
                <w:color w:val="000000"/>
                <w:kern w:val="0"/>
                <w:sz w:val="24"/>
                <w:szCs w:val="24"/>
              </w:rPr>
              <w:t>其他</w:t>
            </w:r>
            <w:r>
              <w:rPr>
                <w:rFonts w:ascii="Times New Roman" w:hAnsi="Times New Roman" w:eastAsia="方正仿宋_GBK"/>
                <w:color w:val="000000"/>
                <w:kern w:val="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追责情形</w:t>
            </w:r>
          </w:p>
        </w:tc>
        <w:tc>
          <w:tcPr>
            <w:tcW w:w="7470" w:type="dxa"/>
            <w:vAlign w:val="center"/>
          </w:tcPr>
          <w:p>
            <w:pPr>
              <w:snapToGrid w:val="0"/>
              <w:ind w:firstLine="480" w:firstLineChars="200"/>
              <w:textAlignment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rPr>
              <w:t>对不履行或不正确履行行政职责的行政机关及其工作人员，依据《中华人民共和国国家赔偿法》《中华人民共和国监察法》《中华人民共和国公职人员政务处分法》等法律相关规定追究相应的责任。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70" w:type="dxa"/>
            <w:vAlign w:val="center"/>
          </w:tcPr>
          <w:p>
            <w:pPr>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监督电话</w:t>
            </w:r>
          </w:p>
        </w:tc>
        <w:tc>
          <w:tcPr>
            <w:tcW w:w="7470" w:type="dxa"/>
            <w:vAlign w:val="center"/>
          </w:tcPr>
          <w:p>
            <w:pPr>
              <w:snapToGrid w:val="0"/>
              <w:jc w:val="center"/>
              <w:textAlignment w:val="center"/>
              <w:rPr>
                <w:rFonts w:ascii="Times New Roman" w:hAnsi="Times New Roman" w:eastAsia="方正仿宋_GBK"/>
                <w:sz w:val="24"/>
                <w:szCs w:val="24"/>
              </w:rPr>
            </w:pPr>
            <w:r>
              <w:rPr>
                <w:rFonts w:ascii="Times New Roman" w:hAnsi="Times New Roman" w:eastAsia="方正仿宋_GBK"/>
                <w:sz w:val="24"/>
                <w:szCs w:val="24"/>
              </w:rPr>
              <w:t>0812-</w:t>
            </w:r>
            <w:r>
              <w:rPr>
                <w:rFonts w:hint="eastAsia" w:ascii="Times New Roman" w:hAnsi="Times New Roman" w:eastAsia="方正仿宋_GBK"/>
                <w:sz w:val="24"/>
                <w:szCs w:val="24"/>
              </w:rPr>
              <w:t>2298251</w:t>
            </w:r>
            <w:r>
              <w:rPr>
                <w:rFonts w:ascii="Times New Roman" w:hAnsi="Times New Roman" w:eastAsia="方正仿宋_GBK"/>
                <w:sz w:val="24"/>
                <w:szCs w:val="24"/>
              </w:rPr>
              <w:t>（乡镇（街道）纪检监察电话）</w:t>
            </w: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kZjVhMTgxMTIzNjQ5NjFjNzkzYzNiMGVlZWMxNjEifQ=="/>
  </w:docVars>
  <w:rsids>
    <w:rsidRoot w:val="00AB33A7"/>
    <w:rsid w:val="0023357C"/>
    <w:rsid w:val="003D386E"/>
    <w:rsid w:val="008C7FF6"/>
    <w:rsid w:val="00A80931"/>
    <w:rsid w:val="00AB33A7"/>
    <w:rsid w:val="00B7334D"/>
    <w:rsid w:val="00BC5190"/>
    <w:rsid w:val="00F52FA3"/>
    <w:rsid w:val="01F41614"/>
    <w:rsid w:val="029C4329"/>
    <w:rsid w:val="031F5996"/>
    <w:rsid w:val="045521C0"/>
    <w:rsid w:val="0A602083"/>
    <w:rsid w:val="12637679"/>
    <w:rsid w:val="231D7EF5"/>
    <w:rsid w:val="2D4D7629"/>
    <w:rsid w:val="2E255933"/>
    <w:rsid w:val="37C25573"/>
    <w:rsid w:val="3BB26C93"/>
    <w:rsid w:val="3DDC65E6"/>
    <w:rsid w:val="55D0081A"/>
    <w:rsid w:val="6992777A"/>
    <w:rsid w:val="6B3D75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next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 w:type="character" w:customStyle="1" w:styleId="8">
    <w:name w:val="font81"/>
    <w:basedOn w:val="4"/>
    <w:qFormat/>
    <w:uiPriority w:val="0"/>
    <w:rPr>
      <w:rFonts w:ascii="方正仿宋简体" w:hAnsi="方正仿宋简体" w:eastAsia="方正仿宋简体" w:cs="方正仿宋简体"/>
      <w:color w:val="000000"/>
      <w:sz w:val="22"/>
      <w:szCs w:val="22"/>
      <w:u w:val="none"/>
    </w:rPr>
  </w:style>
  <w:style w:type="character" w:customStyle="1" w:styleId="9">
    <w:name w:val="font122"/>
    <w:qFormat/>
    <w:uiPriority w:val="0"/>
    <w:rPr>
      <w:rFonts w:hint="default" w:ascii="方正仿宋简体" w:hAnsi="方正仿宋简体" w:eastAsia="方正仿宋简体" w:cs="方正仿宋简体"/>
      <w:color w:val="000000"/>
      <w:sz w:val="22"/>
      <w:szCs w:val="22"/>
      <w:u w:val="none"/>
    </w:rPr>
  </w:style>
  <w:style w:type="character" w:customStyle="1" w:styleId="10">
    <w:name w:val="font111"/>
    <w:qFormat/>
    <w:uiPriority w:val="0"/>
    <w:rPr>
      <w:rFonts w:hint="default" w:ascii="Times New Roman" w:hAnsi="Times New Roman" w:cs="Times New Roman"/>
      <w:color w:val="000000"/>
      <w:sz w:val="22"/>
      <w:szCs w:val="22"/>
      <w:u w:val="none"/>
    </w:rPr>
  </w:style>
  <w:style w:type="character" w:customStyle="1" w:styleId="11">
    <w:name w:val="font151"/>
    <w:qFormat/>
    <w:uiPriority w:val="0"/>
    <w:rPr>
      <w:rFonts w:hint="default" w:ascii="Times New Roman" w:hAnsi="Times New Roman" w:cs="Times New Roman"/>
      <w:b/>
      <w:bCs/>
      <w:color w:val="000000"/>
      <w:sz w:val="22"/>
      <w:szCs w:val="22"/>
      <w:u w:val="none"/>
    </w:rPr>
  </w:style>
  <w:style w:type="character" w:customStyle="1" w:styleId="12">
    <w:name w:val="font71"/>
    <w:qFormat/>
    <w:uiPriority w:val="0"/>
    <w:rPr>
      <w:rFonts w:hint="default" w:ascii="Times New Roman" w:hAnsi="Times New Roman" w:cs="Times New Roman"/>
      <w:color w:val="000000"/>
      <w:sz w:val="22"/>
      <w:szCs w:val="22"/>
      <w:u w:val="none"/>
    </w:rPr>
  </w:style>
  <w:style w:type="character" w:customStyle="1" w:styleId="13">
    <w:name w:val="font41"/>
    <w:qFormat/>
    <w:uiPriority w:val="0"/>
    <w:rPr>
      <w:rFonts w:hint="eastAsia" w:ascii="方正仿宋简体" w:hAnsi="方正仿宋简体" w:eastAsia="方正仿宋简体" w:cs="方正仿宋简体"/>
      <w:color w:val="000000"/>
      <w:sz w:val="22"/>
      <w:szCs w:val="22"/>
      <w:u w:val="none"/>
    </w:rPr>
  </w:style>
  <w:style w:type="character" w:customStyle="1" w:styleId="14">
    <w:name w:val="font251"/>
    <w:basedOn w:val="4"/>
    <w:qFormat/>
    <w:uiPriority w:val="0"/>
    <w:rPr>
      <w:rFonts w:ascii="方正仿宋简体" w:hAnsi="方正仿宋简体" w:eastAsia="方正仿宋简体" w:cs="方正仿宋简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132</Pages>
  <Words>13607</Words>
  <Characters>77564</Characters>
  <Lines>646</Lines>
  <Paragraphs>181</Paragraphs>
  <TotalTime>0</TotalTime>
  <ScaleCrop>false</ScaleCrop>
  <LinksUpToDate>false</LinksUpToDate>
  <CharactersWithSpaces>90990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2022-12-21T01:30:00Z</dcterms:created>
  <dc:creator>周睿鹏</dc:creator>
  <cp:lastModifiedBy>宾玲</cp:lastModifiedBy>
  <dcterms:modified xsi:type="dcterms:W3CDTF">2022-12-27T08:39:58Z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3A2236CE54E842BE964F636EB37AC60C</vt:lpwstr>
  </property>
</Properties>
</file>