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按照《中共攀枝花市委办公厅 四川省人民政府办公厅关于深入实施预算绩效管理实的通知》（</w:t>
      </w:r>
      <w:proofErr w:type="gramStart"/>
      <w:r w:rsidRPr="006E36A5">
        <w:rPr>
          <w:rFonts w:ascii="宋体" w:eastAsia="宋体" w:hAnsi="宋体" w:cs="Times New Roman" w:hint="eastAsia"/>
          <w:kern w:val="0"/>
          <w:sz w:val="32"/>
          <w:szCs w:val="32"/>
        </w:rPr>
        <w:t>川委厅</w:t>
      </w:r>
      <w:proofErr w:type="gramEnd"/>
      <w:r w:rsidRPr="006E36A5">
        <w:rPr>
          <w:rFonts w:ascii="宋体" w:eastAsia="宋体" w:hAnsi="宋体" w:cs="Times New Roman" w:hint="eastAsia"/>
          <w:kern w:val="0"/>
          <w:sz w:val="32"/>
          <w:szCs w:val="32"/>
        </w:rPr>
        <w:t>〔2022〕5号）和《攀枝花市仁和区财政局关于开展2022年部门预算整体绩效评价工作及项目支出绩效自评工作的通知》（</w:t>
      </w:r>
      <w:proofErr w:type="gramStart"/>
      <w:r w:rsidRPr="006E36A5">
        <w:rPr>
          <w:rFonts w:ascii="宋体" w:eastAsia="宋体" w:hAnsi="宋体" w:cs="Times New Roman" w:hint="eastAsia"/>
          <w:kern w:val="0"/>
          <w:sz w:val="32"/>
          <w:szCs w:val="32"/>
        </w:rPr>
        <w:t>攀财绩</w:t>
      </w:r>
      <w:proofErr w:type="gramEnd"/>
      <w:r w:rsidRPr="006E36A5">
        <w:rPr>
          <w:rFonts w:ascii="宋体" w:eastAsia="宋体" w:hAnsi="宋体" w:cs="Times New Roman" w:hint="eastAsia"/>
          <w:kern w:val="0"/>
          <w:sz w:val="32"/>
          <w:szCs w:val="32"/>
        </w:rPr>
        <w:t>〔2022〕32号）要求，为进一步强化绩效管理理念，提高绩效管理水平，大河中路街道办事处对攀西科技城土地征收补偿专项项目进行了绩效评价，评价情况如下：</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一、项目概况</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（一）项目基本情况。</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本项目由攀枝花市政府下属的攀西科技城管理委员会负责。主要是对攀枝花市东区和仁和区交界处的大渡口街办、大河中路街办、金江镇的土地征收，对失地村民进行补偿、安置。引进各服务行业入驻新区，加快攀枝花市城市化建设。征地拆迁补偿款主要用于花城社区3个村民小组和渡口社区2个村民小组的土地征收、青苗补偿工作、安置房建设。涉及范围包括土地、青苗补偿款、房屋修建、工作经费相关费用等，有利于加强政府对土地的规划利用，促进攀枝花市的经济发展。大河中路街</w:t>
      </w:r>
      <w:proofErr w:type="gramStart"/>
      <w:r w:rsidRPr="006E36A5">
        <w:rPr>
          <w:rFonts w:ascii="宋体" w:eastAsia="宋体" w:hAnsi="宋体" w:cs="Times New Roman" w:hint="eastAsia"/>
          <w:kern w:val="0"/>
          <w:sz w:val="32"/>
          <w:szCs w:val="32"/>
        </w:rPr>
        <w:t>办财政</w:t>
      </w:r>
      <w:proofErr w:type="gramEnd"/>
      <w:r w:rsidRPr="006E36A5">
        <w:rPr>
          <w:rFonts w:ascii="宋体" w:eastAsia="宋体" w:hAnsi="宋体" w:cs="Times New Roman" w:hint="eastAsia"/>
          <w:kern w:val="0"/>
          <w:sz w:val="32"/>
          <w:szCs w:val="32"/>
        </w:rPr>
        <w:t>人员依照资金管理办法及相关财务制度严格进行报账，实现专款专用，无超范围使用和截留、挪用资金等行为，保证资金的专款专用。并由主要领导监管整个项目的实施，保障该工程项目的顺利进行，加快攀枝花市城市建设的步伐。</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（二）项目绩效目标。</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lastRenderedPageBreak/>
        <w:t>1</w:t>
      </w:r>
      <w:r w:rsidRPr="006E36A5">
        <w:rPr>
          <w:rFonts w:ascii="宋体" w:eastAsia="宋体" w:hAnsi="宋体" w:cs="Times New Roman" w:hint="eastAsia"/>
          <w:kern w:val="0"/>
          <w:sz w:val="32"/>
          <w:szCs w:val="32"/>
        </w:rPr>
        <w:t>.项目主要内容。</w:t>
      </w:r>
    </w:p>
    <w:p w:rsidR="0074498B" w:rsidRPr="006E36A5" w:rsidRDefault="0074498B" w:rsidP="0074498B">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攀西科技城土地征收补偿</w:t>
      </w:r>
      <w:r w:rsidRPr="006E36A5">
        <w:rPr>
          <w:rFonts w:ascii="宋体" w:eastAsia="宋体" w:hAnsi="宋体" w:cs="Times New Roman"/>
          <w:kern w:val="0"/>
          <w:sz w:val="32"/>
          <w:szCs w:val="32"/>
        </w:rPr>
        <w:t>主要</w:t>
      </w:r>
      <w:r w:rsidRPr="006E36A5">
        <w:rPr>
          <w:rFonts w:ascii="宋体" w:eastAsia="宋体" w:hAnsi="宋体" w:cs="Times New Roman" w:hint="eastAsia"/>
          <w:kern w:val="0"/>
          <w:sz w:val="32"/>
          <w:szCs w:val="32"/>
        </w:rPr>
        <w:t>是对土地征收范围内的村民按照《中华人民共和国土地管理法》，</w:t>
      </w:r>
      <w:r w:rsidRPr="006E36A5">
        <w:rPr>
          <w:rFonts w:ascii="宋体" w:eastAsia="宋体" w:hAnsi="宋体" w:cs="Times New Roman"/>
          <w:kern w:val="0"/>
          <w:sz w:val="32"/>
          <w:szCs w:val="32"/>
        </w:rPr>
        <w:t>国务院《</w:t>
      </w:r>
      <w:hyperlink r:id="rId4" w:tgtFrame="_blank" w:history="1">
        <w:r w:rsidRPr="006E36A5">
          <w:rPr>
            <w:rFonts w:ascii="宋体" w:eastAsia="宋体" w:hAnsi="宋体" w:cs="Times New Roman"/>
            <w:kern w:val="0"/>
            <w:sz w:val="32"/>
            <w:szCs w:val="32"/>
          </w:rPr>
          <w:t>国有土地上房屋征收与补偿条例</w:t>
        </w:r>
      </w:hyperlink>
      <w:r w:rsidRPr="006E36A5">
        <w:rPr>
          <w:rFonts w:ascii="宋体" w:eastAsia="宋体" w:hAnsi="宋体" w:cs="Times New Roman"/>
          <w:kern w:val="0"/>
          <w:sz w:val="32"/>
          <w:szCs w:val="32"/>
        </w:rPr>
        <w:t>》</w:t>
      </w:r>
      <w:r w:rsidRPr="006E36A5">
        <w:rPr>
          <w:rFonts w:ascii="宋体" w:eastAsia="宋体" w:hAnsi="宋体" w:cs="Times New Roman" w:hint="eastAsia"/>
          <w:kern w:val="0"/>
          <w:sz w:val="32"/>
          <w:szCs w:val="32"/>
        </w:rPr>
        <w:t>和《</w:t>
      </w:r>
      <w:r w:rsidRPr="006E36A5">
        <w:rPr>
          <w:rFonts w:ascii="宋体" w:eastAsia="宋体" w:hAnsi="宋体" w:cs="Times New Roman"/>
          <w:kern w:val="0"/>
          <w:sz w:val="32"/>
          <w:szCs w:val="32"/>
        </w:rPr>
        <w:t>四川省国有土地上房屋征收与补偿条例</w:t>
      </w:r>
      <w:r w:rsidRPr="006E36A5">
        <w:rPr>
          <w:rFonts w:ascii="宋体" w:eastAsia="宋体" w:hAnsi="宋体" w:cs="Times New Roman" w:hint="eastAsia"/>
          <w:kern w:val="0"/>
          <w:sz w:val="32"/>
          <w:szCs w:val="32"/>
        </w:rPr>
        <w:t>》，依照攀枝花市的实际情况进行补偿、安置。全力保障村民的生产、生活用房，并在过渡期内能较好地生产生活。</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2</w:t>
      </w:r>
      <w:r w:rsidRPr="006E36A5">
        <w:rPr>
          <w:rFonts w:ascii="宋体" w:eastAsia="宋体" w:hAnsi="宋体" w:cs="Times New Roman" w:hint="eastAsia"/>
          <w:kern w:val="0"/>
          <w:sz w:val="32"/>
          <w:szCs w:val="32"/>
        </w:rPr>
        <w:t>.项目应实现的具体绩效目标，包括目标的量化、细化情况以及项目实施进度计划等。</w:t>
      </w:r>
    </w:p>
    <w:p w:rsidR="00EF6E3E" w:rsidRPr="006E36A5" w:rsidRDefault="0074498B" w:rsidP="00EF6E3E">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该项目是长期项目，具体实施时间较长，预计实施期限为十年。现已实施了7年。</w:t>
      </w:r>
      <w:r w:rsidR="00EF6E3E" w:rsidRPr="006E36A5">
        <w:rPr>
          <w:rFonts w:ascii="宋体" w:eastAsia="宋体" w:hAnsi="宋体" w:cs="Times New Roman" w:hint="eastAsia"/>
          <w:kern w:val="0"/>
          <w:sz w:val="32"/>
          <w:szCs w:val="32"/>
        </w:rPr>
        <w:t>2021年度项目的主要目标是：（1）修建巴斯</w:t>
      </w:r>
      <w:proofErr w:type="gramStart"/>
      <w:r w:rsidR="00EF6E3E" w:rsidRPr="006E36A5">
        <w:rPr>
          <w:rFonts w:ascii="宋体" w:eastAsia="宋体" w:hAnsi="宋体" w:cs="Times New Roman" w:hint="eastAsia"/>
          <w:kern w:val="0"/>
          <w:sz w:val="32"/>
          <w:szCs w:val="32"/>
        </w:rPr>
        <w:t>箐</w:t>
      </w:r>
      <w:proofErr w:type="gramEnd"/>
      <w:r w:rsidR="00EF6E3E" w:rsidRPr="006E36A5">
        <w:rPr>
          <w:rFonts w:ascii="宋体" w:eastAsia="宋体" w:hAnsi="宋体" w:cs="Times New Roman" w:hint="eastAsia"/>
          <w:kern w:val="0"/>
          <w:sz w:val="32"/>
          <w:szCs w:val="32"/>
        </w:rPr>
        <w:t>生活安置用房155套，预计修建面积40000㎡，工程总造价预算为9607万元，在2021年至2022年修建，2021年预计支付3600万元。（2）补偿花城社区花果组拆迁安置资金1040万元。（3）补偿渡口社区弯腰</w:t>
      </w:r>
      <w:proofErr w:type="gramStart"/>
      <w:r w:rsidR="00EF6E3E" w:rsidRPr="006E36A5">
        <w:rPr>
          <w:rFonts w:ascii="宋体" w:eastAsia="宋体" w:hAnsi="宋体" w:cs="Times New Roman" w:hint="eastAsia"/>
          <w:kern w:val="0"/>
          <w:sz w:val="32"/>
          <w:szCs w:val="32"/>
        </w:rPr>
        <w:t>树小组</w:t>
      </w:r>
      <w:proofErr w:type="gramEnd"/>
      <w:r w:rsidR="00EF6E3E" w:rsidRPr="006E36A5">
        <w:rPr>
          <w:rFonts w:ascii="宋体" w:eastAsia="宋体" w:hAnsi="宋体" w:cs="Times New Roman" w:hint="eastAsia"/>
          <w:kern w:val="0"/>
          <w:sz w:val="32"/>
          <w:szCs w:val="32"/>
        </w:rPr>
        <w:t>拆迁安置经费800万元。（4）支付花城社区和渡口社区村民安置过渡费240万元。（5）支付在项目拆迁过程中的护林防火、环保检查、办公设施、办公费用等工作经费100万元。</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3</w:t>
      </w:r>
      <w:r w:rsidRPr="006E36A5">
        <w:rPr>
          <w:rFonts w:ascii="宋体" w:eastAsia="宋体" w:hAnsi="宋体" w:cs="Times New Roman" w:hint="eastAsia"/>
          <w:kern w:val="0"/>
          <w:sz w:val="32"/>
          <w:szCs w:val="32"/>
        </w:rPr>
        <w:t>.分析评价申报内容是否与实际相符，申报目标是否合理可行。</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申报内容与实际相符，申报目标合理可行。</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二、项目资金申报及使用情况</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（一）项目资金申报及批复情况。</w:t>
      </w:r>
    </w:p>
    <w:p w:rsidR="00EF6E3E" w:rsidRPr="006E36A5" w:rsidRDefault="00EF6E3E" w:rsidP="00EF6E3E">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攀西科技城土地征收补偿项目历经时间较长，动态资金需求大，城市发展与经济发展、社会发展息息相关，项目资金来源主要是土地整理挂拍成交的出让土地的资金。因此资金较为紧张，同时与国家的各项社会、经济、人口等政策相关。项目资金的申报和批复要靠土地出让的情况来决定。</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（二）项目资金计划、到位及使用情况。</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1</w:t>
      </w:r>
      <w:r w:rsidRPr="006E36A5">
        <w:rPr>
          <w:rFonts w:ascii="宋体" w:eastAsia="宋体" w:hAnsi="宋体" w:cs="Times New Roman" w:hint="eastAsia"/>
          <w:kern w:val="0"/>
          <w:sz w:val="32"/>
          <w:szCs w:val="32"/>
        </w:rPr>
        <w:t>.资金计划。</w:t>
      </w:r>
    </w:p>
    <w:p w:rsidR="00EF6E3E" w:rsidRPr="006E36A5" w:rsidRDefault="00EF6E3E" w:rsidP="00EF6E3E">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攀西科技城土地征收补偿项目由攀枝花市攀西科技城管委会负责，资金由管委会拨付给仁和区财政局，仁和区财政局再下拨到大河中路街道办事处，项目资金不在区财政局的资金计划内，全属市级专项资金。</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2</w:t>
      </w:r>
      <w:r w:rsidRPr="006E36A5">
        <w:rPr>
          <w:rFonts w:ascii="宋体" w:eastAsia="宋体" w:hAnsi="宋体" w:cs="Times New Roman" w:hint="eastAsia"/>
          <w:kern w:val="0"/>
          <w:sz w:val="32"/>
          <w:szCs w:val="32"/>
        </w:rPr>
        <w:t>.资金到位。</w:t>
      </w:r>
    </w:p>
    <w:p w:rsidR="00EF6E3E" w:rsidRPr="006E36A5" w:rsidRDefault="00EF6E3E" w:rsidP="00EF6E3E">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2021年攀西科技城土地征收补偿资金能及时到位，能按照安置房的进度及时拨款，对村民的过渡费能及时拨付。拆迁安置补偿也能如期进行。征地拆迁补偿款全部为市级财政专项资金，实际下达数额为5850万元，下达率为100%。</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3</w:t>
      </w:r>
      <w:r w:rsidRPr="006E36A5">
        <w:rPr>
          <w:rFonts w:ascii="宋体" w:eastAsia="宋体" w:hAnsi="宋体" w:cs="Times New Roman" w:hint="eastAsia"/>
          <w:kern w:val="0"/>
          <w:sz w:val="32"/>
          <w:szCs w:val="32"/>
        </w:rPr>
        <w:t>.资金使用。</w:t>
      </w:r>
    </w:p>
    <w:p w:rsidR="00EF6E3E" w:rsidRPr="006E36A5" w:rsidRDefault="00EF6E3E" w:rsidP="00EF6E3E">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大河中路街道办事处按照施工进度及时拨付工程进度款。及时支付村民过渡费。协调拆迁安置工作各项事务，促进拆迁安置项目顺利开展。征地拆迁补偿款5780万全部拨</w:t>
      </w:r>
      <w:r w:rsidR="00DD5C57" w:rsidRPr="006E36A5">
        <w:rPr>
          <w:rFonts w:ascii="宋体" w:eastAsia="宋体" w:hAnsi="宋体" w:cs="Times New Roman" w:hint="eastAsia"/>
          <w:kern w:val="0"/>
          <w:sz w:val="32"/>
          <w:szCs w:val="32"/>
        </w:rPr>
        <w:t>付给</w:t>
      </w:r>
      <w:r w:rsidRPr="006E36A5">
        <w:rPr>
          <w:rFonts w:ascii="宋体" w:eastAsia="宋体" w:hAnsi="宋体" w:cs="Times New Roman" w:hint="eastAsia"/>
          <w:kern w:val="0"/>
          <w:sz w:val="32"/>
          <w:szCs w:val="32"/>
        </w:rPr>
        <w:t>花城社区、渡口社区等村民小组账户。</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（三）项目财务管理情况。</w:t>
      </w:r>
    </w:p>
    <w:p w:rsidR="00EF6E3E" w:rsidRPr="006E36A5" w:rsidRDefault="00EF6E3E"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按照省、市、区财政管理办法由街道财政所按照专项资金的方式进行管理，街道财政所全程对资金进行监督和支付管理。经过区财政局下拨到财政支付大平台上，进行年度动态管理。大河中路街办</w:t>
      </w:r>
      <w:r w:rsidRPr="006E36A5">
        <w:rPr>
          <w:rFonts w:ascii="宋体" w:eastAsia="宋体" w:hAnsi="宋体" w:cs="Times New Roman"/>
          <w:kern w:val="0"/>
          <w:sz w:val="32"/>
          <w:szCs w:val="32"/>
        </w:rPr>
        <w:t>财务管理制度健全，严格执行财务管理制度，账务处理及时，会计核算规范。</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三、绩效评价工作开展情况</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结合项目组织实施管理办法，重点围绕以下内容进行分析评价，并对绩效评价中发现的问题分析说明。</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（一）绩效评价的目的、对象和范围。</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1.</w:t>
      </w:r>
      <w:r w:rsidRPr="006E36A5">
        <w:rPr>
          <w:rFonts w:ascii="宋体" w:eastAsia="宋体" w:hAnsi="宋体" w:cs="Times New Roman" w:hint="eastAsia"/>
          <w:kern w:val="0"/>
          <w:sz w:val="32"/>
          <w:szCs w:val="32"/>
        </w:rPr>
        <w:t>评价目的。通过实施绩效评价，不断优化资源配置，推进项目建设，健全项目资金管理体系，提高资金使用效率，</w:t>
      </w:r>
      <w:r w:rsidR="00EF6E3E" w:rsidRPr="006E36A5">
        <w:rPr>
          <w:rFonts w:ascii="宋体" w:eastAsia="宋体" w:hAnsi="宋体" w:cs="Times New Roman" w:hint="eastAsia"/>
          <w:kern w:val="0"/>
          <w:sz w:val="32"/>
          <w:szCs w:val="32"/>
        </w:rPr>
        <w:t>在生态系统承载能力范围内，运用生态工程、社会工程和系统工程方法，采用现代科学技术手段，利用资源潜力，构建生态健康、景观适宜的道路环境和文明和谐自然，形成生态良性循环的以改善民生</w:t>
      </w:r>
      <w:r w:rsidR="00DD5C57" w:rsidRPr="006E36A5">
        <w:rPr>
          <w:rFonts w:ascii="宋体" w:eastAsia="宋体" w:hAnsi="宋体" w:cs="Times New Roman" w:hint="eastAsia"/>
          <w:kern w:val="0"/>
          <w:sz w:val="32"/>
          <w:szCs w:val="32"/>
        </w:rPr>
        <w:t>得实惠的社会建设，促进自然生态与人类生态的高度统一和可持续发展</w:t>
      </w:r>
      <w:r w:rsidRPr="006E36A5">
        <w:rPr>
          <w:rFonts w:ascii="宋体" w:eastAsia="宋体" w:hAnsi="宋体" w:cs="Times New Roman" w:hint="eastAsia"/>
          <w:kern w:val="0"/>
          <w:sz w:val="32"/>
          <w:szCs w:val="32"/>
        </w:rPr>
        <w:t>。</w:t>
      </w:r>
    </w:p>
    <w:p w:rsidR="00DD5C57"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2.</w:t>
      </w:r>
      <w:r w:rsidRPr="006E36A5">
        <w:rPr>
          <w:rFonts w:ascii="宋体" w:eastAsia="宋体" w:hAnsi="宋体" w:cs="Times New Roman" w:hint="eastAsia"/>
          <w:kern w:val="0"/>
          <w:sz w:val="32"/>
          <w:szCs w:val="32"/>
        </w:rPr>
        <w:t>评价对象。</w:t>
      </w:r>
    </w:p>
    <w:p w:rsidR="0074498B" w:rsidRPr="006E36A5" w:rsidRDefault="00EF6E3E"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2021年度攀西科技城土地征收补偿专项项目</w:t>
      </w:r>
      <w:r w:rsidR="0074498B" w:rsidRPr="006E36A5">
        <w:rPr>
          <w:rFonts w:ascii="宋体" w:eastAsia="宋体" w:hAnsi="宋体" w:cs="Times New Roman" w:hint="eastAsia"/>
          <w:kern w:val="0"/>
          <w:sz w:val="32"/>
          <w:szCs w:val="32"/>
        </w:rPr>
        <w:t>。</w:t>
      </w:r>
    </w:p>
    <w:p w:rsidR="00DD5C57"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kern w:val="0"/>
          <w:sz w:val="32"/>
          <w:szCs w:val="32"/>
        </w:rPr>
        <w:t>3.</w:t>
      </w:r>
      <w:r w:rsidRPr="006E36A5">
        <w:rPr>
          <w:rFonts w:ascii="宋体" w:eastAsia="宋体" w:hAnsi="宋体" w:cs="Times New Roman" w:hint="eastAsia"/>
          <w:kern w:val="0"/>
          <w:sz w:val="32"/>
          <w:szCs w:val="32"/>
        </w:rPr>
        <w:t>评价范围。</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攀枝花市仁和区</w:t>
      </w:r>
      <w:r w:rsidR="00DD5C57" w:rsidRPr="006E36A5">
        <w:rPr>
          <w:rFonts w:ascii="宋体" w:eastAsia="宋体" w:hAnsi="宋体" w:cs="Times New Roman" w:hint="eastAsia"/>
          <w:kern w:val="0"/>
          <w:sz w:val="32"/>
          <w:szCs w:val="32"/>
        </w:rPr>
        <w:t>大河中路街道办事处</w:t>
      </w:r>
      <w:r w:rsidRPr="006E36A5">
        <w:rPr>
          <w:rFonts w:ascii="宋体" w:eastAsia="宋体" w:hAnsi="宋体" w:cs="Times New Roman" w:hint="eastAsia"/>
          <w:kern w:val="0"/>
          <w:sz w:val="32"/>
          <w:szCs w:val="32"/>
        </w:rPr>
        <w:t>对本项目2021年度项目资金</w:t>
      </w:r>
      <w:r w:rsidR="00EF6E3E" w:rsidRPr="006E36A5">
        <w:rPr>
          <w:rFonts w:ascii="宋体" w:eastAsia="宋体" w:hAnsi="宋体" w:cs="Times New Roman" w:hint="eastAsia"/>
          <w:kern w:val="0"/>
          <w:sz w:val="32"/>
          <w:szCs w:val="32"/>
        </w:rPr>
        <w:t>5780.3439</w:t>
      </w:r>
      <w:r w:rsidRPr="006E36A5">
        <w:rPr>
          <w:rFonts w:ascii="宋体" w:eastAsia="宋体" w:hAnsi="宋体" w:cs="Times New Roman" w:hint="eastAsia"/>
          <w:kern w:val="0"/>
          <w:sz w:val="32"/>
          <w:szCs w:val="32"/>
        </w:rPr>
        <w:t>万元进行项目绩效评价。</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（二）绩效评价原则。</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本次绩效评价秉承客观、公正和实事求是的原则。</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（三）绩效评价工作过程。</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攀枝花市仁和区</w:t>
      </w:r>
      <w:r w:rsidR="001A6997" w:rsidRPr="006E36A5">
        <w:rPr>
          <w:rFonts w:ascii="宋体" w:eastAsia="宋体" w:hAnsi="宋体" w:cs="Times New Roman" w:hint="eastAsia"/>
          <w:kern w:val="0"/>
          <w:sz w:val="32"/>
          <w:szCs w:val="32"/>
        </w:rPr>
        <w:t>大河中路街道办事处</w:t>
      </w:r>
      <w:r w:rsidRPr="006E36A5">
        <w:rPr>
          <w:rFonts w:ascii="宋体" w:eastAsia="宋体" w:hAnsi="宋体" w:cs="Times New Roman" w:hint="eastAsia"/>
          <w:kern w:val="0"/>
          <w:sz w:val="32"/>
          <w:szCs w:val="32"/>
        </w:rPr>
        <w:t>相关人员在</w:t>
      </w:r>
      <w:r w:rsidRPr="006E36A5">
        <w:rPr>
          <w:rFonts w:ascii="宋体" w:eastAsia="宋体" w:hAnsi="宋体" w:cs="Times New Roman"/>
          <w:kern w:val="0"/>
          <w:sz w:val="32"/>
          <w:szCs w:val="32"/>
        </w:rPr>
        <w:t>202</w:t>
      </w:r>
      <w:r w:rsidR="00EF6E3E" w:rsidRPr="006E36A5">
        <w:rPr>
          <w:rFonts w:ascii="宋体" w:eastAsia="宋体" w:hAnsi="宋体" w:cs="Times New Roman" w:hint="eastAsia"/>
          <w:kern w:val="0"/>
          <w:sz w:val="32"/>
          <w:szCs w:val="32"/>
        </w:rPr>
        <w:t>2年5月</w:t>
      </w:r>
      <w:r w:rsidRPr="006E36A5">
        <w:rPr>
          <w:rFonts w:ascii="宋体" w:eastAsia="宋体" w:hAnsi="宋体" w:cs="Times New Roman" w:hint="eastAsia"/>
          <w:kern w:val="0"/>
          <w:sz w:val="32"/>
          <w:szCs w:val="32"/>
        </w:rPr>
        <w:t>中旬对《</w:t>
      </w:r>
      <w:r w:rsidR="00EF6E3E" w:rsidRPr="006E36A5">
        <w:rPr>
          <w:rFonts w:ascii="宋体" w:eastAsia="宋体" w:hAnsi="宋体" w:cs="Times New Roman" w:hint="eastAsia"/>
          <w:kern w:val="0"/>
          <w:sz w:val="32"/>
          <w:szCs w:val="32"/>
        </w:rPr>
        <w:t>攀西科技城土地征收补偿项目</w:t>
      </w:r>
      <w:r w:rsidRPr="006E36A5">
        <w:rPr>
          <w:rFonts w:ascii="宋体" w:eastAsia="宋体" w:hAnsi="宋体" w:cs="Times New Roman" w:hint="eastAsia"/>
          <w:kern w:val="0"/>
          <w:sz w:val="32"/>
          <w:szCs w:val="32"/>
        </w:rPr>
        <w:t>》进行了项目绩效评价。本次评价采取会议座谈、现场查看和资料查阅相结合的方式开展，听取了该项目的情况汇报、查看了项目进展，并根据报账材料进行绩效分析。发现项目在实施过程中的问题，总结项目实施过程中存在的问题。</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四、评价结论及建议</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（一）评价结论。</w:t>
      </w:r>
    </w:p>
    <w:p w:rsidR="006E36A5" w:rsidRDefault="0074498B" w:rsidP="006E36A5">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r w:rsidRPr="006E36A5">
        <w:rPr>
          <w:rFonts w:ascii="宋体" w:eastAsia="宋体" w:hAnsi="宋体" w:cs="Times New Roman" w:hint="eastAsia"/>
          <w:kern w:val="0"/>
          <w:sz w:val="32"/>
          <w:szCs w:val="32"/>
        </w:rPr>
        <w:t>该项目严格按照</w:t>
      </w:r>
      <w:r w:rsidR="00EF6E3E" w:rsidRPr="006E36A5">
        <w:rPr>
          <w:rFonts w:ascii="宋体" w:eastAsia="宋体" w:hAnsi="宋体" w:cs="Times New Roman" w:hint="eastAsia"/>
          <w:kern w:val="0"/>
          <w:sz w:val="32"/>
          <w:szCs w:val="32"/>
        </w:rPr>
        <w:t>《中华人民共和国土地管理法》，</w:t>
      </w:r>
      <w:r w:rsidR="00EF6E3E" w:rsidRPr="006E36A5">
        <w:rPr>
          <w:rFonts w:ascii="宋体" w:eastAsia="宋体" w:hAnsi="宋体" w:cs="Times New Roman"/>
          <w:kern w:val="0"/>
          <w:sz w:val="32"/>
          <w:szCs w:val="32"/>
        </w:rPr>
        <w:t>国务院《</w:t>
      </w:r>
      <w:hyperlink r:id="rId5" w:tgtFrame="_blank" w:history="1">
        <w:r w:rsidR="00EF6E3E" w:rsidRPr="006E36A5">
          <w:rPr>
            <w:rFonts w:ascii="宋体" w:eastAsia="宋体" w:hAnsi="宋体" w:cs="Times New Roman"/>
            <w:kern w:val="0"/>
            <w:sz w:val="32"/>
            <w:szCs w:val="32"/>
          </w:rPr>
          <w:t>国有土地上房屋征收与补偿条例</w:t>
        </w:r>
      </w:hyperlink>
      <w:r w:rsidR="00EF6E3E" w:rsidRPr="006E36A5">
        <w:rPr>
          <w:rFonts w:ascii="宋体" w:eastAsia="宋体" w:hAnsi="宋体" w:cs="Times New Roman"/>
          <w:kern w:val="0"/>
          <w:sz w:val="32"/>
          <w:szCs w:val="32"/>
        </w:rPr>
        <w:t>》</w:t>
      </w:r>
      <w:r w:rsidR="00EF6E3E" w:rsidRPr="006E36A5">
        <w:rPr>
          <w:rFonts w:ascii="宋体" w:eastAsia="宋体" w:hAnsi="宋体" w:cs="Times New Roman" w:hint="eastAsia"/>
          <w:kern w:val="0"/>
          <w:sz w:val="32"/>
          <w:szCs w:val="32"/>
        </w:rPr>
        <w:t>和《</w:t>
      </w:r>
      <w:r w:rsidR="00EF6E3E" w:rsidRPr="006E36A5">
        <w:rPr>
          <w:rFonts w:ascii="宋体" w:eastAsia="宋体" w:hAnsi="宋体" w:cs="Times New Roman"/>
          <w:kern w:val="0"/>
          <w:sz w:val="32"/>
          <w:szCs w:val="32"/>
        </w:rPr>
        <w:t>四川省国有土地上房屋征收与补偿条例</w:t>
      </w:r>
      <w:r w:rsidR="00EF6E3E" w:rsidRPr="006E36A5">
        <w:rPr>
          <w:rFonts w:ascii="宋体" w:eastAsia="宋体" w:hAnsi="宋体" w:cs="Times New Roman" w:hint="eastAsia"/>
          <w:kern w:val="0"/>
          <w:sz w:val="32"/>
          <w:szCs w:val="32"/>
        </w:rPr>
        <w:t>》</w:t>
      </w:r>
      <w:r w:rsidRPr="006E36A5">
        <w:rPr>
          <w:rFonts w:ascii="宋体" w:eastAsia="宋体" w:hAnsi="宋体" w:cs="Times New Roman" w:hint="eastAsia"/>
          <w:kern w:val="0"/>
          <w:sz w:val="32"/>
          <w:szCs w:val="32"/>
        </w:rPr>
        <w:t>的相关要求，对项目实施监管，依据相关财务制度完成报账及资金支付工作。项目实施过程决策合理、依据充分，监管到位，未出现资金违规使用情况和违反政策法规情况。综合评价得分92分（详见下表）。</w:t>
      </w:r>
    </w:p>
    <w:tbl>
      <w:tblPr>
        <w:tblW w:w="8720" w:type="dxa"/>
        <w:tblInd w:w="93" w:type="dxa"/>
        <w:tblLook w:val="04A0"/>
      </w:tblPr>
      <w:tblGrid>
        <w:gridCol w:w="1400"/>
        <w:gridCol w:w="1920"/>
        <w:gridCol w:w="2740"/>
        <w:gridCol w:w="1360"/>
        <w:gridCol w:w="1300"/>
      </w:tblGrid>
      <w:tr w:rsidR="006E36A5" w:rsidRPr="006E36A5" w:rsidTr="006E36A5">
        <w:trPr>
          <w:trHeight w:val="585"/>
        </w:trPr>
        <w:tc>
          <w:tcPr>
            <w:tcW w:w="8720" w:type="dxa"/>
            <w:gridSpan w:val="5"/>
            <w:tcBorders>
              <w:top w:val="nil"/>
              <w:left w:val="nil"/>
              <w:bottom w:val="single" w:sz="4" w:space="0" w:color="auto"/>
              <w:right w:val="nil"/>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8"/>
                <w:szCs w:val="28"/>
              </w:rPr>
            </w:pPr>
            <w:r w:rsidRPr="006E36A5">
              <w:rPr>
                <w:rFonts w:ascii="宋体" w:eastAsia="宋体" w:hAnsi="宋体" w:cs="宋体" w:hint="eastAsia"/>
                <w:b/>
                <w:bCs/>
                <w:kern w:val="0"/>
                <w:sz w:val="28"/>
                <w:szCs w:val="28"/>
              </w:rPr>
              <w:t>攀枝花市仁和区攀西科技城土地征收补偿项目绩效评价得分情况表</w:t>
            </w:r>
          </w:p>
        </w:tc>
      </w:tr>
      <w:tr w:rsidR="006E36A5" w:rsidRPr="006E36A5" w:rsidTr="006E36A5">
        <w:trPr>
          <w:trHeight w:val="259"/>
        </w:trPr>
        <w:tc>
          <w:tcPr>
            <w:tcW w:w="1400" w:type="dxa"/>
            <w:tcBorders>
              <w:top w:val="nil"/>
              <w:left w:val="single" w:sz="4" w:space="0" w:color="auto"/>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2"/>
              </w:rPr>
            </w:pPr>
            <w:r w:rsidRPr="006E36A5">
              <w:rPr>
                <w:rFonts w:ascii="宋体" w:eastAsia="宋体" w:hAnsi="宋体" w:cs="宋体" w:hint="eastAsia"/>
                <w:b/>
                <w:bCs/>
                <w:kern w:val="0"/>
                <w:sz w:val="22"/>
              </w:rPr>
              <w:t>一级指标</w:t>
            </w:r>
          </w:p>
        </w:tc>
        <w:tc>
          <w:tcPr>
            <w:tcW w:w="192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2"/>
              </w:rPr>
            </w:pPr>
            <w:r w:rsidRPr="006E36A5">
              <w:rPr>
                <w:rFonts w:ascii="宋体" w:eastAsia="宋体" w:hAnsi="宋体" w:cs="宋体" w:hint="eastAsia"/>
                <w:b/>
                <w:bCs/>
                <w:kern w:val="0"/>
                <w:sz w:val="22"/>
              </w:rPr>
              <w:t>二级指标</w:t>
            </w:r>
          </w:p>
        </w:tc>
        <w:tc>
          <w:tcPr>
            <w:tcW w:w="2740" w:type="dxa"/>
            <w:tcBorders>
              <w:top w:val="nil"/>
              <w:left w:val="nil"/>
              <w:bottom w:val="nil"/>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2"/>
              </w:rPr>
            </w:pPr>
            <w:r w:rsidRPr="006E36A5">
              <w:rPr>
                <w:rFonts w:ascii="宋体" w:eastAsia="宋体" w:hAnsi="宋体" w:cs="宋体" w:hint="eastAsia"/>
                <w:b/>
                <w:bCs/>
                <w:kern w:val="0"/>
                <w:sz w:val="22"/>
              </w:rPr>
              <w:t>三级指标</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2"/>
              </w:rPr>
            </w:pPr>
            <w:r w:rsidRPr="006E36A5">
              <w:rPr>
                <w:rFonts w:ascii="宋体" w:eastAsia="宋体" w:hAnsi="宋体" w:cs="宋体" w:hint="eastAsia"/>
                <w:b/>
                <w:bCs/>
                <w:kern w:val="0"/>
                <w:sz w:val="22"/>
              </w:rPr>
              <w:t>分值</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b/>
                <w:bCs/>
                <w:kern w:val="0"/>
                <w:sz w:val="22"/>
              </w:rPr>
            </w:pPr>
            <w:r w:rsidRPr="006E36A5">
              <w:rPr>
                <w:rFonts w:ascii="宋体" w:eastAsia="宋体" w:hAnsi="宋体" w:cs="宋体" w:hint="eastAsia"/>
                <w:b/>
                <w:bCs/>
                <w:kern w:val="0"/>
                <w:sz w:val="22"/>
              </w:rPr>
              <w:t>实际得分</w:t>
            </w:r>
          </w:p>
        </w:tc>
      </w:tr>
      <w:tr w:rsidR="006E36A5" w:rsidRPr="006E36A5" w:rsidTr="006E36A5">
        <w:trPr>
          <w:trHeight w:val="259"/>
        </w:trPr>
        <w:tc>
          <w:tcPr>
            <w:tcW w:w="14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（25分）</w:t>
            </w:r>
            <w:r w:rsidRPr="006E36A5">
              <w:rPr>
                <w:rFonts w:ascii="宋体" w:eastAsia="宋体" w:hAnsi="宋体" w:cs="宋体" w:hint="eastAsia"/>
                <w:kern w:val="0"/>
                <w:sz w:val="22"/>
              </w:rPr>
              <w:br/>
              <w:t xml:space="preserve">项目决策  </w:t>
            </w: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（6分）</w:t>
            </w:r>
            <w:r w:rsidRPr="006E36A5">
              <w:rPr>
                <w:rFonts w:ascii="宋体" w:eastAsia="宋体" w:hAnsi="宋体" w:cs="宋体" w:hint="eastAsia"/>
                <w:kern w:val="0"/>
                <w:sz w:val="22"/>
              </w:rPr>
              <w:br/>
              <w:t xml:space="preserve">绩效目标    </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目标内容</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进度计划</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目标匹配</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（10分）</w:t>
            </w:r>
            <w:r w:rsidRPr="006E36A5">
              <w:rPr>
                <w:rFonts w:ascii="宋体" w:eastAsia="宋体" w:hAnsi="宋体" w:cs="宋体" w:hint="eastAsia"/>
                <w:kern w:val="0"/>
                <w:sz w:val="22"/>
              </w:rPr>
              <w:br/>
              <w:t xml:space="preserve">决策依据   </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政策依据</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nil"/>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实施规划</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single" w:sz="4" w:space="0" w:color="auto"/>
              <w:left w:val="nil"/>
              <w:bottom w:val="nil"/>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管理制度</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（4分）</w:t>
            </w:r>
            <w:r w:rsidRPr="006E36A5">
              <w:rPr>
                <w:rFonts w:ascii="宋体" w:eastAsia="宋体" w:hAnsi="宋体" w:cs="宋体" w:hint="eastAsia"/>
                <w:kern w:val="0"/>
                <w:sz w:val="22"/>
              </w:rPr>
              <w:br/>
              <w:t>资金分配</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分配方法</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分配过程</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（5分）</w:t>
            </w:r>
            <w:r w:rsidRPr="006E36A5">
              <w:rPr>
                <w:rFonts w:ascii="宋体" w:eastAsia="宋体" w:hAnsi="宋体" w:cs="宋体" w:hint="eastAsia"/>
                <w:kern w:val="0"/>
                <w:sz w:val="22"/>
              </w:rPr>
              <w:br/>
              <w:t>分配结果</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审核把关</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3</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3</w:t>
            </w:r>
          </w:p>
        </w:tc>
      </w:tr>
      <w:tr w:rsidR="006E36A5" w:rsidRPr="006E36A5" w:rsidTr="006E36A5">
        <w:trPr>
          <w:trHeight w:val="312"/>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资金集中</w:t>
            </w:r>
            <w:r w:rsidRPr="006E36A5">
              <w:rPr>
                <w:rFonts w:ascii="宋体" w:eastAsia="宋体" w:hAnsi="宋体" w:cs="宋体" w:hint="eastAsia"/>
                <w:kern w:val="0"/>
                <w:sz w:val="22"/>
              </w:rPr>
              <w:br/>
              <w:t>（均衡）</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312"/>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36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3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r>
      <w:tr w:rsidR="006E36A5" w:rsidRPr="006E36A5" w:rsidTr="006E36A5">
        <w:trPr>
          <w:trHeight w:val="259"/>
        </w:trPr>
        <w:tc>
          <w:tcPr>
            <w:tcW w:w="14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（15分）</w:t>
            </w:r>
            <w:r w:rsidRPr="006E36A5">
              <w:rPr>
                <w:rFonts w:ascii="宋体" w:eastAsia="宋体" w:hAnsi="宋体" w:cs="宋体" w:hint="eastAsia"/>
                <w:kern w:val="0"/>
                <w:sz w:val="22"/>
              </w:rPr>
              <w:br/>
              <w:t>项目管理</w:t>
            </w: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（4分）</w:t>
            </w:r>
            <w:r w:rsidRPr="006E36A5">
              <w:rPr>
                <w:rFonts w:ascii="宋体" w:eastAsia="宋体" w:hAnsi="宋体" w:cs="宋体" w:hint="eastAsia"/>
                <w:kern w:val="0"/>
                <w:sz w:val="22"/>
              </w:rPr>
              <w:br/>
              <w:t xml:space="preserve">资金到位     </w:t>
            </w:r>
          </w:p>
        </w:tc>
        <w:tc>
          <w:tcPr>
            <w:tcW w:w="2740" w:type="dxa"/>
            <w:tcBorders>
              <w:top w:val="nil"/>
              <w:left w:val="nil"/>
              <w:bottom w:val="nil"/>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分配实效</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资金拨付</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（3分）</w:t>
            </w:r>
            <w:r w:rsidRPr="006E36A5">
              <w:rPr>
                <w:rFonts w:ascii="宋体" w:eastAsia="宋体" w:hAnsi="宋体" w:cs="宋体" w:hint="eastAsia"/>
                <w:kern w:val="0"/>
                <w:sz w:val="22"/>
              </w:rPr>
              <w:br/>
              <w:t xml:space="preserve">资金管理     </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使用范围</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支付依据</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开支标准</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（4分）</w:t>
            </w:r>
            <w:r w:rsidRPr="006E36A5">
              <w:rPr>
                <w:rFonts w:ascii="宋体" w:eastAsia="宋体" w:hAnsi="宋体" w:cs="宋体" w:hint="eastAsia"/>
                <w:kern w:val="0"/>
                <w:sz w:val="22"/>
              </w:rPr>
              <w:br/>
              <w:t>财务管理</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财务制度</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会计核算</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（4分）</w:t>
            </w:r>
            <w:r w:rsidRPr="006E36A5">
              <w:rPr>
                <w:rFonts w:ascii="宋体" w:eastAsia="宋体" w:hAnsi="宋体" w:cs="宋体" w:hint="eastAsia"/>
                <w:kern w:val="0"/>
                <w:sz w:val="22"/>
              </w:rPr>
              <w:br/>
              <w:t xml:space="preserve">组织实施    </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项目调整</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投资变更</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w:t>
            </w:r>
          </w:p>
        </w:tc>
      </w:tr>
      <w:tr w:rsidR="006E36A5" w:rsidRPr="006E36A5" w:rsidTr="006E36A5">
        <w:trPr>
          <w:trHeight w:val="259"/>
        </w:trPr>
        <w:tc>
          <w:tcPr>
            <w:tcW w:w="140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制度执行</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（特性指标60分）</w:t>
            </w:r>
            <w:r w:rsidRPr="006E36A5">
              <w:rPr>
                <w:rFonts w:ascii="宋体" w:eastAsia="宋体" w:hAnsi="宋体" w:cs="宋体" w:hint="eastAsia"/>
                <w:kern w:val="0"/>
                <w:sz w:val="22"/>
              </w:rPr>
              <w:br/>
              <w:t xml:space="preserve">绩效目标  </w:t>
            </w: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（15分）</w:t>
            </w:r>
            <w:r w:rsidRPr="006E36A5">
              <w:rPr>
                <w:rFonts w:ascii="宋体" w:eastAsia="宋体" w:hAnsi="宋体" w:cs="宋体" w:hint="eastAsia"/>
                <w:kern w:val="0"/>
                <w:sz w:val="22"/>
              </w:rPr>
              <w:br/>
              <w:t xml:space="preserve">项目完成  </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完成数量</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3</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3</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完成质量</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2</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完成时效</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 xml:space="preserve">4 </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完成成本</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 xml:space="preserve">4 </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4</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（40分）</w:t>
            </w:r>
            <w:r w:rsidRPr="006E36A5">
              <w:rPr>
                <w:rFonts w:ascii="宋体" w:eastAsia="宋体" w:hAnsi="宋体" w:cs="宋体" w:hint="eastAsia"/>
                <w:kern w:val="0"/>
                <w:sz w:val="22"/>
              </w:rPr>
              <w:br/>
              <w:t xml:space="preserve">项目效益  </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经济效益</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 xml:space="preserve">10 </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9</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社会效益</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 xml:space="preserve">10 </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9</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生态效益</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10</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8</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vMerge/>
            <w:tcBorders>
              <w:top w:val="nil"/>
              <w:left w:val="single" w:sz="4" w:space="0" w:color="auto"/>
              <w:bottom w:val="single" w:sz="4" w:space="0" w:color="auto"/>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可持续效益</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10</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10</w:t>
            </w:r>
          </w:p>
        </w:tc>
      </w:tr>
      <w:tr w:rsidR="006E36A5" w:rsidRPr="006E36A5" w:rsidTr="006E36A5">
        <w:trPr>
          <w:trHeight w:val="259"/>
        </w:trPr>
        <w:tc>
          <w:tcPr>
            <w:tcW w:w="1400" w:type="dxa"/>
            <w:vMerge/>
            <w:tcBorders>
              <w:top w:val="nil"/>
              <w:left w:val="single" w:sz="4" w:space="0" w:color="auto"/>
              <w:bottom w:val="single" w:sz="4" w:space="0" w:color="000000"/>
              <w:right w:val="single" w:sz="4" w:space="0" w:color="auto"/>
            </w:tcBorders>
            <w:vAlign w:val="center"/>
            <w:hideMark/>
          </w:tcPr>
          <w:p w:rsidR="006E36A5" w:rsidRPr="006E36A5" w:rsidRDefault="006E36A5" w:rsidP="006E36A5">
            <w:pPr>
              <w:widowControl/>
              <w:jc w:val="left"/>
              <w:rPr>
                <w:rFonts w:ascii="宋体" w:eastAsia="宋体" w:hAnsi="宋体" w:cs="宋体"/>
                <w:kern w:val="0"/>
                <w:sz w:val="22"/>
              </w:rPr>
            </w:pPr>
          </w:p>
        </w:tc>
        <w:tc>
          <w:tcPr>
            <w:tcW w:w="1920" w:type="dxa"/>
            <w:tcBorders>
              <w:top w:val="nil"/>
              <w:left w:val="nil"/>
              <w:bottom w:val="single" w:sz="4" w:space="0" w:color="auto"/>
              <w:right w:val="single" w:sz="4" w:space="0" w:color="auto"/>
            </w:tcBorders>
            <w:shd w:val="clear" w:color="auto" w:fill="auto"/>
            <w:textDirection w:val="tbRlV"/>
            <w:vAlign w:val="center"/>
            <w:hideMark/>
          </w:tcPr>
          <w:p w:rsidR="006E36A5" w:rsidRPr="006E36A5" w:rsidRDefault="006E36A5" w:rsidP="006E36A5">
            <w:pPr>
              <w:widowControl/>
              <w:jc w:val="left"/>
              <w:rPr>
                <w:rFonts w:ascii="宋体" w:eastAsia="宋体" w:hAnsi="宋体" w:cs="宋体"/>
                <w:kern w:val="0"/>
                <w:sz w:val="22"/>
              </w:rPr>
            </w:pPr>
            <w:r w:rsidRPr="006E36A5">
              <w:rPr>
                <w:rFonts w:ascii="宋体" w:eastAsia="宋体" w:hAnsi="宋体" w:cs="宋体" w:hint="eastAsia"/>
                <w:kern w:val="0"/>
                <w:sz w:val="22"/>
              </w:rPr>
              <w:t>（5分）</w:t>
            </w:r>
            <w:r w:rsidRPr="006E36A5">
              <w:rPr>
                <w:rFonts w:ascii="宋体" w:eastAsia="宋体" w:hAnsi="宋体" w:cs="宋体" w:hint="eastAsia"/>
                <w:kern w:val="0"/>
                <w:sz w:val="22"/>
              </w:rPr>
              <w:br/>
              <w:t>满意度</w:t>
            </w:r>
          </w:p>
        </w:tc>
        <w:tc>
          <w:tcPr>
            <w:tcW w:w="274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服务对象满意度</w:t>
            </w:r>
          </w:p>
        </w:tc>
        <w:tc>
          <w:tcPr>
            <w:tcW w:w="136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5</w:t>
            </w:r>
          </w:p>
        </w:tc>
        <w:tc>
          <w:tcPr>
            <w:tcW w:w="1300" w:type="dxa"/>
            <w:tcBorders>
              <w:top w:val="nil"/>
              <w:left w:val="nil"/>
              <w:bottom w:val="single" w:sz="4" w:space="0" w:color="auto"/>
              <w:right w:val="single" w:sz="4" w:space="0" w:color="auto"/>
            </w:tcBorders>
            <w:shd w:val="clear" w:color="auto" w:fill="auto"/>
            <w:vAlign w:val="center"/>
            <w:hideMark/>
          </w:tcPr>
          <w:p w:rsidR="006E36A5" w:rsidRPr="006E36A5" w:rsidRDefault="006E36A5" w:rsidP="006E36A5">
            <w:pPr>
              <w:widowControl/>
              <w:jc w:val="center"/>
              <w:rPr>
                <w:rFonts w:ascii="宋体" w:eastAsia="宋体" w:hAnsi="宋体" w:cs="宋体"/>
                <w:kern w:val="0"/>
                <w:sz w:val="22"/>
              </w:rPr>
            </w:pPr>
            <w:r w:rsidRPr="006E36A5">
              <w:rPr>
                <w:rFonts w:ascii="宋体" w:eastAsia="宋体" w:hAnsi="宋体" w:cs="宋体" w:hint="eastAsia"/>
                <w:kern w:val="0"/>
                <w:sz w:val="22"/>
              </w:rPr>
              <w:t>5</w:t>
            </w:r>
          </w:p>
        </w:tc>
      </w:tr>
      <w:tr w:rsidR="006E36A5" w:rsidRPr="006E36A5" w:rsidTr="006E36A5">
        <w:trPr>
          <w:trHeight w:val="259"/>
        </w:trPr>
        <w:tc>
          <w:tcPr>
            <w:tcW w:w="60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6A5" w:rsidRPr="006E36A5" w:rsidRDefault="006E36A5" w:rsidP="006E36A5">
            <w:pPr>
              <w:widowControl/>
              <w:jc w:val="center"/>
              <w:rPr>
                <w:rFonts w:ascii="宋体" w:eastAsia="宋体" w:hAnsi="宋体" w:cs="宋体"/>
                <w:kern w:val="0"/>
                <w:sz w:val="24"/>
                <w:szCs w:val="24"/>
              </w:rPr>
            </w:pPr>
            <w:r w:rsidRPr="006E36A5">
              <w:rPr>
                <w:rFonts w:ascii="宋体" w:eastAsia="宋体" w:hAnsi="宋体" w:cs="宋体" w:hint="eastAsia"/>
                <w:kern w:val="0"/>
                <w:sz w:val="24"/>
                <w:szCs w:val="24"/>
              </w:rPr>
              <w:t>合计</w:t>
            </w:r>
          </w:p>
        </w:tc>
        <w:tc>
          <w:tcPr>
            <w:tcW w:w="1360" w:type="dxa"/>
            <w:tcBorders>
              <w:top w:val="nil"/>
              <w:left w:val="nil"/>
              <w:bottom w:val="single" w:sz="4" w:space="0" w:color="auto"/>
              <w:right w:val="single" w:sz="4" w:space="0" w:color="auto"/>
            </w:tcBorders>
            <w:shd w:val="clear" w:color="auto" w:fill="auto"/>
            <w:noWrap/>
            <w:vAlign w:val="bottom"/>
            <w:hideMark/>
          </w:tcPr>
          <w:p w:rsidR="006E36A5" w:rsidRPr="006E36A5" w:rsidRDefault="006E36A5" w:rsidP="006E36A5">
            <w:pPr>
              <w:widowControl/>
              <w:jc w:val="center"/>
              <w:rPr>
                <w:rFonts w:ascii="宋体" w:eastAsia="宋体" w:hAnsi="宋体" w:cs="宋体"/>
                <w:kern w:val="0"/>
                <w:sz w:val="24"/>
                <w:szCs w:val="24"/>
              </w:rPr>
            </w:pPr>
            <w:r w:rsidRPr="006E36A5">
              <w:rPr>
                <w:rFonts w:ascii="宋体" w:eastAsia="宋体" w:hAnsi="宋体" w:cs="宋体" w:hint="eastAsia"/>
                <w:kern w:val="0"/>
                <w:sz w:val="24"/>
                <w:szCs w:val="24"/>
              </w:rPr>
              <w:t>100</w:t>
            </w:r>
          </w:p>
        </w:tc>
        <w:tc>
          <w:tcPr>
            <w:tcW w:w="1300" w:type="dxa"/>
            <w:tcBorders>
              <w:top w:val="nil"/>
              <w:left w:val="nil"/>
              <w:bottom w:val="single" w:sz="4" w:space="0" w:color="auto"/>
              <w:right w:val="single" w:sz="4" w:space="0" w:color="auto"/>
            </w:tcBorders>
            <w:shd w:val="clear" w:color="auto" w:fill="auto"/>
            <w:noWrap/>
            <w:vAlign w:val="bottom"/>
            <w:hideMark/>
          </w:tcPr>
          <w:p w:rsidR="006E36A5" w:rsidRPr="006E36A5" w:rsidRDefault="006E36A5" w:rsidP="006E36A5">
            <w:pPr>
              <w:widowControl/>
              <w:jc w:val="center"/>
              <w:rPr>
                <w:rFonts w:ascii="宋体" w:eastAsia="宋体" w:hAnsi="宋体" w:cs="宋体"/>
                <w:kern w:val="0"/>
                <w:sz w:val="24"/>
                <w:szCs w:val="24"/>
              </w:rPr>
            </w:pPr>
            <w:r w:rsidRPr="006E36A5">
              <w:rPr>
                <w:rFonts w:ascii="宋体" w:eastAsia="宋体" w:hAnsi="宋体" w:cs="宋体" w:hint="eastAsia"/>
                <w:kern w:val="0"/>
                <w:sz w:val="24"/>
                <w:szCs w:val="24"/>
              </w:rPr>
              <w:t>92</w:t>
            </w:r>
          </w:p>
        </w:tc>
      </w:tr>
    </w:tbl>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（二）存在的问题。</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一是项目绩效目标编制有待完善和细化，部分指标与实际产生偏差;二是因财政资金紧张，致使进度资金未完</w:t>
      </w:r>
      <w:proofErr w:type="gramStart"/>
      <w:r w:rsidRPr="006E36A5">
        <w:rPr>
          <w:rFonts w:ascii="宋体" w:eastAsia="宋体" w:hAnsi="宋体" w:cs="Times New Roman" w:hint="eastAsia"/>
          <w:kern w:val="0"/>
          <w:sz w:val="32"/>
          <w:szCs w:val="32"/>
        </w:rPr>
        <w:t>全支付</w:t>
      </w:r>
      <w:proofErr w:type="gramEnd"/>
      <w:r w:rsidRPr="006E36A5">
        <w:rPr>
          <w:rFonts w:ascii="宋体" w:eastAsia="宋体" w:hAnsi="宋体" w:cs="Times New Roman" w:hint="eastAsia"/>
          <w:kern w:val="0"/>
          <w:sz w:val="32"/>
          <w:szCs w:val="32"/>
        </w:rPr>
        <w:t>给相关单位。</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（四）相关建议。</w:t>
      </w:r>
    </w:p>
    <w:p w:rsidR="0074498B" w:rsidRPr="006E36A5" w:rsidRDefault="0074498B"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6E36A5">
        <w:rPr>
          <w:rFonts w:ascii="宋体" w:eastAsia="宋体" w:hAnsi="宋体" w:cs="Times New Roman" w:hint="eastAsia"/>
          <w:kern w:val="0"/>
          <w:sz w:val="32"/>
          <w:szCs w:val="32"/>
        </w:rPr>
        <w:t>做好对项目实施跟踪检查工作，掌握各个项目实施进度，及时进，提出行之有效的解决措施。严格按照财政项目支出绩效管理办法，加强绩效管理的指导，提高绩效管理人员的绩效管理能力，实现预期的绩效目标。为该项目争取项目资金，及时完成支付，</w:t>
      </w:r>
      <w:proofErr w:type="gramStart"/>
      <w:r w:rsidRPr="006E36A5">
        <w:rPr>
          <w:rFonts w:ascii="宋体" w:eastAsia="宋体" w:hAnsi="宋体" w:cs="Times New Roman" w:hint="eastAsia"/>
          <w:kern w:val="0"/>
          <w:sz w:val="32"/>
          <w:szCs w:val="32"/>
        </w:rPr>
        <w:t>便推进</w:t>
      </w:r>
      <w:proofErr w:type="gramEnd"/>
      <w:r w:rsidRPr="006E36A5">
        <w:rPr>
          <w:rFonts w:ascii="宋体" w:eastAsia="宋体" w:hAnsi="宋体" w:cs="Times New Roman" w:hint="eastAsia"/>
          <w:kern w:val="0"/>
          <w:sz w:val="32"/>
          <w:szCs w:val="32"/>
        </w:rPr>
        <w:t>项目建设工作。</w:t>
      </w:r>
    </w:p>
    <w:p w:rsidR="005A5BB7" w:rsidRPr="006E36A5" w:rsidRDefault="005A5BB7" w:rsidP="006E36A5">
      <w:pPr>
        <w:autoSpaceDE w:val="0"/>
        <w:autoSpaceDN w:val="0"/>
        <w:adjustRightInd w:val="0"/>
        <w:spacing w:line="600" w:lineRule="exact"/>
        <w:ind w:firstLineChars="200" w:firstLine="640"/>
        <w:jc w:val="left"/>
        <w:rPr>
          <w:rFonts w:ascii="宋体" w:eastAsia="宋体" w:hAnsi="宋体" w:cs="Times New Roman"/>
          <w:kern w:val="0"/>
          <w:sz w:val="32"/>
          <w:szCs w:val="32"/>
        </w:rPr>
      </w:pPr>
    </w:p>
    <w:sectPr w:rsidR="005A5BB7" w:rsidRPr="006E36A5" w:rsidSect="005A5B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74498B"/>
    <w:rsid w:val="000123BF"/>
    <w:rsid w:val="000130CD"/>
    <w:rsid w:val="001A6997"/>
    <w:rsid w:val="003A1589"/>
    <w:rsid w:val="005A5BB7"/>
    <w:rsid w:val="006E36A5"/>
    <w:rsid w:val="0074498B"/>
    <w:rsid w:val="008826C6"/>
    <w:rsid w:val="00A9488A"/>
    <w:rsid w:val="00AB5860"/>
    <w:rsid w:val="00B06B2E"/>
    <w:rsid w:val="00DD5C57"/>
    <w:rsid w:val="00EF6E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498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4498B"/>
    <w:rPr>
      <w:b/>
      <w:bCs/>
    </w:rPr>
  </w:style>
</w:styles>
</file>

<file path=word/webSettings.xml><?xml version="1.0" encoding="utf-8"?>
<w:webSettings xmlns:r="http://schemas.openxmlformats.org/officeDocument/2006/relationships" xmlns:w="http://schemas.openxmlformats.org/wordprocessingml/2006/main">
  <w:divs>
    <w:div w:id="95029438">
      <w:bodyDiv w:val="1"/>
      <w:marLeft w:val="0"/>
      <w:marRight w:val="0"/>
      <w:marTop w:val="0"/>
      <w:marBottom w:val="0"/>
      <w:divBdr>
        <w:top w:val="none" w:sz="0" w:space="0" w:color="auto"/>
        <w:left w:val="none" w:sz="0" w:space="0" w:color="auto"/>
        <w:bottom w:val="none" w:sz="0" w:space="0" w:color="auto"/>
        <w:right w:val="none" w:sz="0" w:space="0" w:color="auto"/>
      </w:divBdr>
    </w:div>
    <w:div w:id="875587185">
      <w:bodyDiv w:val="1"/>
      <w:marLeft w:val="0"/>
      <w:marRight w:val="0"/>
      <w:marTop w:val="0"/>
      <w:marBottom w:val="0"/>
      <w:divBdr>
        <w:top w:val="none" w:sz="0" w:space="0" w:color="auto"/>
        <w:left w:val="none" w:sz="0" w:space="0" w:color="auto"/>
        <w:bottom w:val="none" w:sz="0" w:space="0" w:color="auto"/>
        <w:right w:val="none" w:sz="0" w:space="0" w:color="auto"/>
      </w:divBdr>
    </w:div>
    <w:div w:id="1169558664">
      <w:bodyDiv w:val="1"/>
      <w:marLeft w:val="0"/>
      <w:marRight w:val="0"/>
      <w:marTop w:val="0"/>
      <w:marBottom w:val="0"/>
      <w:divBdr>
        <w:top w:val="none" w:sz="0" w:space="0" w:color="auto"/>
        <w:left w:val="none" w:sz="0" w:space="0" w:color="auto"/>
        <w:bottom w:val="none" w:sz="0" w:space="0" w:color="auto"/>
        <w:right w:val="none" w:sz="0" w:space="0" w:color="auto"/>
      </w:divBdr>
    </w:div>
    <w:div w:id="200686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aike.so.com/doc/5406389-5644234.html" TargetMode="External"/><Relationship Id="rId4" Type="http://schemas.openxmlformats.org/officeDocument/2006/relationships/hyperlink" Target="https://baike.so.com/doc/5406389-564423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493</Words>
  <Characters>2811</Characters>
  <Application>Microsoft Office Word</Application>
  <DocSecurity>0</DocSecurity>
  <Lines>23</Lines>
  <Paragraphs>6</Paragraphs>
  <ScaleCrop>false</ScaleCrop>
  <Company>china</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李洪文</dc:creator>
  <cp:lastModifiedBy>李洪文</cp:lastModifiedBy>
  <cp:revision>3</cp:revision>
  <dcterms:created xsi:type="dcterms:W3CDTF">2022-06-15T01:50:00Z</dcterms:created>
  <dcterms:modified xsi:type="dcterms:W3CDTF">2022-06-15T01:57:00Z</dcterms:modified>
</cp:coreProperties>
</file>