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s="Times New Roman"/>
          <w:color w:val="000000"/>
          <w:kern w:val="0"/>
          <w:sz w:val="44"/>
          <w:szCs w:val="44"/>
          <w:lang w:val="zh-CN"/>
        </w:rPr>
        <w:t>仁和镇新冠肺炎疫情防控</w:t>
      </w:r>
      <w:r>
        <w:rPr>
          <w:rFonts w:hint="eastAsia" w:ascii="方正小标宋简体" w:hAnsi="宋体" w:eastAsia="方正小标宋简体"/>
          <w:color w:val="000000"/>
          <w:kern w:val="0"/>
          <w:sz w:val="44"/>
          <w:szCs w:val="44"/>
          <w:lang w:val="zh-CN"/>
        </w:rPr>
        <w:t>项目</w:t>
      </w:r>
      <w:r>
        <w:rPr>
          <w:rFonts w:ascii="方正小标宋简体" w:hAnsi="宋体" w:eastAsia="方正小标宋简体"/>
          <w:color w:val="000000"/>
          <w:kern w:val="0"/>
          <w:sz w:val="44"/>
          <w:szCs w:val="44"/>
        </w:rPr>
        <w:t>2020</w:t>
      </w:r>
      <w:r>
        <w:rPr>
          <w:rFonts w:hint="eastAsia" w:ascii="方正小标宋简体" w:hAnsi="宋体" w:eastAsia="方正小标宋简体"/>
          <w:color w:val="000000"/>
          <w:kern w:val="0"/>
          <w:sz w:val="44"/>
          <w:szCs w:val="44"/>
        </w:rPr>
        <w:t>年</w:t>
      </w:r>
      <w:r>
        <w:rPr>
          <w:rFonts w:hint="eastAsia" w:ascii="方正小标宋简体" w:hAnsi="宋体" w:eastAsia="方正小标宋简体"/>
          <w:color w:val="000000"/>
          <w:kern w:val="0"/>
          <w:sz w:val="44"/>
          <w:szCs w:val="44"/>
          <w:lang w:val="zh-CN"/>
        </w:rPr>
        <w:t>绩效评价报告</w:t>
      </w:r>
    </w:p>
    <w:p>
      <w:pPr>
        <w:spacing w:line="600" w:lineRule="exact"/>
        <w:jc w:val="right"/>
        <w:rPr>
          <w:rFonts w:ascii="宋体"/>
          <w:sz w:val="32"/>
          <w:szCs w:val="32"/>
          <w:lang w:val="zh-CN"/>
        </w:rPr>
      </w:pPr>
      <w:r>
        <w:rPr>
          <w:rFonts w:hint="eastAsia" w:ascii="楷体" w:hAnsi="楷体" w:eastAsia="楷体" w:cs="楷体"/>
          <w:kern w:val="0"/>
          <w:sz w:val="28"/>
          <w:szCs w:val="28"/>
          <w:shd w:val="clear" w:color="auto" w:fill="FFFFFF"/>
        </w:rPr>
        <w:t>攀永道和会咨[2021]</w:t>
      </w:r>
      <w:r>
        <w:rPr>
          <w:rFonts w:hint="eastAsia" w:ascii="楷体" w:hAnsi="楷体" w:eastAsia="楷体" w:cs="楷体"/>
          <w:kern w:val="0"/>
          <w:sz w:val="28"/>
          <w:szCs w:val="28"/>
          <w:shd w:val="clear" w:color="auto" w:fill="FFFFFF"/>
          <w:lang w:val="en-US" w:eastAsia="zh-CN"/>
        </w:rPr>
        <w:t>005</w:t>
      </w:r>
      <w:r>
        <w:rPr>
          <w:rFonts w:hint="eastAsia" w:ascii="楷体" w:hAnsi="楷体" w:eastAsia="楷体" w:cs="楷体"/>
          <w:kern w:val="0"/>
          <w:sz w:val="28"/>
          <w:szCs w:val="28"/>
          <w:shd w:val="clear" w:color="auto" w:fill="FFFFFF"/>
        </w:rPr>
        <w:t>号</w:t>
      </w:r>
    </w:p>
    <w:p>
      <w:pPr>
        <w:spacing w:line="500" w:lineRule="exact"/>
        <w:ind w:right="-428" w:rightChars="-204" w:firstLine="630"/>
        <w:jc w:val="left"/>
        <w:rPr>
          <w:rFonts w:hint="eastAsia" w:ascii="仿宋" w:hAnsi="仿宋" w:eastAsia="仿宋" w:cs="仿宋"/>
          <w:kern w:val="0"/>
          <w:sz w:val="30"/>
          <w:szCs w:val="30"/>
          <w:lang w:bidi="ar"/>
        </w:rPr>
      </w:pPr>
      <w:r>
        <w:rPr>
          <w:rFonts w:hint="eastAsia" w:ascii="仿宋" w:hAnsi="仿宋" w:eastAsia="仿宋" w:cs="仿宋"/>
          <w:kern w:val="0"/>
          <w:sz w:val="30"/>
          <w:szCs w:val="30"/>
          <w:lang w:bidi="ar"/>
        </w:rPr>
        <w:t>为进一步加强预算绩效管理，优化财政支出结构与资源配置，切实提高财政资金使用效益。根据《攀枝花市仁和区财政局关于开展2021年部门预算整体绩效评价自评工作的通知》（攀仁财〔2021〕35号文件）的规定，攀枝花永道和会计咨询服务有限公司（以下简称“我公司”）接受单位委托，对攀枝花市仁和区仁和镇人民政府</w:t>
      </w:r>
    </w:p>
    <w:p>
      <w:pPr>
        <w:spacing w:line="500" w:lineRule="exact"/>
        <w:ind w:right="-428" w:rightChars="-204"/>
        <w:jc w:val="left"/>
        <w:rPr>
          <w:rFonts w:hint="eastAsia" w:ascii="仿宋" w:hAnsi="仿宋" w:eastAsia="仿宋" w:cs="仿宋"/>
          <w:kern w:val="0"/>
          <w:sz w:val="30"/>
          <w:szCs w:val="30"/>
          <w:lang w:bidi="ar"/>
        </w:rPr>
      </w:pPr>
      <w:r>
        <w:rPr>
          <w:rFonts w:hint="eastAsia" w:ascii="仿宋" w:hAnsi="仿宋" w:eastAsia="仿宋" w:cs="仿宋"/>
          <w:kern w:val="0"/>
          <w:sz w:val="30"/>
          <w:szCs w:val="30"/>
          <w:lang w:bidi="ar"/>
        </w:rPr>
        <w:t xml:space="preserve">2020年新冠肺炎疫情防控项目（以下简称“仁和镇2020年疫情防控项目”）的支出绩效进行评价，我公司成立了绩效评价工作组。本着“实事求是、客观公正、科学合理、绩效导向”的原则，结合项目的实际情况，对仁和镇人民政府实施了包括抽查会计记录，查阅了本项目相关财务资料、考勤记录、公示等相关资料，调查与询问了相关工作人员等我们认为必要的评价程序，开展评价工作。现将有关情况报告如下： </w:t>
      </w:r>
    </w:p>
    <w:p>
      <w:pPr>
        <w:adjustRightInd w:val="0"/>
        <w:snapToGrid w:val="0"/>
        <w:spacing w:line="500" w:lineRule="exact"/>
        <w:ind w:right="-428" w:rightChars="-204" w:firstLine="678" w:firstLineChars="225"/>
        <w:rPr>
          <w:rFonts w:hint="eastAsia" w:ascii="宋体" w:hAnsi="宋体" w:cs="宋体"/>
          <w:b/>
          <w:sz w:val="30"/>
          <w:szCs w:val="30"/>
        </w:rPr>
      </w:pPr>
      <w:r>
        <w:rPr>
          <w:rFonts w:hint="eastAsia" w:ascii="宋体" w:hAnsi="宋体" w:cs="宋体"/>
          <w:b/>
          <w:sz w:val="30"/>
          <w:szCs w:val="30"/>
        </w:rPr>
        <w:t>一、双方责任</w:t>
      </w:r>
    </w:p>
    <w:p>
      <w:pPr>
        <w:spacing w:line="500" w:lineRule="exact"/>
        <w:ind w:right="-428" w:rightChars="-204" w:firstLine="630"/>
        <w:jc w:val="left"/>
        <w:rPr>
          <w:rFonts w:hint="eastAsia" w:ascii="仿宋" w:hAnsi="仿宋" w:eastAsia="仿宋" w:cs="仿宋"/>
          <w:kern w:val="0"/>
          <w:sz w:val="30"/>
          <w:szCs w:val="30"/>
          <w:lang w:bidi="ar"/>
        </w:rPr>
      </w:pPr>
      <w:r>
        <w:rPr>
          <w:rFonts w:hint="eastAsia" w:ascii="仿宋" w:hAnsi="仿宋" w:eastAsia="仿宋" w:cs="仿宋"/>
          <w:kern w:val="0"/>
          <w:sz w:val="30"/>
          <w:szCs w:val="30"/>
          <w:lang w:bidi="ar"/>
        </w:rPr>
        <w:t>（一）仁和镇人民政府的责任</w:t>
      </w:r>
    </w:p>
    <w:p>
      <w:pPr>
        <w:spacing w:line="500" w:lineRule="exact"/>
        <w:ind w:right="-428" w:rightChars="-204" w:firstLine="630"/>
        <w:jc w:val="left"/>
        <w:rPr>
          <w:rFonts w:hint="eastAsia" w:ascii="仿宋" w:hAnsi="仿宋" w:eastAsia="仿宋" w:cs="仿宋"/>
          <w:kern w:val="0"/>
          <w:sz w:val="30"/>
          <w:szCs w:val="30"/>
          <w:lang w:bidi="ar"/>
        </w:rPr>
      </w:pPr>
      <w:r>
        <w:rPr>
          <w:rFonts w:hint="eastAsia" w:ascii="仿宋" w:hAnsi="仿宋" w:eastAsia="仿宋" w:cs="仿宋"/>
          <w:kern w:val="0"/>
          <w:sz w:val="30"/>
          <w:szCs w:val="30"/>
          <w:lang w:bidi="ar"/>
        </w:rPr>
        <w:t>仁和镇人民政府责任包括：</w:t>
      </w:r>
      <w:bookmarkStart w:id="0" w:name="_GoBack"/>
      <w:bookmarkEnd w:id="0"/>
      <w:r>
        <w:rPr>
          <w:rFonts w:hint="eastAsia" w:ascii="仿宋" w:hAnsi="仿宋" w:eastAsia="仿宋" w:cs="仿宋"/>
          <w:kern w:val="0"/>
          <w:sz w:val="30"/>
          <w:szCs w:val="30"/>
          <w:highlight w:val="none"/>
          <w:lang w:eastAsia="zh-CN" w:bidi="ar"/>
        </w:rPr>
        <w:t>（</w:t>
      </w:r>
      <w:r>
        <w:rPr>
          <w:rFonts w:hint="eastAsia" w:ascii="仿宋" w:hAnsi="仿宋" w:eastAsia="仿宋" w:cs="仿宋"/>
          <w:kern w:val="0"/>
          <w:sz w:val="30"/>
          <w:szCs w:val="30"/>
          <w:lang w:bidi="ar"/>
        </w:rPr>
        <w:t>1</w:t>
      </w:r>
      <w:r>
        <w:rPr>
          <w:rFonts w:hint="eastAsia" w:ascii="仿宋" w:hAnsi="仿宋" w:eastAsia="仿宋" w:cs="仿宋"/>
          <w:kern w:val="0"/>
          <w:sz w:val="30"/>
          <w:szCs w:val="30"/>
          <w:highlight w:val="none"/>
          <w:lang w:eastAsia="zh-CN" w:bidi="ar"/>
        </w:rPr>
        <w:t>）</w:t>
      </w:r>
      <w:r>
        <w:rPr>
          <w:rFonts w:hint="eastAsia" w:ascii="仿宋" w:hAnsi="仿宋" w:eastAsia="仿宋" w:cs="仿宋"/>
          <w:kern w:val="0"/>
          <w:sz w:val="30"/>
          <w:szCs w:val="30"/>
          <w:lang w:bidi="ar"/>
        </w:rPr>
        <w:t>按照规定使用和管理仁和镇2020年疫情防控项目资金是仁和镇人民政府的责任；</w:t>
      </w:r>
      <w:r>
        <w:rPr>
          <w:rFonts w:hint="eastAsia" w:ascii="仿宋" w:hAnsi="仿宋" w:eastAsia="仿宋" w:cs="仿宋"/>
          <w:kern w:val="0"/>
          <w:sz w:val="30"/>
          <w:szCs w:val="30"/>
          <w:highlight w:val="none"/>
          <w:lang w:eastAsia="zh-CN" w:bidi="ar"/>
        </w:rPr>
        <w:t>（</w:t>
      </w:r>
      <w:r>
        <w:rPr>
          <w:rFonts w:hint="eastAsia" w:ascii="仿宋" w:hAnsi="仿宋" w:eastAsia="仿宋" w:cs="仿宋"/>
          <w:kern w:val="0"/>
          <w:sz w:val="30"/>
          <w:szCs w:val="30"/>
          <w:lang w:bidi="ar"/>
        </w:rPr>
        <w:t>2</w:t>
      </w:r>
      <w:r>
        <w:rPr>
          <w:rFonts w:hint="eastAsia" w:ascii="仿宋" w:hAnsi="仿宋" w:eastAsia="仿宋" w:cs="仿宋"/>
          <w:kern w:val="0"/>
          <w:sz w:val="30"/>
          <w:szCs w:val="30"/>
          <w:highlight w:val="none"/>
          <w:lang w:eastAsia="zh-CN" w:bidi="ar"/>
        </w:rPr>
        <w:t>）</w:t>
      </w:r>
      <w:r>
        <w:rPr>
          <w:rFonts w:hint="eastAsia" w:ascii="仿宋" w:hAnsi="仿宋" w:eastAsia="仿宋" w:cs="仿宋"/>
          <w:kern w:val="0"/>
          <w:sz w:val="30"/>
          <w:szCs w:val="30"/>
          <w:lang w:bidi="ar"/>
        </w:rPr>
        <w:t>提供真实、合法、完整的绩效评价资料由仁和镇人民政府负责；</w:t>
      </w:r>
      <w:r>
        <w:rPr>
          <w:rFonts w:hint="eastAsia" w:ascii="仿宋" w:hAnsi="仿宋" w:eastAsia="仿宋" w:cs="仿宋"/>
          <w:kern w:val="0"/>
          <w:sz w:val="30"/>
          <w:szCs w:val="30"/>
          <w:highlight w:val="none"/>
          <w:lang w:eastAsia="zh-CN" w:bidi="ar"/>
        </w:rPr>
        <w:t>（</w:t>
      </w:r>
      <w:r>
        <w:rPr>
          <w:rFonts w:hint="eastAsia" w:ascii="仿宋" w:hAnsi="仿宋" w:eastAsia="仿宋" w:cs="仿宋"/>
          <w:kern w:val="0"/>
          <w:sz w:val="30"/>
          <w:szCs w:val="30"/>
          <w:lang w:bidi="ar"/>
        </w:rPr>
        <w:t>3</w:t>
      </w:r>
      <w:r>
        <w:rPr>
          <w:rFonts w:hint="eastAsia" w:ascii="仿宋" w:hAnsi="仿宋" w:eastAsia="仿宋" w:cs="仿宋"/>
          <w:kern w:val="0"/>
          <w:sz w:val="30"/>
          <w:szCs w:val="30"/>
          <w:highlight w:val="none"/>
          <w:lang w:eastAsia="zh-CN" w:bidi="ar"/>
        </w:rPr>
        <w:t>）</w:t>
      </w:r>
      <w:r>
        <w:rPr>
          <w:rFonts w:hint="eastAsia" w:ascii="仿宋" w:hAnsi="仿宋" w:eastAsia="仿宋" w:cs="仿宋"/>
          <w:kern w:val="0"/>
          <w:sz w:val="30"/>
          <w:szCs w:val="30"/>
          <w:lang w:bidi="ar"/>
        </w:rPr>
        <w:t>保证资金和资产的安全、完整是仁和镇人民政府的责任；</w:t>
      </w:r>
      <w:r>
        <w:rPr>
          <w:rFonts w:hint="eastAsia" w:ascii="仿宋" w:hAnsi="仿宋" w:eastAsia="仿宋" w:cs="仿宋"/>
          <w:kern w:val="0"/>
          <w:sz w:val="30"/>
          <w:szCs w:val="30"/>
          <w:highlight w:val="none"/>
          <w:lang w:eastAsia="zh-CN" w:bidi="ar"/>
        </w:rPr>
        <w:t>（</w:t>
      </w:r>
      <w:r>
        <w:rPr>
          <w:rFonts w:hint="eastAsia" w:ascii="仿宋" w:hAnsi="仿宋" w:eastAsia="仿宋" w:cs="仿宋"/>
          <w:kern w:val="0"/>
          <w:sz w:val="30"/>
          <w:szCs w:val="30"/>
          <w:lang w:bidi="ar"/>
        </w:rPr>
        <w:t>4</w:t>
      </w:r>
      <w:r>
        <w:rPr>
          <w:rFonts w:hint="eastAsia" w:ascii="仿宋" w:hAnsi="仿宋" w:eastAsia="仿宋" w:cs="仿宋"/>
          <w:kern w:val="0"/>
          <w:sz w:val="30"/>
          <w:szCs w:val="30"/>
          <w:highlight w:val="none"/>
          <w:lang w:eastAsia="zh-CN" w:bidi="ar"/>
        </w:rPr>
        <w:t>）</w:t>
      </w:r>
      <w:r>
        <w:rPr>
          <w:rFonts w:hint="eastAsia" w:ascii="仿宋" w:hAnsi="仿宋" w:eastAsia="仿宋" w:cs="仿宋"/>
          <w:kern w:val="0"/>
          <w:sz w:val="30"/>
          <w:szCs w:val="30"/>
          <w:lang w:bidi="ar"/>
        </w:rPr>
        <w:t>制定、实施和维护与仁和镇2020年疫情防控项目绩效相关的内部控制制度，以使项目资金不存在由于舞弊或错误而导致的重大错报。</w:t>
      </w:r>
    </w:p>
    <w:p>
      <w:pPr>
        <w:spacing w:line="500" w:lineRule="exact"/>
        <w:ind w:right="-428" w:rightChars="-204" w:firstLine="630"/>
        <w:jc w:val="left"/>
        <w:rPr>
          <w:rFonts w:hint="eastAsia" w:ascii="仿宋" w:hAnsi="仿宋" w:eastAsia="仿宋" w:cs="仿宋"/>
          <w:kern w:val="0"/>
          <w:sz w:val="30"/>
          <w:szCs w:val="30"/>
          <w:lang w:bidi="ar"/>
        </w:rPr>
      </w:pPr>
      <w:r>
        <w:rPr>
          <w:rFonts w:hint="eastAsia" w:ascii="仿宋" w:hAnsi="仿宋" w:eastAsia="仿宋" w:cs="仿宋"/>
          <w:kern w:val="0"/>
          <w:sz w:val="30"/>
          <w:szCs w:val="30"/>
          <w:lang w:bidi="ar"/>
        </w:rPr>
        <w:t>（二）我公司的责任</w:t>
      </w:r>
    </w:p>
    <w:p>
      <w:pPr>
        <w:spacing w:line="500" w:lineRule="exact"/>
        <w:ind w:right="-428" w:rightChars="-204" w:firstLine="630"/>
        <w:jc w:val="left"/>
        <w:rPr>
          <w:rFonts w:hint="eastAsia" w:ascii="仿宋" w:hAnsi="仿宋" w:eastAsia="仿宋" w:cs="仿宋"/>
          <w:kern w:val="0"/>
          <w:sz w:val="30"/>
          <w:szCs w:val="30"/>
          <w:lang w:bidi="ar"/>
        </w:rPr>
      </w:pPr>
      <w:r>
        <w:rPr>
          <w:rFonts w:hint="eastAsia" w:ascii="仿宋" w:hAnsi="仿宋" w:eastAsia="仿宋" w:cs="仿宋"/>
          <w:kern w:val="0"/>
          <w:sz w:val="30"/>
          <w:szCs w:val="30"/>
          <w:lang w:bidi="ar"/>
        </w:rPr>
        <w:t>我公司的责任是在实施专项绩效评价工作的基础上，对仁和镇2020年疫情防控项目绩效评价发表意见。我公司按照攀枝花市仁和区财政绩效评价有关规定执行了评价工作。中国审计法律法规及相关准则要求我公司遵守职业道德规范，计划和实施绩效评价工作以对仁和镇2020年疫情防控项目预算支出绩效的情况是否不存在重大错报获取合理保证。</w:t>
      </w:r>
    </w:p>
    <w:p>
      <w:pPr>
        <w:adjustRightInd w:val="0"/>
        <w:snapToGrid w:val="0"/>
        <w:spacing w:line="500" w:lineRule="exact"/>
        <w:ind w:right="-428" w:rightChars="-204" w:firstLine="678" w:firstLineChars="225"/>
        <w:rPr>
          <w:rFonts w:hint="eastAsia" w:ascii="宋体" w:hAnsi="宋体" w:cs="宋体"/>
          <w:b/>
          <w:sz w:val="30"/>
          <w:szCs w:val="30"/>
        </w:rPr>
      </w:pPr>
      <w:r>
        <w:rPr>
          <w:rFonts w:hint="eastAsia" w:ascii="宋体" w:hAnsi="宋体" w:cs="宋体"/>
          <w:b/>
          <w:sz w:val="30"/>
          <w:szCs w:val="30"/>
        </w:rPr>
        <w:t>二、项目基本情况</w:t>
      </w:r>
    </w:p>
    <w:p>
      <w:pPr>
        <w:spacing w:line="500" w:lineRule="exact"/>
        <w:ind w:right="-428" w:rightChars="-204" w:firstLine="630"/>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仁和镇人民政府围绕认真宣传、贯彻党和国家的路线、方针、政策和法律、法规，执行上级党组织和国家行政机关的决定、命令和指示；履行好宪法和法律赋予的职责和义务；保证党和国家的路线、方针、政策和法律、法规在本镇的贯彻落实的工作职责，履行2020年新冠肺炎防控工作，按照区疫情防控指挥部要求，对全镇6个社区、7个村实施防控工作常态化管理，在总发高速出口、攀枝花火车南站、岩神山集中隔离点等地点设置检查点自2020年1月27日起实施24小时值守。</w:t>
      </w:r>
    </w:p>
    <w:p>
      <w:pPr>
        <w:adjustRightInd w:val="0"/>
        <w:snapToGrid w:val="0"/>
        <w:spacing w:line="500" w:lineRule="exact"/>
        <w:ind w:right="-428" w:rightChars="-204" w:firstLine="678" w:firstLineChars="225"/>
        <w:rPr>
          <w:rFonts w:hint="eastAsia" w:ascii="宋体" w:hAnsi="宋体" w:cs="宋体"/>
          <w:b/>
          <w:sz w:val="30"/>
          <w:szCs w:val="30"/>
        </w:rPr>
      </w:pPr>
      <w:r>
        <w:rPr>
          <w:rFonts w:hint="eastAsia" w:ascii="宋体" w:hAnsi="宋体" w:cs="宋体"/>
          <w:b/>
          <w:sz w:val="30"/>
          <w:szCs w:val="30"/>
        </w:rPr>
        <w:t>三、评价工作开展情况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（一）现场评价抽样选点情况。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仁和镇2020年疫情防控项目，选点地址准确，考虑周详，主要体现在：</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①仁和镇在总发高速出口、攀枝花火车南站设卡实施24小时值守，实施常态化管控。该两处地点为仁和区交通枢纽，人流量大，外来人员必经之地，能较好的在第一时间监控人员流入状况。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②岩神山集中隔离点</w:t>
      </w:r>
      <w:r>
        <w:rPr>
          <w:rFonts w:hint="eastAsia" w:ascii="仿宋" w:hAnsi="仿宋" w:eastAsia="仿宋" w:cs="仿宋"/>
          <w:kern w:val="0"/>
          <w:sz w:val="30"/>
          <w:szCs w:val="30"/>
          <w:lang w:bidi="ar"/>
        </w:rPr>
        <w:t>距离总发高速出口及攀枝花火车南站较近</w:t>
      </w:r>
      <w:r>
        <w:rPr>
          <w:rFonts w:hint="eastAsia" w:ascii="仿宋" w:hAnsi="仿宋" w:eastAsia="仿宋" w:cs="仿宋"/>
          <w:kern w:val="0"/>
          <w:sz w:val="30"/>
          <w:szCs w:val="30"/>
          <w:lang w:val="zh-CN" w:bidi="ar"/>
        </w:rPr>
        <w:t>，发现疑似迹象能在最短时间移送隔离地点有效防止疫情扩散，发生重大或突发事件，相关部门及机构能在第一时间赶到现场控制。</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（二）项目总体评价</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在本项目中，仁和镇人民政府预决算编制报送及时；编制质量良好；无预算调整，无三公经费发生；预算信息及时公开；制度建立健全；财务核算、政府采购、资金管理使用支付、资产管理合规合法，安全完整；但存在执行缺陷，体现在由于拨入新冠疫情防控经费主要集中在下半年，社区及民兵疫情防控补助发放滞后。</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主要指标评价如下：</w:t>
      </w:r>
    </w:p>
    <w:p>
      <w:pPr>
        <w:pStyle w:val="2"/>
        <w:rPr>
          <w:rFonts w:hint="eastAsia"/>
          <w:lang w:val="zh-CN"/>
        </w:rPr>
      </w:pPr>
    </w:p>
    <w:tbl>
      <w:tblPr>
        <w:tblStyle w:val="3"/>
        <w:tblW w:w="8522" w:type="dxa"/>
        <w:tblInd w:w="0" w:type="dxa"/>
        <w:tblLayout w:type="fixed"/>
        <w:tblCellMar>
          <w:top w:w="0" w:type="dxa"/>
          <w:left w:w="108" w:type="dxa"/>
          <w:bottom w:w="0" w:type="dxa"/>
          <w:right w:w="108" w:type="dxa"/>
        </w:tblCellMar>
      </w:tblPr>
      <w:tblGrid>
        <w:gridCol w:w="1053"/>
        <w:gridCol w:w="2865"/>
        <w:gridCol w:w="3380"/>
        <w:gridCol w:w="1224"/>
      </w:tblGrid>
      <w:tr>
        <w:tblPrEx>
          <w:tblCellMar>
            <w:top w:w="0" w:type="dxa"/>
            <w:left w:w="108" w:type="dxa"/>
            <w:bottom w:w="0" w:type="dxa"/>
            <w:right w:w="108" w:type="dxa"/>
          </w:tblCellMar>
        </w:tblPrEx>
        <w:trPr>
          <w:trHeight w:val="270" w:hRule="atLeast"/>
        </w:trPr>
        <w:tc>
          <w:tcPr>
            <w:tcW w:w="8522" w:type="dxa"/>
            <w:gridSpan w:val="4"/>
            <w:tcBorders>
              <w:top w:val="nil"/>
              <w:left w:val="nil"/>
              <w:bottom w:val="single" w:color="auto" w:sz="4" w:space="0"/>
              <w:right w:val="nil"/>
            </w:tcBorders>
            <w:vAlign w:val="center"/>
          </w:tcPr>
          <w:p>
            <w:pPr>
              <w:widowControl/>
              <w:jc w:val="center"/>
              <w:rPr>
                <w:rFonts w:ascii="仿宋" w:hAnsi="仿宋" w:eastAsia="仿宋" w:cs="仿宋_GB2312"/>
                <w:b/>
                <w:kern w:val="0"/>
                <w:sz w:val="32"/>
                <w:szCs w:val="32"/>
                <w:shd w:val="clear" w:color="auto" w:fill="FFFFFF"/>
                <w:lang w:val="zh-CN"/>
              </w:rPr>
            </w:pPr>
            <w:r>
              <w:rPr>
                <w:rFonts w:hint="eastAsia" w:ascii="仿宋" w:hAnsi="仿宋" w:eastAsia="仿宋" w:cs="仿宋"/>
                <w:kern w:val="0"/>
                <w:sz w:val="30"/>
                <w:szCs w:val="30"/>
                <w:lang w:val="zh-CN" w:bidi="ar"/>
              </w:rPr>
              <w:t>整体绩效评价表</w:t>
            </w:r>
          </w:p>
        </w:tc>
      </w:tr>
      <w:tr>
        <w:tblPrEx>
          <w:tblCellMar>
            <w:top w:w="0" w:type="dxa"/>
            <w:left w:w="108" w:type="dxa"/>
            <w:bottom w:w="0" w:type="dxa"/>
            <w:right w:w="108" w:type="dxa"/>
          </w:tblCellMar>
        </w:tblPrEx>
        <w:trPr>
          <w:trHeight w:val="270" w:hRule="atLeast"/>
        </w:trPr>
        <w:tc>
          <w:tcPr>
            <w:tcW w:w="105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一级指标</w:t>
            </w:r>
          </w:p>
        </w:tc>
        <w:tc>
          <w:tcPr>
            <w:tcW w:w="2865"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二级指标</w:t>
            </w:r>
          </w:p>
        </w:tc>
        <w:tc>
          <w:tcPr>
            <w:tcW w:w="3380"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三级指标</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自评分</w:t>
            </w:r>
          </w:p>
        </w:tc>
      </w:tr>
      <w:tr>
        <w:tblPrEx>
          <w:tblCellMar>
            <w:top w:w="0" w:type="dxa"/>
            <w:left w:w="108" w:type="dxa"/>
            <w:bottom w:w="0" w:type="dxa"/>
            <w:right w:w="108" w:type="dxa"/>
          </w:tblCellMar>
        </w:tblPrEx>
        <w:trPr>
          <w:trHeight w:val="480" w:hRule="atLeast"/>
        </w:trPr>
        <w:tc>
          <w:tcPr>
            <w:tcW w:w="1053" w:type="dxa"/>
            <w:vMerge w:val="restart"/>
            <w:tcBorders>
              <w:top w:val="nil"/>
              <w:left w:val="single" w:color="auto" w:sz="4" w:space="0"/>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预决算编制（10分）</w:t>
            </w:r>
          </w:p>
        </w:tc>
        <w:tc>
          <w:tcPr>
            <w:tcW w:w="286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预算编制（5分）</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报送时效（2分）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80" w:hRule="atLeast"/>
        </w:trPr>
        <w:tc>
          <w:tcPr>
            <w:tcW w:w="1053"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编制质量（3分）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480" w:hRule="atLeast"/>
        </w:trPr>
        <w:tc>
          <w:tcPr>
            <w:tcW w:w="1053"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0"/>
                <w:szCs w:val="20"/>
              </w:rPr>
            </w:pPr>
          </w:p>
        </w:tc>
        <w:tc>
          <w:tcPr>
            <w:tcW w:w="2865"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决算编制（5分）</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报送时效（2分）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480" w:hRule="atLeast"/>
        </w:trPr>
        <w:tc>
          <w:tcPr>
            <w:tcW w:w="1053" w:type="dxa"/>
            <w:vMerge w:val="continue"/>
            <w:tcBorders>
              <w:top w:val="nil"/>
              <w:left w:val="single" w:color="auto" w:sz="4" w:space="0"/>
              <w:bottom w:val="nil"/>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编制质量（3分）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480" w:hRule="atLeast"/>
        </w:trPr>
        <w:tc>
          <w:tcPr>
            <w:tcW w:w="1053"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预算执行（15分）</w:t>
            </w:r>
          </w:p>
        </w:tc>
        <w:tc>
          <w:tcPr>
            <w:tcW w:w="2865"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执行进度（5分）</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预算执行率（5分）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270" w:hRule="atLeast"/>
        </w:trPr>
        <w:tc>
          <w:tcPr>
            <w:tcW w:w="10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2865"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预算调整（3分）</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预算调整率（3分）</w:t>
            </w:r>
          </w:p>
        </w:tc>
        <w:tc>
          <w:tcPr>
            <w:tcW w:w="1224"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70" w:hRule="atLeast"/>
        </w:trPr>
        <w:tc>
          <w:tcPr>
            <w:tcW w:w="10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286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行政成本（7分）</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节能降耗（3分）</w:t>
            </w:r>
          </w:p>
        </w:tc>
        <w:tc>
          <w:tcPr>
            <w:tcW w:w="12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720" w:hRule="atLeast"/>
        </w:trPr>
        <w:tc>
          <w:tcPr>
            <w:tcW w:w="1053"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三公经费控制率（4分）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r>
      <w:tr>
        <w:tblPrEx>
          <w:tblCellMar>
            <w:top w:w="0" w:type="dxa"/>
            <w:left w:w="108" w:type="dxa"/>
            <w:bottom w:w="0" w:type="dxa"/>
            <w:right w:w="108" w:type="dxa"/>
          </w:tblCellMar>
        </w:tblPrEx>
        <w:trPr>
          <w:trHeight w:val="270" w:hRule="atLeast"/>
        </w:trPr>
        <w:tc>
          <w:tcPr>
            <w:tcW w:w="1053" w:type="dxa"/>
            <w:vMerge w:val="restart"/>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预算管理（50分）</w:t>
            </w:r>
          </w:p>
        </w:tc>
        <w:tc>
          <w:tcPr>
            <w:tcW w:w="286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信息公开（5 分）</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公开时效（2分）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r>
      <w:tr>
        <w:tblPrEx>
          <w:tblCellMar>
            <w:top w:w="0" w:type="dxa"/>
            <w:left w:w="108" w:type="dxa"/>
            <w:bottom w:w="0" w:type="dxa"/>
            <w:right w:w="108" w:type="dxa"/>
          </w:tblCellMar>
        </w:tblPrEx>
        <w:trPr>
          <w:trHeight w:val="270" w:hRule="atLeast"/>
        </w:trPr>
        <w:tc>
          <w:tcPr>
            <w:tcW w:w="10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公开质量（3分）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r>
      <w:tr>
        <w:tblPrEx>
          <w:tblCellMar>
            <w:top w:w="0" w:type="dxa"/>
            <w:left w:w="108" w:type="dxa"/>
            <w:bottom w:w="0" w:type="dxa"/>
            <w:right w:w="108" w:type="dxa"/>
          </w:tblCellMar>
        </w:tblPrEx>
        <w:trPr>
          <w:trHeight w:val="270" w:hRule="atLeast"/>
        </w:trPr>
        <w:tc>
          <w:tcPr>
            <w:tcW w:w="10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65"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制度建设（5分）</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内控制度建设（5分）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720" w:hRule="atLeast"/>
        </w:trPr>
        <w:tc>
          <w:tcPr>
            <w:tcW w:w="10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6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财务管理（40分）</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会计核算及管理（10分）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CellMar>
            <w:top w:w="0" w:type="dxa"/>
            <w:left w:w="108" w:type="dxa"/>
            <w:bottom w:w="0" w:type="dxa"/>
            <w:right w:w="108" w:type="dxa"/>
          </w:tblCellMar>
        </w:tblPrEx>
        <w:trPr>
          <w:trHeight w:val="480" w:hRule="atLeast"/>
        </w:trPr>
        <w:tc>
          <w:tcPr>
            <w:tcW w:w="10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政府采购（5分）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270" w:hRule="atLeast"/>
        </w:trPr>
        <w:tc>
          <w:tcPr>
            <w:tcW w:w="10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资金支付（10分）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CellMar>
            <w:top w:w="0" w:type="dxa"/>
            <w:left w:w="108" w:type="dxa"/>
            <w:bottom w:w="0" w:type="dxa"/>
            <w:right w:w="108" w:type="dxa"/>
          </w:tblCellMar>
        </w:tblPrEx>
        <w:trPr>
          <w:trHeight w:val="720" w:hRule="atLeast"/>
        </w:trPr>
        <w:tc>
          <w:tcPr>
            <w:tcW w:w="10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资金使用合规性（10分）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10</w:t>
            </w:r>
          </w:p>
        </w:tc>
      </w:tr>
      <w:tr>
        <w:tblPrEx>
          <w:tblCellMar>
            <w:top w:w="0" w:type="dxa"/>
            <w:left w:w="108" w:type="dxa"/>
            <w:bottom w:w="0" w:type="dxa"/>
            <w:right w:w="108" w:type="dxa"/>
          </w:tblCellMar>
        </w:tblPrEx>
        <w:trPr>
          <w:trHeight w:val="720" w:hRule="atLeast"/>
        </w:trPr>
        <w:tc>
          <w:tcPr>
            <w:tcW w:w="1053"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nil"/>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资产管理安全性（5分）</w:t>
            </w:r>
          </w:p>
        </w:tc>
        <w:tc>
          <w:tcPr>
            <w:tcW w:w="1224" w:type="dxa"/>
            <w:tcBorders>
              <w:top w:val="nil"/>
              <w:left w:val="nil"/>
              <w:bottom w:val="nil"/>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r>
      <w:tr>
        <w:tblPrEx>
          <w:tblCellMar>
            <w:top w:w="0" w:type="dxa"/>
            <w:left w:w="108" w:type="dxa"/>
            <w:bottom w:w="0" w:type="dxa"/>
            <w:right w:w="108" w:type="dxa"/>
          </w:tblCellMar>
        </w:tblPrEx>
        <w:trPr>
          <w:trHeight w:val="270" w:hRule="atLeast"/>
        </w:trPr>
        <w:tc>
          <w:tcPr>
            <w:tcW w:w="1053"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支出绩效（25分）</w:t>
            </w:r>
          </w:p>
        </w:tc>
        <w:tc>
          <w:tcPr>
            <w:tcW w:w="2865"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绩效评价（25分）</w:t>
            </w:r>
          </w:p>
        </w:tc>
        <w:tc>
          <w:tcPr>
            <w:tcW w:w="33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绩效自评（5分）</w:t>
            </w:r>
          </w:p>
        </w:tc>
        <w:tc>
          <w:tcPr>
            <w:tcW w:w="12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4.74</w:t>
            </w:r>
          </w:p>
        </w:tc>
      </w:tr>
      <w:tr>
        <w:tblPrEx>
          <w:tblCellMar>
            <w:top w:w="0" w:type="dxa"/>
            <w:left w:w="108" w:type="dxa"/>
            <w:bottom w:w="0" w:type="dxa"/>
            <w:right w:w="108" w:type="dxa"/>
          </w:tblCellMar>
        </w:tblPrEx>
        <w:trPr>
          <w:trHeight w:val="270" w:hRule="atLeast"/>
        </w:trPr>
        <w:tc>
          <w:tcPr>
            <w:tcW w:w="105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28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绩效考核（20分）</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18.96</w:t>
            </w:r>
          </w:p>
        </w:tc>
      </w:tr>
      <w:tr>
        <w:tblPrEx>
          <w:tblCellMar>
            <w:top w:w="0" w:type="dxa"/>
            <w:left w:w="108" w:type="dxa"/>
            <w:bottom w:w="0" w:type="dxa"/>
            <w:right w:w="108" w:type="dxa"/>
          </w:tblCellMar>
        </w:tblPrEx>
        <w:trPr>
          <w:trHeight w:val="285" w:hRule="atLeast"/>
        </w:trPr>
        <w:tc>
          <w:tcPr>
            <w:tcW w:w="1053"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2865"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c>
          <w:tcPr>
            <w:tcW w:w="3380" w:type="dxa"/>
            <w:tcBorders>
              <w:top w:val="nil"/>
              <w:left w:val="nil"/>
              <w:bottom w:val="single" w:color="auto" w:sz="4" w:space="0"/>
              <w:right w:val="single" w:color="auto" w:sz="4" w:space="0"/>
            </w:tcBorders>
            <w:vAlign w:val="center"/>
          </w:tcPr>
          <w:p>
            <w:pPr>
              <w:widowControl/>
              <w:jc w:val="left"/>
              <w:rPr>
                <w:rFonts w:ascii="宋体" w:hAnsi="宋体" w:cs="宋体"/>
                <w:kern w:val="0"/>
                <w:sz w:val="24"/>
                <w:szCs w:val="24"/>
              </w:rPr>
            </w:pPr>
            <w:r>
              <w:rPr>
                <w:rFonts w:hint="eastAsia" w:ascii="宋体" w:hAnsi="宋体" w:cs="宋体"/>
                <w:kern w:val="0"/>
                <w:sz w:val="24"/>
                <w:szCs w:val="24"/>
              </w:rPr>
              <w:t>　</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　</w:t>
            </w:r>
          </w:p>
        </w:tc>
      </w:tr>
      <w:tr>
        <w:tblPrEx>
          <w:tblCellMar>
            <w:top w:w="0" w:type="dxa"/>
            <w:left w:w="108" w:type="dxa"/>
            <w:bottom w:w="0" w:type="dxa"/>
            <w:right w:w="108" w:type="dxa"/>
          </w:tblCellMar>
        </w:tblPrEx>
        <w:trPr>
          <w:trHeight w:val="285" w:hRule="atLeast"/>
        </w:trPr>
        <w:tc>
          <w:tcPr>
            <w:tcW w:w="7298"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0"/>
                <w:szCs w:val="20"/>
              </w:rPr>
            </w:pPr>
            <w:r>
              <w:rPr>
                <w:rFonts w:hint="eastAsia" w:ascii="宋体" w:hAnsi="宋体" w:cs="宋体"/>
                <w:kern w:val="0"/>
                <w:sz w:val="20"/>
                <w:szCs w:val="20"/>
              </w:rPr>
              <w:t>合    计</w:t>
            </w:r>
          </w:p>
        </w:tc>
        <w:tc>
          <w:tcPr>
            <w:tcW w:w="1224" w:type="dxa"/>
            <w:tcBorders>
              <w:top w:val="nil"/>
              <w:left w:val="nil"/>
              <w:bottom w:val="single" w:color="auto" w:sz="4" w:space="0"/>
              <w:right w:val="single" w:color="auto" w:sz="4" w:space="0"/>
            </w:tcBorders>
            <w:vAlign w:val="center"/>
          </w:tcPr>
          <w:p>
            <w:pPr>
              <w:widowControl/>
              <w:jc w:val="center"/>
              <w:rPr>
                <w:rFonts w:ascii="宋体" w:hAnsi="宋体" w:cs="宋体"/>
                <w:kern w:val="0"/>
                <w:sz w:val="24"/>
                <w:szCs w:val="24"/>
              </w:rPr>
            </w:pPr>
            <w:r>
              <w:rPr>
                <w:rFonts w:hint="eastAsia" w:ascii="宋体" w:hAnsi="宋体" w:cs="宋体"/>
                <w:kern w:val="0"/>
                <w:sz w:val="24"/>
                <w:szCs w:val="24"/>
              </w:rPr>
              <w:t>95.7</w:t>
            </w:r>
          </w:p>
        </w:tc>
      </w:tr>
    </w:tbl>
    <w:p>
      <w:pPr>
        <w:adjustRightInd w:val="0"/>
        <w:snapToGrid w:val="0"/>
        <w:spacing w:line="500" w:lineRule="exact"/>
        <w:ind w:right="-428" w:rightChars="-204" w:firstLine="678" w:firstLineChars="225"/>
        <w:rPr>
          <w:rFonts w:hint="eastAsia" w:ascii="宋体" w:hAnsi="宋体" w:cs="宋体"/>
          <w:b/>
          <w:sz w:val="30"/>
          <w:szCs w:val="30"/>
        </w:rPr>
      </w:pPr>
      <w:r>
        <w:rPr>
          <w:rFonts w:hint="eastAsia" w:ascii="宋体" w:hAnsi="宋体" w:cs="宋体"/>
          <w:b/>
          <w:sz w:val="30"/>
          <w:szCs w:val="30"/>
        </w:rPr>
        <w:t>四、项目实施情况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（一）项目决策。</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1．绩效目标情况。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仁和镇人民政府为确保全镇范围内没有确诊病例。安排各村（居）基干民兵在总发高速出口、攀枝花火车南站、岩神山集中隔离点自1月27日起实施24小时值守。2020年仁和镇无新增新冠肺炎确诊病例。</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2．决策依据情况。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根据区防控指挥部安排，区财政下达仁和镇2020年新冠肺炎疫情防控经费160.</w:t>
      </w:r>
      <w:r>
        <w:rPr>
          <w:rFonts w:hint="eastAsia" w:ascii="仿宋" w:hAnsi="仿宋" w:eastAsia="仿宋" w:cs="仿宋"/>
          <w:kern w:val="0"/>
          <w:sz w:val="30"/>
          <w:szCs w:val="30"/>
          <w:lang w:bidi="ar"/>
        </w:rPr>
        <w:t>1841</w:t>
      </w:r>
      <w:r>
        <w:rPr>
          <w:rFonts w:hint="eastAsia" w:ascii="仿宋" w:hAnsi="仿宋" w:eastAsia="仿宋" w:cs="仿宋"/>
          <w:kern w:val="0"/>
          <w:sz w:val="30"/>
          <w:szCs w:val="30"/>
          <w:lang w:val="zh-CN" w:bidi="ar"/>
        </w:rPr>
        <w:t>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3．资金分配情况。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2020年新冠肺炎疫情防控经费160.</w:t>
      </w:r>
      <w:r>
        <w:rPr>
          <w:rFonts w:hint="eastAsia" w:ascii="仿宋" w:hAnsi="仿宋" w:eastAsia="仿宋" w:cs="仿宋"/>
          <w:kern w:val="0"/>
          <w:sz w:val="30"/>
          <w:szCs w:val="30"/>
          <w:lang w:bidi="ar"/>
        </w:rPr>
        <w:t>1841</w:t>
      </w:r>
      <w:r>
        <w:rPr>
          <w:rFonts w:hint="eastAsia" w:ascii="仿宋" w:hAnsi="仿宋" w:eastAsia="仿宋" w:cs="仿宋"/>
          <w:kern w:val="0"/>
          <w:sz w:val="30"/>
          <w:szCs w:val="30"/>
          <w:lang w:val="zh-CN" w:bidi="ar"/>
        </w:rPr>
        <w:t>万元，主要解决全镇6个社区、7个村购买防疫物资、疫情防控宣传、3个防控卡点以及参与防控的村、社区及民兵</w:t>
      </w:r>
      <w:r>
        <w:rPr>
          <w:rFonts w:hint="eastAsia" w:ascii="仿宋" w:hAnsi="仿宋" w:eastAsia="仿宋" w:cs="仿宋"/>
          <w:kern w:val="0"/>
          <w:sz w:val="30"/>
          <w:szCs w:val="30"/>
          <w:highlight w:val="none"/>
          <w:lang w:val="zh-CN" w:bidi="ar"/>
        </w:rPr>
        <w:t>疫情防控期间</w:t>
      </w:r>
      <w:r>
        <w:rPr>
          <w:rFonts w:hint="eastAsia" w:ascii="仿宋" w:hAnsi="仿宋" w:eastAsia="仿宋" w:cs="仿宋"/>
          <w:kern w:val="0"/>
          <w:sz w:val="30"/>
          <w:szCs w:val="30"/>
          <w:lang w:val="zh-CN" w:bidi="ar"/>
        </w:rPr>
        <w:t>误餐、执勤补助。具体分配如下：</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①购买疫情防控相关物资及防疫宣传费用，分配金额21.9967万元；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②解决疫情防控驻守卡点人员误餐费等相关费用，分配金额19.0714万元；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③村、社区及民兵疫情防控补助，分配金额119.116万元；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4．分配结果情况。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bidi="ar"/>
        </w:rPr>
        <w:t>仁和镇2020年疫情防控项目</w:t>
      </w:r>
      <w:r>
        <w:rPr>
          <w:rFonts w:hint="eastAsia" w:ascii="仿宋" w:hAnsi="仿宋" w:eastAsia="仿宋" w:cs="仿宋"/>
          <w:kern w:val="0"/>
          <w:sz w:val="30"/>
          <w:szCs w:val="30"/>
          <w:lang w:val="zh-CN" w:bidi="ar"/>
        </w:rPr>
        <w:t>实际执行情况为：</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①购买疫情防控相关物资及防疫宣传费用，执行金额21.9967万元；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②解决疫情防控驻守卡点人员误餐费等相关费用，执行金额19.0714万元；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③村、社区及民兵疫情防控补助，执行金额119.116万元；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（二）项目管理。</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1．资金到位情况。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仁和镇2020年疫情防控项目资金实际到位160.</w:t>
      </w:r>
      <w:r>
        <w:rPr>
          <w:rFonts w:hint="eastAsia" w:ascii="仿宋" w:hAnsi="仿宋" w:eastAsia="仿宋" w:cs="仿宋"/>
          <w:kern w:val="0"/>
          <w:sz w:val="30"/>
          <w:szCs w:val="30"/>
          <w:lang w:bidi="ar"/>
        </w:rPr>
        <w:t>1841</w:t>
      </w:r>
      <w:r>
        <w:rPr>
          <w:rFonts w:hint="eastAsia" w:ascii="仿宋" w:hAnsi="仿宋" w:eastAsia="仿宋" w:cs="仿宋"/>
          <w:kern w:val="0"/>
          <w:sz w:val="30"/>
          <w:szCs w:val="30"/>
          <w:lang w:val="zh-CN" w:bidi="ar"/>
        </w:rPr>
        <w:t>万元，</w:t>
      </w:r>
      <w:r>
        <w:rPr>
          <w:rFonts w:hint="eastAsia" w:ascii="仿宋" w:hAnsi="仿宋" w:eastAsia="仿宋" w:cs="仿宋"/>
          <w:kern w:val="0"/>
          <w:sz w:val="30"/>
          <w:szCs w:val="30"/>
          <w:lang w:bidi="ar"/>
        </w:rPr>
        <w:t>具体</w:t>
      </w:r>
      <w:r>
        <w:rPr>
          <w:rFonts w:hint="eastAsia" w:ascii="仿宋" w:hAnsi="仿宋" w:eastAsia="仿宋" w:cs="仿宋"/>
          <w:kern w:val="0"/>
          <w:sz w:val="30"/>
          <w:szCs w:val="30"/>
          <w:lang w:val="zh-CN" w:bidi="ar"/>
        </w:rPr>
        <w:t>为：</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①购买疫情防控相关物资及防疫宣传费用，到位金额21.9967万元；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②解决疫情防控驻守卡点人员误餐费等相关费用，到位金额19.0714万元；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③村、社区及民兵疫情防控补助，到位金额119.116万元；</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具体明细：</w:t>
      </w:r>
    </w:p>
    <w:tbl>
      <w:tblPr>
        <w:tblStyle w:val="3"/>
        <w:tblpPr w:leftFromText="180" w:rightFromText="180" w:vertAnchor="text" w:horzAnchor="page" w:tblpX="1796" w:tblpY="552"/>
        <w:tblOverlap w:val="never"/>
        <w:tblW w:w="8522" w:type="dxa"/>
        <w:tblInd w:w="0" w:type="dxa"/>
        <w:tblLayout w:type="fixed"/>
        <w:tblCellMar>
          <w:top w:w="0" w:type="dxa"/>
          <w:left w:w="108" w:type="dxa"/>
          <w:bottom w:w="0" w:type="dxa"/>
          <w:right w:w="108" w:type="dxa"/>
        </w:tblCellMar>
      </w:tblPr>
      <w:tblGrid>
        <w:gridCol w:w="962"/>
        <w:gridCol w:w="962"/>
        <w:gridCol w:w="879"/>
        <w:gridCol w:w="3450"/>
        <w:gridCol w:w="2269"/>
      </w:tblGrid>
      <w:tr>
        <w:tblPrEx>
          <w:tblCellMar>
            <w:top w:w="0" w:type="dxa"/>
            <w:left w:w="108" w:type="dxa"/>
            <w:bottom w:w="0" w:type="dxa"/>
            <w:right w:w="108" w:type="dxa"/>
          </w:tblCellMar>
        </w:tblPrEx>
        <w:trPr>
          <w:trHeight w:val="270" w:hRule="atLeast"/>
        </w:trPr>
        <w:tc>
          <w:tcPr>
            <w:tcW w:w="8522" w:type="dxa"/>
            <w:gridSpan w:val="5"/>
            <w:tcBorders>
              <w:top w:val="nil"/>
              <w:left w:val="nil"/>
              <w:bottom w:val="nil"/>
              <w:right w:val="nil"/>
            </w:tcBorders>
            <w:vAlign w:val="center"/>
          </w:tcPr>
          <w:p>
            <w:pPr>
              <w:widowControl/>
              <w:jc w:val="center"/>
              <w:rPr>
                <w:rFonts w:ascii="宋体" w:hAnsi="宋体" w:cs="宋体"/>
                <w:b/>
                <w:bCs/>
                <w:kern w:val="0"/>
                <w:sz w:val="22"/>
              </w:rPr>
            </w:pPr>
            <w:r>
              <w:rPr>
                <w:rFonts w:hint="eastAsia" w:ascii="仿宋" w:hAnsi="仿宋" w:eastAsia="仿宋" w:cs="仿宋"/>
                <w:b/>
                <w:bCs/>
                <w:kern w:val="0"/>
                <w:sz w:val="30"/>
                <w:szCs w:val="30"/>
                <w:lang w:val="zh-CN" w:bidi="ar"/>
              </w:rPr>
              <w:t>资金到位情况</w:t>
            </w:r>
          </w:p>
        </w:tc>
      </w:tr>
      <w:tr>
        <w:tblPrEx>
          <w:tblCellMar>
            <w:top w:w="0" w:type="dxa"/>
            <w:left w:w="108" w:type="dxa"/>
            <w:bottom w:w="0" w:type="dxa"/>
            <w:right w:w="108" w:type="dxa"/>
          </w:tblCellMar>
        </w:tblPrEx>
        <w:trPr>
          <w:trHeight w:val="270" w:hRule="atLeast"/>
        </w:trPr>
        <w:tc>
          <w:tcPr>
            <w:tcW w:w="962" w:type="dxa"/>
            <w:tcBorders>
              <w:top w:val="nil"/>
              <w:left w:val="nil"/>
              <w:bottom w:val="nil"/>
              <w:right w:val="nil"/>
            </w:tcBorders>
            <w:vAlign w:val="center"/>
          </w:tcPr>
          <w:p>
            <w:pPr>
              <w:widowControl/>
              <w:jc w:val="center"/>
              <w:rPr>
                <w:rFonts w:ascii="宋体" w:hAnsi="宋体" w:cs="宋体"/>
                <w:b/>
                <w:bCs/>
                <w:kern w:val="0"/>
                <w:sz w:val="22"/>
              </w:rPr>
            </w:pPr>
          </w:p>
        </w:tc>
        <w:tc>
          <w:tcPr>
            <w:tcW w:w="962" w:type="dxa"/>
            <w:tcBorders>
              <w:top w:val="nil"/>
              <w:left w:val="nil"/>
              <w:bottom w:val="nil"/>
              <w:right w:val="nil"/>
            </w:tcBorders>
            <w:vAlign w:val="center"/>
          </w:tcPr>
          <w:p>
            <w:pPr>
              <w:widowControl/>
              <w:jc w:val="center"/>
              <w:rPr>
                <w:rFonts w:ascii="宋体" w:hAnsi="宋体" w:cs="宋体"/>
                <w:b/>
                <w:bCs/>
                <w:kern w:val="0"/>
                <w:sz w:val="22"/>
              </w:rPr>
            </w:pPr>
          </w:p>
        </w:tc>
        <w:tc>
          <w:tcPr>
            <w:tcW w:w="879" w:type="dxa"/>
            <w:tcBorders>
              <w:top w:val="nil"/>
              <w:left w:val="nil"/>
              <w:bottom w:val="nil"/>
              <w:right w:val="nil"/>
            </w:tcBorders>
            <w:vAlign w:val="center"/>
          </w:tcPr>
          <w:p>
            <w:pPr>
              <w:widowControl/>
              <w:jc w:val="center"/>
              <w:rPr>
                <w:rFonts w:ascii="宋体" w:hAnsi="宋体" w:cs="宋体"/>
                <w:b/>
                <w:bCs/>
                <w:kern w:val="0"/>
                <w:sz w:val="22"/>
              </w:rPr>
            </w:pPr>
          </w:p>
        </w:tc>
        <w:tc>
          <w:tcPr>
            <w:tcW w:w="3450" w:type="dxa"/>
            <w:tcBorders>
              <w:top w:val="nil"/>
              <w:left w:val="nil"/>
              <w:bottom w:val="nil"/>
              <w:right w:val="nil"/>
            </w:tcBorders>
            <w:vAlign w:val="center"/>
          </w:tcPr>
          <w:p>
            <w:pPr>
              <w:widowControl/>
              <w:jc w:val="center"/>
              <w:rPr>
                <w:rFonts w:ascii="宋体" w:hAnsi="宋体" w:cs="宋体"/>
                <w:b/>
                <w:bCs/>
                <w:kern w:val="0"/>
                <w:sz w:val="22"/>
              </w:rPr>
            </w:pPr>
          </w:p>
        </w:tc>
        <w:tc>
          <w:tcPr>
            <w:tcW w:w="2269"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单位：元</w:t>
            </w:r>
          </w:p>
        </w:tc>
      </w:tr>
      <w:tr>
        <w:tblPrEx>
          <w:tblCellMar>
            <w:top w:w="0" w:type="dxa"/>
            <w:left w:w="108" w:type="dxa"/>
            <w:bottom w:w="0" w:type="dxa"/>
            <w:right w:w="108" w:type="dxa"/>
          </w:tblCellMar>
        </w:tblPrEx>
        <w:trPr>
          <w:trHeight w:val="270" w:hRule="atLeast"/>
        </w:trPr>
        <w:tc>
          <w:tcPr>
            <w:tcW w:w="9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月份</w:t>
            </w:r>
          </w:p>
        </w:tc>
        <w:tc>
          <w:tcPr>
            <w:tcW w:w="962"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日期</w:t>
            </w:r>
          </w:p>
        </w:tc>
        <w:tc>
          <w:tcPr>
            <w:tcW w:w="87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凭证号</w:t>
            </w:r>
          </w:p>
        </w:tc>
        <w:tc>
          <w:tcPr>
            <w:tcW w:w="345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内容</w:t>
            </w:r>
          </w:p>
        </w:tc>
        <w:tc>
          <w:tcPr>
            <w:tcW w:w="2269"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金额</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49#</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收区财政拨入新冠肺炎防控经费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132,244.00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28#</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收区财政拨入新冠肺炎疫情防控经费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510.00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收区财政拨入新冠肺炎疫情防控经费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14,500.00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33#</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收区财政拨入新冠肺炎疫情防控经费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76,275.00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59#</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收区财政拨新冠肺炎防控经费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6,466.00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96#</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收区财政拨入疫情防控经费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126,036.00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88#</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收区财政拨入新冠疫情防控经费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531,950.00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113#</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收区财政拨入新冠疫情防控经费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299,760.00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94#</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收区财政拨入新冠疫情防控经费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6,400.00 </w:t>
            </w:r>
          </w:p>
        </w:tc>
      </w:tr>
      <w:tr>
        <w:tblPrEx>
          <w:tblCellMar>
            <w:top w:w="0" w:type="dxa"/>
            <w:left w:w="108" w:type="dxa"/>
            <w:bottom w:w="0" w:type="dxa"/>
            <w:right w:w="108" w:type="dxa"/>
          </w:tblCellMar>
        </w:tblPrEx>
        <w:trPr>
          <w:trHeight w:val="270" w:hRule="atLeast"/>
        </w:trPr>
        <w:tc>
          <w:tcPr>
            <w:tcW w:w="9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962"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c>
          <w:tcPr>
            <w:tcW w:w="879" w:type="dxa"/>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99</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收区财政拨入新冠疫情防控经费</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407,700.00 </w:t>
            </w:r>
          </w:p>
        </w:tc>
      </w:tr>
      <w:tr>
        <w:tblPrEx>
          <w:tblCellMar>
            <w:top w:w="0" w:type="dxa"/>
            <w:left w:w="108" w:type="dxa"/>
            <w:bottom w:w="0" w:type="dxa"/>
            <w:right w:w="108" w:type="dxa"/>
          </w:tblCellMar>
        </w:tblPrEx>
        <w:trPr>
          <w:trHeight w:val="270" w:hRule="atLeast"/>
        </w:trPr>
        <w:tc>
          <w:tcPr>
            <w:tcW w:w="2803" w:type="dxa"/>
            <w:gridSpan w:val="3"/>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3450" w:type="dxa"/>
            <w:tcBorders>
              <w:top w:val="nil"/>
              <w:left w:val="nil"/>
              <w:bottom w:val="single" w:color="auto" w:sz="4" w:space="0"/>
              <w:right w:val="single" w:color="auto" w:sz="4" w:space="0"/>
            </w:tcBorders>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2269" w:type="dxa"/>
            <w:tcBorders>
              <w:top w:val="nil"/>
              <w:left w:val="nil"/>
              <w:bottom w:val="single" w:color="auto" w:sz="4" w:space="0"/>
              <w:right w:val="single" w:color="auto" w:sz="4" w:space="0"/>
            </w:tcBorders>
            <w:vAlign w:val="center"/>
          </w:tcPr>
          <w:p>
            <w:pPr>
              <w:widowControl/>
              <w:jc w:val="right"/>
              <w:rPr>
                <w:rFonts w:ascii="宋体" w:hAnsi="宋体" w:cs="宋体"/>
                <w:b/>
                <w:bCs/>
                <w:kern w:val="0"/>
                <w:sz w:val="22"/>
              </w:rPr>
            </w:pPr>
            <w:r>
              <w:rPr>
                <w:rFonts w:hint="eastAsia" w:ascii="宋体" w:hAnsi="宋体" w:cs="宋体"/>
                <w:b/>
                <w:bCs/>
                <w:kern w:val="0"/>
                <w:sz w:val="22"/>
              </w:rPr>
              <w:t xml:space="preserve">1,601,841.00 </w:t>
            </w:r>
          </w:p>
        </w:tc>
      </w:tr>
    </w:tbl>
    <w:p>
      <w:pPr>
        <w:autoSpaceDE w:val="0"/>
        <w:autoSpaceDN w:val="0"/>
        <w:adjustRightInd w:val="0"/>
        <w:spacing w:line="600" w:lineRule="exact"/>
        <w:ind w:firstLine="640" w:firstLineChars="200"/>
        <w:jc w:val="left"/>
        <w:rPr>
          <w:rFonts w:hint="eastAsia" w:ascii="仿宋" w:hAnsi="仿宋" w:eastAsia="仿宋" w:cs="仿宋_GB2312"/>
          <w:kern w:val="0"/>
          <w:sz w:val="32"/>
          <w:szCs w:val="32"/>
          <w:shd w:val="clear" w:color="auto" w:fill="FFFFFF"/>
          <w:lang w:val="zh-CN"/>
        </w:rPr>
      </w:pP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2．资金管理情况。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仁和镇人民政府严格按照财政下达的预算资金，结合实际情况，合理安排使用资金，坚持原则上不超预算使用资金。根据项目实施拨付资金；严格履行项目资金使用审批手续，加强资金的监管力度，确保了专款专用，防止挪用、挤占。</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3．财务管理情况。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本项目执行过程中，会计账务处理及时；会计核算规范；按照专款专用安排使用资金，资金支付有据可查，开支</w:t>
      </w:r>
      <w:r>
        <w:rPr>
          <w:rFonts w:hint="eastAsia" w:ascii="仿宋" w:hAnsi="仿宋" w:eastAsia="仿宋" w:cs="仿宋"/>
          <w:kern w:val="0"/>
          <w:sz w:val="30"/>
          <w:szCs w:val="30"/>
          <w:highlight w:val="none"/>
          <w:lang w:val="zh-CN" w:bidi="ar"/>
        </w:rPr>
        <w:t>标准和</w:t>
      </w:r>
      <w:r>
        <w:rPr>
          <w:rFonts w:hint="eastAsia" w:ascii="仿宋" w:hAnsi="仿宋" w:eastAsia="仿宋" w:cs="仿宋"/>
          <w:kern w:val="0"/>
          <w:sz w:val="30"/>
          <w:szCs w:val="30"/>
          <w:lang w:val="zh-CN" w:bidi="ar"/>
        </w:rPr>
        <w:t>规合法，按照《中华人民共和国政府采购法》相关要求执行采购业务，资金拨付、使用有完整的审批程序和手续；用途明确；无截留、挤占、挪用、虚列支出等情况。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4．组织实施情况。</w:t>
      </w:r>
    </w:p>
    <w:p>
      <w:pPr>
        <w:spacing w:line="500" w:lineRule="exact"/>
        <w:ind w:right="-428" w:rightChars="-204" w:firstLine="630"/>
        <w:jc w:val="left"/>
        <w:rPr>
          <w:rFonts w:ascii="宋体" w:hAnsi="宋体" w:cs="仿宋_GB2312"/>
          <w:kern w:val="0"/>
          <w:sz w:val="30"/>
          <w:szCs w:val="30"/>
          <w:shd w:val="clear" w:color="auto" w:fill="FFFFFF"/>
          <w:lang w:val="zh-CN"/>
        </w:rPr>
      </w:pPr>
      <w:r>
        <w:rPr>
          <w:rFonts w:hint="eastAsia" w:ascii="仿宋" w:hAnsi="仿宋" w:eastAsia="仿宋" w:cs="仿宋"/>
          <w:kern w:val="0"/>
          <w:sz w:val="30"/>
          <w:szCs w:val="30"/>
          <w:lang w:val="zh-CN" w:bidi="ar"/>
        </w:rPr>
        <w:t xml:space="preserve">为完成2020年新冠肺炎疫情防控目标，对全镇6个社区、7个村实施防控常态化管理，设立3个防疫卡点（攀田高速总发出口、火车南站出口、集中隔离点）自1月27日起实施24小时值守。   </w:t>
      </w:r>
      <w:r>
        <w:rPr>
          <w:rFonts w:hint="eastAsia" w:ascii="仿宋" w:hAnsi="仿宋" w:eastAsia="仿宋" w:cs="仿宋_GB2312"/>
          <w:kern w:val="0"/>
          <w:sz w:val="30"/>
          <w:szCs w:val="30"/>
          <w:shd w:val="clear" w:color="auto" w:fill="FFFFFF"/>
          <w:lang w:val="zh-CN"/>
        </w:rPr>
        <w:t xml:space="preserve">   </w:t>
      </w:r>
      <w:r>
        <w:rPr>
          <w:rFonts w:hint="eastAsia" w:ascii="宋体" w:hAnsi="宋体" w:cs="仿宋_GB2312"/>
          <w:kern w:val="0"/>
          <w:sz w:val="30"/>
          <w:szCs w:val="30"/>
          <w:shd w:val="clear" w:color="auto" w:fill="FFFFFF"/>
          <w:lang w:val="zh-CN"/>
        </w:rPr>
        <w:t xml:space="preserve">   </w:t>
      </w:r>
    </w:p>
    <w:p>
      <w:pPr>
        <w:adjustRightInd w:val="0"/>
        <w:snapToGrid w:val="0"/>
        <w:spacing w:line="500" w:lineRule="exact"/>
        <w:ind w:right="-428" w:rightChars="-204" w:firstLine="678" w:firstLineChars="225"/>
        <w:rPr>
          <w:rFonts w:hint="eastAsia" w:ascii="宋体" w:hAnsi="宋体" w:cs="宋体"/>
          <w:b/>
          <w:sz w:val="30"/>
          <w:szCs w:val="30"/>
        </w:rPr>
      </w:pPr>
      <w:r>
        <w:rPr>
          <w:rFonts w:hint="eastAsia" w:ascii="宋体" w:hAnsi="宋体" w:cs="宋体"/>
          <w:b/>
          <w:sz w:val="30"/>
          <w:szCs w:val="30"/>
        </w:rPr>
        <w:t>五、项目绩效情况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（一）项目完成情况。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1.完成数量。</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为全镇13个村社购买防疫物资及疫情防控宣传；解决3个防疫卡点（攀田高速总发出口、火车南站出口、集中隔离点）值守人员误餐；给予13个村社及卡点民兵</w:t>
      </w:r>
      <w:r>
        <w:rPr>
          <w:rFonts w:hint="eastAsia" w:ascii="仿宋" w:hAnsi="仿宋" w:eastAsia="仿宋" w:cs="仿宋"/>
          <w:kern w:val="0"/>
          <w:sz w:val="30"/>
          <w:szCs w:val="30"/>
          <w:highlight w:val="none"/>
          <w:lang w:val="zh-CN" w:bidi="ar"/>
        </w:rPr>
        <w:t>疫情防控期间</w:t>
      </w:r>
      <w:r>
        <w:rPr>
          <w:rFonts w:hint="eastAsia" w:ascii="仿宋" w:hAnsi="仿宋" w:eastAsia="仿宋" w:cs="仿宋"/>
          <w:kern w:val="0"/>
          <w:sz w:val="30"/>
          <w:szCs w:val="30"/>
          <w:lang w:val="zh-CN" w:bidi="ar"/>
        </w:rPr>
        <w:t>补助。具体明细：</w:t>
      </w:r>
    </w:p>
    <w:tbl>
      <w:tblPr>
        <w:tblStyle w:val="3"/>
        <w:tblW w:w="8522" w:type="dxa"/>
        <w:tblInd w:w="0" w:type="dxa"/>
        <w:tblLayout w:type="fixed"/>
        <w:tblCellMar>
          <w:top w:w="0" w:type="dxa"/>
          <w:left w:w="108" w:type="dxa"/>
          <w:bottom w:w="0" w:type="dxa"/>
          <w:right w:w="108" w:type="dxa"/>
        </w:tblCellMar>
      </w:tblPr>
      <w:tblGrid>
        <w:gridCol w:w="591"/>
        <w:gridCol w:w="65"/>
        <w:gridCol w:w="27"/>
        <w:gridCol w:w="498"/>
        <w:gridCol w:w="131"/>
        <w:gridCol w:w="53"/>
        <w:gridCol w:w="591"/>
        <w:gridCol w:w="232"/>
        <w:gridCol w:w="184"/>
        <w:gridCol w:w="4402"/>
        <w:gridCol w:w="245"/>
        <w:gridCol w:w="1503"/>
      </w:tblGrid>
      <w:tr>
        <w:tblPrEx>
          <w:tblCellMar>
            <w:top w:w="0" w:type="dxa"/>
            <w:left w:w="108" w:type="dxa"/>
            <w:bottom w:w="0" w:type="dxa"/>
            <w:right w:w="108" w:type="dxa"/>
          </w:tblCellMar>
        </w:tblPrEx>
        <w:trPr>
          <w:trHeight w:val="270" w:hRule="atLeast"/>
        </w:trPr>
        <w:tc>
          <w:tcPr>
            <w:tcW w:w="8522" w:type="dxa"/>
            <w:gridSpan w:val="12"/>
            <w:tcBorders>
              <w:top w:val="nil"/>
              <w:left w:val="nil"/>
              <w:bottom w:val="nil"/>
              <w:right w:val="nil"/>
            </w:tcBorders>
            <w:vAlign w:val="center"/>
          </w:tcPr>
          <w:p>
            <w:pPr>
              <w:autoSpaceDE w:val="0"/>
              <w:autoSpaceDN w:val="0"/>
              <w:adjustRightInd w:val="0"/>
              <w:spacing w:line="600" w:lineRule="exact"/>
              <w:ind w:firstLine="602" w:firstLineChars="200"/>
              <w:jc w:val="center"/>
              <w:rPr>
                <w:rFonts w:ascii="仿宋" w:hAnsi="仿宋" w:eastAsia="仿宋" w:cs="仿宋_GB2312"/>
                <w:b/>
                <w:kern w:val="0"/>
                <w:sz w:val="32"/>
                <w:szCs w:val="32"/>
                <w:shd w:val="clear" w:color="auto" w:fill="FFFFFF"/>
                <w:lang w:val="zh-CN"/>
              </w:rPr>
            </w:pPr>
            <w:r>
              <w:rPr>
                <w:rFonts w:hint="eastAsia" w:ascii="仿宋" w:hAnsi="仿宋" w:eastAsia="仿宋" w:cs="仿宋"/>
                <w:b/>
                <w:bCs/>
                <w:kern w:val="0"/>
                <w:sz w:val="30"/>
                <w:szCs w:val="30"/>
                <w:lang w:val="zh-CN" w:bidi="ar"/>
              </w:rPr>
              <w:t>疫情防控物资及宣传费用</w:t>
            </w:r>
          </w:p>
        </w:tc>
      </w:tr>
      <w:tr>
        <w:tblPrEx>
          <w:tblCellMar>
            <w:top w:w="0" w:type="dxa"/>
            <w:left w:w="108" w:type="dxa"/>
            <w:bottom w:w="0" w:type="dxa"/>
            <w:right w:w="108" w:type="dxa"/>
          </w:tblCellMar>
        </w:tblPrEx>
        <w:trPr>
          <w:trHeight w:val="270" w:hRule="atLeast"/>
        </w:trPr>
        <w:tc>
          <w:tcPr>
            <w:tcW w:w="683"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682"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1007"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4647" w:type="dxa"/>
            <w:gridSpan w:val="2"/>
            <w:tcBorders>
              <w:top w:val="nil"/>
              <w:left w:val="nil"/>
              <w:bottom w:val="nil"/>
              <w:right w:val="nil"/>
            </w:tcBorders>
            <w:vAlign w:val="center"/>
          </w:tcPr>
          <w:p>
            <w:pPr>
              <w:widowControl/>
              <w:jc w:val="center"/>
              <w:rPr>
                <w:rFonts w:ascii="宋体" w:hAnsi="宋体" w:cs="宋体"/>
                <w:b/>
                <w:bCs/>
                <w:kern w:val="0"/>
                <w:sz w:val="22"/>
              </w:rPr>
            </w:pPr>
          </w:p>
        </w:tc>
        <w:tc>
          <w:tcPr>
            <w:tcW w:w="1503"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单位：元</w:t>
            </w:r>
          </w:p>
        </w:tc>
      </w:tr>
      <w:tr>
        <w:tblPrEx>
          <w:tblCellMar>
            <w:top w:w="0" w:type="dxa"/>
            <w:left w:w="108" w:type="dxa"/>
            <w:bottom w:w="0" w:type="dxa"/>
            <w:right w:w="108" w:type="dxa"/>
          </w:tblCellMar>
        </w:tblPrEx>
        <w:trPr>
          <w:trHeight w:val="270" w:hRule="atLeast"/>
        </w:trPr>
        <w:tc>
          <w:tcPr>
            <w:tcW w:w="683"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月份</w:t>
            </w:r>
          </w:p>
        </w:tc>
        <w:tc>
          <w:tcPr>
            <w:tcW w:w="682"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日期</w:t>
            </w:r>
          </w:p>
        </w:tc>
        <w:tc>
          <w:tcPr>
            <w:tcW w:w="1007"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凭证号</w:t>
            </w:r>
          </w:p>
        </w:tc>
        <w:tc>
          <w:tcPr>
            <w:tcW w:w="4647"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内容</w:t>
            </w:r>
          </w:p>
        </w:tc>
        <w:tc>
          <w:tcPr>
            <w:tcW w:w="15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金额</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50#</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购消毒液</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10,317.00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52#</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购中成药一批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1,044.00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53#</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购体温计一批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1,005.00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55#</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购体温计</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750.00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56#</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购药品一批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3,502.00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57#</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购体温计</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840.00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58#</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购防疫物品一批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6,118.00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59#</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付博豪广告部宣传制作费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52,553.00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60#</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购喊话器</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2,566.00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61#</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购消毒液、防护服等</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51,850.00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29#</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购温度计</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510.00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32#</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付金鸿图广告公司宣传制作费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13,500.00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4</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61#</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付逸远广告部宣传制作费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2,746.00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98#</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付博豪广诚装饰部宣传制作费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63,303.50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99#</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付众兴广告传媒公司宣传制作费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3,800.00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100#</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付逸远广告部宣传制作费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3,115.00 </w:t>
            </w:r>
          </w:p>
        </w:tc>
      </w:tr>
      <w:tr>
        <w:tblPrEx>
          <w:tblCellMar>
            <w:top w:w="0" w:type="dxa"/>
            <w:left w:w="108" w:type="dxa"/>
            <w:bottom w:w="0" w:type="dxa"/>
            <w:right w:w="108" w:type="dxa"/>
          </w:tblCellMar>
        </w:tblPrEx>
        <w:trPr>
          <w:trHeight w:val="270" w:hRule="atLeast"/>
        </w:trPr>
        <w:tc>
          <w:tcPr>
            <w:tcW w:w="683" w:type="dxa"/>
            <w:gridSpan w:val="3"/>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682"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1007"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101#</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付韵华图文社宣传制作费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2,447.50 </w:t>
            </w:r>
          </w:p>
        </w:tc>
      </w:tr>
      <w:tr>
        <w:tblPrEx>
          <w:tblCellMar>
            <w:top w:w="0" w:type="dxa"/>
            <w:left w:w="108" w:type="dxa"/>
            <w:bottom w:w="0" w:type="dxa"/>
            <w:right w:w="108" w:type="dxa"/>
          </w:tblCellMar>
        </w:tblPrEx>
        <w:trPr>
          <w:trHeight w:val="270" w:hRule="atLeast"/>
        </w:trPr>
        <w:tc>
          <w:tcPr>
            <w:tcW w:w="2372" w:type="dxa"/>
            <w:gridSpan w:val="9"/>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4647" w:type="dxa"/>
            <w:gridSpan w:val="2"/>
            <w:tcBorders>
              <w:top w:val="nil"/>
              <w:left w:val="nil"/>
              <w:bottom w:val="single" w:color="auto" w:sz="4" w:space="0"/>
              <w:right w:val="single" w:color="auto" w:sz="4" w:space="0"/>
            </w:tcBorders>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b/>
                <w:bCs/>
                <w:kern w:val="0"/>
                <w:sz w:val="22"/>
              </w:rPr>
            </w:pPr>
            <w:r>
              <w:rPr>
                <w:rFonts w:hint="eastAsia" w:ascii="宋体" w:hAnsi="宋体" w:cs="宋体"/>
                <w:b/>
                <w:bCs/>
                <w:kern w:val="0"/>
                <w:sz w:val="22"/>
              </w:rPr>
              <w:t xml:space="preserve">219,967.00 </w:t>
            </w:r>
          </w:p>
        </w:tc>
      </w:tr>
      <w:tr>
        <w:tblPrEx>
          <w:tblCellMar>
            <w:top w:w="0" w:type="dxa"/>
            <w:left w:w="108" w:type="dxa"/>
            <w:bottom w:w="0" w:type="dxa"/>
            <w:right w:w="108" w:type="dxa"/>
          </w:tblCellMar>
        </w:tblPrEx>
        <w:trPr>
          <w:trHeight w:val="270" w:hRule="atLeast"/>
        </w:trPr>
        <w:tc>
          <w:tcPr>
            <w:tcW w:w="8522" w:type="dxa"/>
            <w:gridSpan w:val="12"/>
            <w:tcBorders>
              <w:top w:val="nil"/>
              <w:left w:val="nil"/>
              <w:bottom w:val="nil"/>
              <w:right w:val="nil"/>
            </w:tcBorders>
            <w:vAlign w:val="center"/>
          </w:tcPr>
          <w:p>
            <w:pPr>
              <w:autoSpaceDE w:val="0"/>
              <w:autoSpaceDN w:val="0"/>
              <w:adjustRightInd w:val="0"/>
              <w:spacing w:line="600" w:lineRule="exact"/>
              <w:ind w:firstLine="643" w:firstLineChars="200"/>
              <w:jc w:val="center"/>
              <w:rPr>
                <w:rFonts w:hint="eastAsia" w:ascii="仿宋" w:hAnsi="仿宋" w:eastAsia="仿宋" w:cs="仿宋_GB2312"/>
                <w:b/>
                <w:kern w:val="0"/>
                <w:sz w:val="32"/>
                <w:szCs w:val="32"/>
                <w:shd w:val="clear" w:color="auto" w:fill="FFFFFF"/>
                <w:lang w:val="zh-CN"/>
              </w:rPr>
            </w:pPr>
          </w:p>
          <w:p>
            <w:pPr>
              <w:autoSpaceDE w:val="0"/>
              <w:autoSpaceDN w:val="0"/>
              <w:adjustRightInd w:val="0"/>
              <w:spacing w:line="600" w:lineRule="exact"/>
              <w:ind w:firstLine="602" w:firstLineChars="200"/>
              <w:jc w:val="center"/>
              <w:rPr>
                <w:rFonts w:ascii="仿宋" w:hAnsi="仿宋" w:eastAsia="仿宋" w:cs="仿宋_GB2312"/>
                <w:b/>
                <w:kern w:val="0"/>
                <w:sz w:val="32"/>
                <w:szCs w:val="32"/>
                <w:shd w:val="clear" w:color="auto" w:fill="FFFFFF"/>
                <w:lang w:val="zh-CN"/>
              </w:rPr>
            </w:pPr>
            <w:r>
              <w:rPr>
                <w:rFonts w:hint="eastAsia" w:ascii="仿宋" w:hAnsi="仿宋" w:eastAsia="仿宋" w:cs="仿宋"/>
                <w:b/>
                <w:bCs/>
                <w:kern w:val="0"/>
                <w:sz w:val="30"/>
                <w:szCs w:val="30"/>
                <w:lang w:val="zh-CN" w:bidi="ar"/>
              </w:rPr>
              <w:t>疫情防控驻守卡点人员误餐费等相关费用</w:t>
            </w:r>
          </w:p>
        </w:tc>
      </w:tr>
      <w:tr>
        <w:tblPrEx>
          <w:tblCellMar>
            <w:top w:w="0" w:type="dxa"/>
            <w:left w:w="108" w:type="dxa"/>
            <w:bottom w:w="0" w:type="dxa"/>
            <w:right w:w="108" w:type="dxa"/>
          </w:tblCellMar>
        </w:tblPrEx>
        <w:trPr>
          <w:trHeight w:val="270" w:hRule="atLeast"/>
        </w:trPr>
        <w:tc>
          <w:tcPr>
            <w:tcW w:w="656" w:type="dxa"/>
            <w:gridSpan w:val="2"/>
            <w:tcBorders>
              <w:top w:val="nil"/>
              <w:left w:val="nil"/>
              <w:bottom w:val="nil"/>
              <w:right w:val="nil"/>
            </w:tcBorders>
            <w:vAlign w:val="center"/>
          </w:tcPr>
          <w:p>
            <w:pPr>
              <w:widowControl/>
              <w:jc w:val="center"/>
              <w:rPr>
                <w:rFonts w:ascii="宋体" w:hAnsi="宋体" w:cs="宋体"/>
                <w:b/>
                <w:bCs/>
                <w:kern w:val="0"/>
                <w:sz w:val="22"/>
              </w:rPr>
            </w:pPr>
          </w:p>
        </w:tc>
        <w:tc>
          <w:tcPr>
            <w:tcW w:w="656"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876"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4831"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1503" w:type="dxa"/>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单位：元</w:t>
            </w:r>
          </w:p>
        </w:tc>
      </w:tr>
      <w:tr>
        <w:tblPrEx>
          <w:tblCellMar>
            <w:top w:w="0" w:type="dxa"/>
            <w:left w:w="108" w:type="dxa"/>
            <w:bottom w:w="0" w:type="dxa"/>
            <w:right w:w="108" w:type="dxa"/>
          </w:tblCellMar>
        </w:tblPrEx>
        <w:trPr>
          <w:trHeight w:val="270" w:hRule="atLeast"/>
        </w:trPr>
        <w:tc>
          <w:tcPr>
            <w:tcW w:w="656"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月份</w:t>
            </w:r>
          </w:p>
        </w:tc>
        <w:tc>
          <w:tcPr>
            <w:tcW w:w="65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日期</w:t>
            </w:r>
          </w:p>
        </w:tc>
        <w:tc>
          <w:tcPr>
            <w:tcW w:w="876"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凭证号</w:t>
            </w:r>
          </w:p>
        </w:tc>
        <w:tc>
          <w:tcPr>
            <w:tcW w:w="4831"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事项</w:t>
            </w:r>
          </w:p>
        </w:tc>
        <w:tc>
          <w:tcPr>
            <w:tcW w:w="1503"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金额</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51#</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付电费（总发高速出口疫情防控点）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1,000.00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29</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54#</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购无线路由器（总发高速路口）</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699.00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付电费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1,000.00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3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34#</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购盒饭（新冠疫情防控卡点）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12,780.00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3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35#</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购盒饭（新冠疫情防控卡点）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13,325.00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3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36#</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购盒饭（新冠疫情防控卡点）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26,190.00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3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37#</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购方便面等（新冠疫情防控卡点）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17,160.00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3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38#</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购矿泉水（新冠疫情防控卡点）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1,680.00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3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39#</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购方便面等（新冠疫情防控卡点）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5,140.00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4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60#</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购盒饭（新冠疫情防控卡点）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3,720.00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5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97#</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购盒饭（新冠疫情防控卡点）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30,000.00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5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102#</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购盒饭（新冠疫情防控卡点）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18,870.00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5</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31</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103#</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付鸿振工程公司新冠肺炎隔离观测点化粪池修建款</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4,500.00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6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89#</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购盒饭（新冠疫情防控卡点）</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46,590.00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6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90#</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购矿泉水</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1,120.00 </w:t>
            </w:r>
          </w:p>
        </w:tc>
      </w:tr>
      <w:tr>
        <w:tblPrEx>
          <w:tblCellMar>
            <w:top w:w="0" w:type="dxa"/>
            <w:left w:w="108" w:type="dxa"/>
            <w:bottom w:w="0" w:type="dxa"/>
            <w:right w:w="108" w:type="dxa"/>
          </w:tblCellMar>
        </w:tblPrEx>
        <w:trPr>
          <w:trHeight w:val="270" w:hRule="atLeast"/>
        </w:trPr>
        <w:tc>
          <w:tcPr>
            <w:tcW w:w="656" w:type="dxa"/>
            <w:gridSpan w:val="2"/>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 xml:space="preserve">6 </w:t>
            </w:r>
          </w:p>
        </w:tc>
        <w:tc>
          <w:tcPr>
            <w:tcW w:w="65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876"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91#</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购方便面等</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6,940.00 </w:t>
            </w:r>
          </w:p>
        </w:tc>
      </w:tr>
      <w:tr>
        <w:tblPrEx>
          <w:tblCellMar>
            <w:top w:w="0" w:type="dxa"/>
            <w:left w:w="108" w:type="dxa"/>
            <w:bottom w:w="0" w:type="dxa"/>
            <w:right w:w="108" w:type="dxa"/>
          </w:tblCellMar>
        </w:tblPrEx>
        <w:trPr>
          <w:trHeight w:val="270" w:hRule="atLeast"/>
        </w:trPr>
        <w:tc>
          <w:tcPr>
            <w:tcW w:w="2188" w:type="dxa"/>
            <w:gridSpan w:val="8"/>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4831" w:type="dxa"/>
            <w:gridSpan w:val="3"/>
            <w:tcBorders>
              <w:top w:val="nil"/>
              <w:left w:val="nil"/>
              <w:bottom w:val="single" w:color="auto" w:sz="4" w:space="0"/>
              <w:right w:val="single" w:color="auto" w:sz="4" w:space="0"/>
            </w:tcBorders>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1503" w:type="dxa"/>
            <w:tcBorders>
              <w:top w:val="nil"/>
              <w:left w:val="nil"/>
              <w:bottom w:val="single" w:color="auto" w:sz="4" w:space="0"/>
              <w:right w:val="single" w:color="auto" w:sz="4" w:space="0"/>
            </w:tcBorders>
            <w:vAlign w:val="center"/>
          </w:tcPr>
          <w:p>
            <w:pPr>
              <w:widowControl/>
              <w:jc w:val="right"/>
              <w:rPr>
                <w:rFonts w:ascii="宋体" w:hAnsi="宋体" w:cs="宋体"/>
                <w:b/>
                <w:bCs/>
                <w:kern w:val="0"/>
                <w:sz w:val="22"/>
              </w:rPr>
            </w:pPr>
            <w:r>
              <w:rPr>
                <w:rFonts w:hint="eastAsia" w:ascii="宋体" w:hAnsi="宋体" w:cs="宋体"/>
                <w:b/>
                <w:bCs/>
                <w:kern w:val="0"/>
                <w:sz w:val="22"/>
              </w:rPr>
              <w:t xml:space="preserve">190,714.00 </w:t>
            </w:r>
          </w:p>
        </w:tc>
      </w:tr>
      <w:tr>
        <w:tblPrEx>
          <w:tblCellMar>
            <w:top w:w="0" w:type="dxa"/>
            <w:left w:w="108" w:type="dxa"/>
            <w:bottom w:w="0" w:type="dxa"/>
            <w:right w:w="108" w:type="dxa"/>
          </w:tblCellMar>
        </w:tblPrEx>
        <w:trPr>
          <w:trHeight w:val="270" w:hRule="atLeast"/>
        </w:trPr>
        <w:tc>
          <w:tcPr>
            <w:tcW w:w="8522" w:type="dxa"/>
            <w:gridSpan w:val="12"/>
            <w:tcBorders>
              <w:top w:val="nil"/>
              <w:left w:val="nil"/>
              <w:bottom w:val="nil"/>
              <w:right w:val="nil"/>
            </w:tcBorders>
            <w:vAlign w:val="center"/>
          </w:tcPr>
          <w:p>
            <w:pPr>
              <w:widowControl/>
              <w:jc w:val="center"/>
              <w:rPr>
                <w:rFonts w:hint="eastAsia" w:ascii="宋体" w:hAnsi="宋体" w:cs="宋体"/>
                <w:b/>
                <w:bCs/>
                <w:kern w:val="0"/>
                <w:sz w:val="22"/>
              </w:rPr>
            </w:pPr>
          </w:p>
          <w:p>
            <w:pPr>
              <w:autoSpaceDE w:val="0"/>
              <w:autoSpaceDN w:val="0"/>
              <w:adjustRightInd w:val="0"/>
              <w:spacing w:line="600" w:lineRule="exact"/>
              <w:ind w:firstLine="602" w:firstLineChars="200"/>
              <w:jc w:val="center"/>
              <w:rPr>
                <w:rFonts w:ascii="宋体" w:hAnsi="宋体" w:cs="宋体"/>
                <w:b/>
                <w:bCs/>
                <w:kern w:val="0"/>
                <w:sz w:val="22"/>
              </w:rPr>
            </w:pPr>
            <w:r>
              <w:rPr>
                <w:rFonts w:hint="eastAsia" w:ascii="仿宋" w:hAnsi="仿宋" w:eastAsia="仿宋" w:cs="仿宋"/>
                <w:b/>
                <w:bCs/>
                <w:kern w:val="0"/>
                <w:sz w:val="30"/>
                <w:szCs w:val="30"/>
                <w:lang w:val="zh-CN" w:bidi="ar"/>
              </w:rPr>
              <w:t>疫情防控补贴</w:t>
            </w:r>
          </w:p>
        </w:tc>
      </w:tr>
      <w:tr>
        <w:tblPrEx>
          <w:tblCellMar>
            <w:top w:w="0" w:type="dxa"/>
            <w:left w:w="108" w:type="dxa"/>
            <w:bottom w:w="0" w:type="dxa"/>
            <w:right w:w="108" w:type="dxa"/>
          </w:tblCellMar>
        </w:tblPrEx>
        <w:trPr>
          <w:trHeight w:val="270" w:hRule="atLeast"/>
        </w:trPr>
        <w:tc>
          <w:tcPr>
            <w:tcW w:w="591" w:type="dxa"/>
            <w:tcBorders>
              <w:top w:val="nil"/>
              <w:left w:val="nil"/>
              <w:bottom w:val="nil"/>
              <w:right w:val="nil"/>
            </w:tcBorders>
            <w:vAlign w:val="center"/>
          </w:tcPr>
          <w:p>
            <w:pPr>
              <w:widowControl/>
              <w:jc w:val="center"/>
              <w:rPr>
                <w:rFonts w:ascii="宋体" w:hAnsi="宋体" w:cs="宋体"/>
                <w:b/>
                <w:bCs/>
                <w:kern w:val="0"/>
                <w:sz w:val="22"/>
              </w:rPr>
            </w:pPr>
          </w:p>
        </w:tc>
        <w:tc>
          <w:tcPr>
            <w:tcW w:w="590"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775"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4818" w:type="dxa"/>
            <w:gridSpan w:val="3"/>
            <w:tcBorders>
              <w:top w:val="nil"/>
              <w:left w:val="nil"/>
              <w:bottom w:val="nil"/>
              <w:right w:val="nil"/>
            </w:tcBorders>
            <w:vAlign w:val="center"/>
          </w:tcPr>
          <w:p>
            <w:pPr>
              <w:widowControl/>
              <w:jc w:val="center"/>
              <w:rPr>
                <w:rFonts w:ascii="宋体" w:hAnsi="宋体" w:cs="宋体"/>
                <w:b/>
                <w:bCs/>
                <w:kern w:val="0"/>
                <w:sz w:val="22"/>
              </w:rPr>
            </w:pPr>
          </w:p>
        </w:tc>
        <w:tc>
          <w:tcPr>
            <w:tcW w:w="1748" w:type="dxa"/>
            <w:gridSpan w:val="2"/>
            <w:tcBorders>
              <w:top w:val="nil"/>
              <w:left w:val="nil"/>
              <w:bottom w:val="nil"/>
              <w:right w:val="nil"/>
            </w:tcBorders>
            <w:vAlign w:val="center"/>
          </w:tcPr>
          <w:p>
            <w:pPr>
              <w:widowControl/>
              <w:jc w:val="right"/>
              <w:rPr>
                <w:rFonts w:ascii="宋体" w:hAnsi="宋体" w:cs="宋体"/>
                <w:kern w:val="0"/>
                <w:sz w:val="22"/>
              </w:rPr>
            </w:pPr>
            <w:r>
              <w:rPr>
                <w:rFonts w:hint="eastAsia" w:ascii="宋体" w:hAnsi="宋体" w:cs="宋体"/>
                <w:kern w:val="0"/>
                <w:sz w:val="22"/>
              </w:rPr>
              <w:t>单位：元</w:t>
            </w:r>
          </w:p>
        </w:tc>
      </w:tr>
      <w:tr>
        <w:tblPrEx>
          <w:tblCellMar>
            <w:top w:w="0" w:type="dxa"/>
            <w:left w:w="108" w:type="dxa"/>
            <w:bottom w:w="0" w:type="dxa"/>
            <w:right w:w="108" w:type="dxa"/>
          </w:tblCellMar>
        </w:tblPrEx>
        <w:trPr>
          <w:trHeight w:val="270" w:hRule="atLeast"/>
        </w:trPr>
        <w:tc>
          <w:tcPr>
            <w:tcW w:w="5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月份</w:t>
            </w:r>
          </w:p>
        </w:tc>
        <w:tc>
          <w:tcPr>
            <w:tcW w:w="590"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日期</w:t>
            </w:r>
          </w:p>
        </w:tc>
        <w:tc>
          <w:tcPr>
            <w:tcW w:w="775"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凭证号</w:t>
            </w:r>
          </w:p>
        </w:tc>
        <w:tc>
          <w:tcPr>
            <w:tcW w:w="4818" w:type="dxa"/>
            <w:gridSpan w:val="3"/>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内容</w:t>
            </w:r>
          </w:p>
        </w:tc>
        <w:tc>
          <w:tcPr>
            <w:tcW w:w="1748" w:type="dxa"/>
            <w:gridSpan w:val="2"/>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金额</w:t>
            </w:r>
          </w:p>
        </w:tc>
      </w:tr>
      <w:tr>
        <w:tblPrEx>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6</w:t>
            </w:r>
          </w:p>
        </w:tc>
        <w:tc>
          <w:tcPr>
            <w:tcW w:w="59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77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92#</w:t>
            </w:r>
          </w:p>
        </w:tc>
        <w:tc>
          <w:tcPr>
            <w:tcW w:w="4818"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付民兵疫情防控补贴费（2020.1.28-2020.5.31）</w:t>
            </w:r>
          </w:p>
        </w:tc>
        <w:tc>
          <w:tcPr>
            <w:tcW w:w="174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477,300.000 </w:t>
            </w:r>
          </w:p>
        </w:tc>
      </w:tr>
      <w:tr>
        <w:tblPrEx>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59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77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114#</w:t>
            </w:r>
          </w:p>
        </w:tc>
        <w:tc>
          <w:tcPr>
            <w:tcW w:w="4818"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付火车南站执勤民兵疫情防控补贴</w:t>
            </w:r>
          </w:p>
        </w:tc>
        <w:tc>
          <w:tcPr>
            <w:tcW w:w="174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74,400.000 </w:t>
            </w:r>
          </w:p>
        </w:tc>
      </w:tr>
      <w:tr>
        <w:tblPrEx>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w:t>
            </w:r>
          </w:p>
        </w:tc>
        <w:tc>
          <w:tcPr>
            <w:tcW w:w="59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30</w:t>
            </w:r>
          </w:p>
        </w:tc>
        <w:tc>
          <w:tcPr>
            <w:tcW w:w="77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115#</w:t>
            </w:r>
          </w:p>
        </w:tc>
        <w:tc>
          <w:tcPr>
            <w:tcW w:w="4818"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付村居组干部疫情防控补贴</w:t>
            </w:r>
          </w:p>
        </w:tc>
        <w:tc>
          <w:tcPr>
            <w:tcW w:w="174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225,360.000 </w:t>
            </w:r>
          </w:p>
        </w:tc>
      </w:tr>
      <w:tr>
        <w:tblPrEx>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59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c>
          <w:tcPr>
            <w:tcW w:w="77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95#</w:t>
            </w:r>
          </w:p>
        </w:tc>
        <w:tc>
          <w:tcPr>
            <w:tcW w:w="4818"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付总发高速路口执勤点民兵疫情防控补贴（1.27-2.22）</w:t>
            </w:r>
          </w:p>
        </w:tc>
        <w:tc>
          <w:tcPr>
            <w:tcW w:w="174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6,400.000 </w:t>
            </w:r>
          </w:p>
        </w:tc>
      </w:tr>
      <w:tr>
        <w:tblPrEx>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59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c>
          <w:tcPr>
            <w:tcW w:w="77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100#</w:t>
            </w:r>
          </w:p>
        </w:tc>
        <w:tc>
          <w:tcPr>
            <w:tcW w:w="4818"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付岩神山执勤点民兵疫情防控补贴（2020.9.26-2020.10.1）</w:t>
            </w:r>
          </w:p>
        </w:tc>
        <w:tc>
          <w:tcPr>
            <w:tcW w:w="174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1,800.000 </w:t>
            </w:r>
          </w:p>
        </w:tc>
      </w:tr>
      <w:tr>
        <w:tblPrEx>
          <w:tblCellMar>
            <w:top w:w="0" w:type="dxa"/>
            <w:left w:w="108" w:type="dxa"/>
            <w:bottom w:w="0" w:type="dxa"/>
            <w:right w:w="108" w:type="dxa"/>
          </w:tblCellMar>
        </w:tblPrEx>
        <w:trPr>
          <w:trHeight w:val="270" w:hRule="atLeast"/>
        </w:trPr>
        <w:tc>
          <w:tcPr>
            <w:tcW w:w="59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12</w:t>
            </w:r>
          </w:p>
        </w:tc>
        <w:tc>
          <w:tcPr>
            <w:tcW w:w="590"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25</w:t>
            </w:r>
          </w:p>
        </w:tc>
        <w:tc>
          <w:tcPr>
            <w:tcW w:w="775" w:type="dxa"/>
            <w:gridSpan w:val="3"/>
            <w:tcBorders>
              <w:top w:val="nil"/>
              <w:left w:val="nil"/>
              <w:bottom w:val="single" w:color="auto" w:sz="4" w:space="0"/>
              <w:right w:val="single" w:color="auto" w:sz="4" w:space="0"/>
            </w:tcBorders>
            <w:vAlign w:val="center"/>
          </w:tcPr>
          <w:p>
            <w:pPr>
              <w:widowControl/>
              <w:jc w:val="center"/>
              <w:rPr>
                <w:rFonts w:ascii="宋体" w:hAnsi="宋体" w:cs="宋体"/>
                <w:kern w:val="0"/>
                <w:sz w:val="22"/>
              </w:rPr>
            </w:pPr>
            <w:r>
              <w:rPr>
                <w:rFonts w:hint="eastAsia" w:ascii="宋体" w:hAnsi="宋体" w:cs="宋体"/>
                <w:kern w:val="0"/>
                <w:sz w:val="22"/>
              </w:rPr>
              <w:t>101#</w:t>
            </w:r>
          </w:p>
        </w:tc>
        <w:tc>
          <w:tcPr>
            <w:tcW w:w="4818" w:type="dxa"/>
            <w:gridSpan w:val="3"/>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付火车南站执勤民兵疫情防控补贴（2020.7.1-2020.12.10）</w:t>
            </w:r>
          </w:p>
        </w:tc>
        <w:tc>
          <w:tcPr>
            <w:tcW w:w="1748" w:type="dxa"/>
            <w:gridSpan w:val="2"/>
            <w:tcBorders>
              <w:top w:val="nil"/>
              <w:left w:val="nil"/>
              <w:bottom w:val="single" w:color="auto" w:sz="4" w:space="0"/>
              <w:right w:val="single" w:color="auto" w:sz="4" w:space="0"/>
            </w:tcBorders>
            <w:vAlign w:val="center"/>
          </w:tcPr>
          <w:p>
            <w:pPr>
              <w:widowControl/>
              <w:jc w:val="right"/>
              <w:rPr>
                <w:rFonts w:ascii="宋体" w:hAnsi="宋体" w:cs="宋体"/>
                <w:kern w:val="0"/>
                <w:sz w:val="22"/>
              </w:rPr>
            </w:pPr>
            <w:r>
              <w:rPr>
                <w:rFonts w:hint="eastAsia" w:ascii="宋体" w:hAnsi="宋体" w:cs="宋体"/>
                <w:kern w:val="0"/>
                <w:sz w:val="22"/>
              </w:rPr>
              <w:t xml:space="preserve">405,900.000 </w:t>
            </w:r>
          </w:p>
        </w:tc>
      </w:tr>
      <w:tr>
        <w:tblPrEx>
          <w:tblCellMar>
            <w:top w:w="0" w:type="dxa"/>
            <w:left w:w="108" w:type="dxa"/>
            <w:bottom w:w="0" w:type="dxa"/>
            <w:right w:w="108" w:type="dxa"/>
          </w:tblCellMar>
        </w:tblPrEx>
        <w:trPr>
          <w:trHeight w:val="270" w:hRule="atLeast"/>
        </w:trPr>
        <w:tc>
          <w:tcPr>
            <w:tcW w:w="1956" w:type="dxa"/>
            <w:gridSpan w:val="7"/>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4818" w:type="dxa"/>
            <w:gridSpan w:val="3"/>
            <w:tcBorders>
              <w:top w:val="nil"/>
              <w:left w:val="nil"/>
              <w:bottom w:val="single" w:color="auto" w:sz="4" w:space="0"/>
              <w:right w:val="single" w:color="auto" w:sz="4" w:space="0"/>
            </w:tcBorders>
            <w:vAlign w:val="center"/>
          </w:tcPr>
          <w:p>
            <w:pPr>
              <w:widowControl/>
              <w:jc w:val="left"/>
              <w:rPr>
                <w:rFonts w:ascii="宋体" w:hAnsi="宋体" w:cs="宋体"/>
                <w:b/>
                <w:bCs/>
                <w:kern w:val="0"/>
                <w:sz w:val="22"/>
              </w:rPr>
            </w:pPr>
            <w:r>
              <w:rPr>
                <w:rFonts w:hint="eastAsia" w:ascii="宋体" w:hAnsi="宋体" w:cs="宋体"/>
                <w:b/>
                <w:bCs/>
                <w:kern w:val="0"/>
                <w:sz w:val="22"/>
              </w:rPr>
              <w:t>　</w:t>
            </w:r>
          </w:p>
        </w:tc>
        <w:tc>
          <w:tcPr>
            <w:tcW w:w="1748" w:type="dxa"/>
            <w:gridSpan w:val="2"/>
            <w:tcBorders>
              <w:top w:val="nil"/>
              <w:left w:val="nil"/>
              <w:bottom w:val="single" w:color="auto" w:sz="4" w:space="0"/>
              <w:right w:val="single" w:color="auto" w:sz="4" w:space="0"/>
            </w:tcBorders>
            <w:vAlign w:val="center"/>
          </w:tcPr>
          <w:p>
            <w:pPr>
              <w:widowControl/>
              <w:jc w:val="right"/>
              <w:rPr>
                <w:rFonts w:ascii="宋体" w:hAnsi="宋体" w:cs="宋体"/>
                <w:b/>
                <w:bCs/>
                <w:kern w:val="0"/>
                <w:sz w:val="22"/>
              </w:rPr>
            </w:pPr>
            <w:r>
              <w:rPr>
                <w:rFonts w:hint="eastAsia" w:ascii="宋体" w:hAnsi="宋体" w:cs="宋体"/>
                <w:b/>
                <w:bCs/>
                <w:kern w:val="0"/>
                <w:sz w:val="22"/>
              </w:rPr>
              <w:t xml:space="preserve">1,191,160.000 </w:t>
            </w:r>
          </w:p>
        </w:tc>
      </w:tr>
    </w:tbl>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2.完成质量。</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在2020年新冠肺炎疫情防控工作中，仁和镇人民政府确保防疫物资及时购买并配备到13个村社区，做好疫情防控宣传工作；督促疫情防控卡点落实到位；保证村社区干部疫情补助按照相关文件执行。</w:t>
      </w:r>
      <w:r>
        <w:rPr>
          <w:rFonts w:hint="eastAsia" w:ascii="仿宋" w:hAnsi="仿宋" w:eastAsia="仿宋" w:cs="仿宋"/>
          <w:kern w:val="0"/>
          <w:sz w:val="30"/>
          <w:szCs w:val="30"/>
          <w:highlight w:val="none"/>
          <w:lang w:val="zh-CN" w:bidi="ar"/>
        </w:rPr>
        <w:t>截至12月</w:t>
      </w:r>
      <w:r>
        <w:rPr>
          <w:rFonts w:hint="eastAsia" w:ascii="仿宋" w:hAnsi="仿宋" w:eastAsia="仿宋" w:cs="仿宋"/>
          <w:kern w:val="0"/>
          <w:sz w:val="30"/>
          <w:szCs w:val="30"/>
          <w:lang w:val="zh-CN" w:bidi="ar"/>
        </w:rPr>
        <w:t>31日，仁和镇辖区无新增新冠肺炎确诊病例。</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3.完成时效。</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为保证切实做好疫情防控，仁和镇人民政府按照疫情防控相关要求，下拨相关资金，及时解决了防控需要物资的购买，及时在人员聚集、外来人员必经入口设卡监控，有效防范疫情蔓延。</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但在防控人员补助发放方面还存在滞后现象，由于区财政下拨新冠疫情防控经费集中在2020年下半年，防控人员1至5月份的补助到6月份才得以兑现，下半年的补助分别于9和12月才得以兑现。</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4.完成成本。</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截止2020年12月31日，已完成购买防疫物资及疫情防控宣传工作，支付值守人员、卡点民兵误餐、执勤补助合计160.</w:t>
      </w:r>
      <w:r>
        <w:rPr>
          <w:rFonts w:hint="eastAsia" w:ascii="仿宋" w:hAnsi="仿宋" w:eastAsia="仿宋" w:cs="仿宋"/>
          <w:kern w:val="0"/>
          <w:sz w:val="30"/>
          <w:szCs w:val="30"/>
          <w:lang w:bidi="ar"/>
        </w:rPr>
        <w:t>1841</w:t>
      </w:r>
      <w:r>
        <w:rPr>
          <w:rFonts w:hint="eastAsia" w:ascii="仿宋" w:hAnsi="仿宋" w:eastAsia="仿宋" w:cs="仿宋"/>
          <w:kern w:val="0"/>
          <w:sz w:val="30"/>
          <w:szCs w:val="30"/>
          <w:lang w:val="zh-CN" w:bidi="ar"/>
        </w:rPr>
        <w:t>万元，其中：宣传费用支出14.1</w:t>
      </w:r>
      <w:r>
        <w:rPr>
          <w:rFonts w:hint="eastAsia" w:ascii="仿宋" w:hAnsi="仿宋" w:eastAsia="仿宋" w:cs="仿宋"/>
          <w:kern w:val="0"/>
          <w:sz w:val="30"/>
          <w:szCs w:val="30"/>
          <w:lang w:bidi="ar"/>
        </w:rPr>
        <w:t>465</w:t>
      </w:r>
      <w:r>
        <w:rPr>
          <w:rFonts w:hint="eastAsia" w:ascii="仿宋" w:hAnsi="仿宋" w:eastAsia="仿宋" w:cs="仿宋"/>
          <w:kern w:val="0"/>
          <w:sz w:val="30"/>
          <w:szCs w:val="30"/>
          <w:lang w:val="zh-CN" w:bidi="ar"/>
        </w:rPr>
        <w:t>万元，占费用总额8.84%；防疫物资费用支出7.85</w:t>
      </w:r>
      <w:r>
        <w:rPr>
          <w:rFonts w:hint="eastAsia" w:ascii="仿宋" w:hAnsi="仿宋" w:eastAsia="仿宋" w:cs="仿宋"/>
          <w:kern w:val="0"/>
          <w:sz w:val="30"/>
          <w:szCs w:val="30"/>
          <w:lang w:bidi="ar"/>
        </w:rPr>
        <w:t>02</w:t>
      </w:r>
      <w:r>
        <w:rPr>
          <w:rFonts w:hint="eastAsia" w:ascii="仿宋" w:hAnsi="仿宋" w:eastAsia="仿宋" w:cs="仿宋"/>
          <w:kern w:val="0"/>
          <w:sz w:val="30"/>
          <w:szCs w:val="30"/>
          <w:lang w:val="zh-CN" w:bidi="ar"/>
        </w:rPr>
        <w:t>万元，占费用总额4.90%；防疫卡点误餐等费用支出19.07</w:t>
      </w:r>
      <w:r>
        <w:rPr>
          <w:rFonts w:hint="eastAsia" w:ascii="仿宋" w:hAnsi="仿宋" w:eastAsia="仿宋" w:cs="仿宋"/>
          <w:kern w:val="0"/>
          <w:sz w:val="30"/>
          <w:szCs w:val="30"/>
          <w:lang w:bidi="ar"/>
        </w:rPr>
        <w:t>14</w:t>
      </w:r>
      <w:r>
        <w:rPr>
          <w:rFonts w:hint="eastAsia" w:ascii="仿宋" w:hAnsi="仿宋" w:eastAsia="仿宋" w:cs="仿宋"/>
          <w:kern w:val="0"/>
          <w:sz w:val="30"/>
          <w:szCs w:val="30"/>
          <w:lang w:val="zh-CN" w:bidi="ar"/>
        </w:rPr>
        <w:t>万元，占费用总额11.91%；疫情防控人员补贴支出119.1</w:t>
      </w:r>
      <w:r>
        <w:rPr>
          <w:rFonts w:hint="eastAsia" w:ascii="仿宋" w:hAnsi="仿宋" w:eastAsia="仿宋" w:cs="仿宋"/>
          <w:kern w:val="0"/>
          <w:sz w:val="30"/>
          <w:szCs w:val="30"/>
          <w:lang w:bidi="ar"/>
        </w:rPr>
        <w:t>16</w:t>
      </w:r>
      <w:r>
        <w:rPr>
          <w:rFonts w:hint="eastAsia" w:ascii="仿宋" w:hAnsi="仿宋" w:eastAsia="仿宋" w:cs="仿宋"/>
          <w:kern w:val="0"/>
          <w:sz w:val="30"/>
          <w:szCs w:val="30"/>
          <w:lang w:val="zh-CN" w:bidi="ar"/>
        </w:rPr>
        <w:t>万元，占费用总额74.36%。</w:t>
      </w:r>
    </w:p>
    <w:p>
      <w:pPr>
        <w:autoSpaceDE w:val="0"/>
        <w:autoSpaceDN w:val="0"/>
        <w:adjustRightInd w:val="0"/>
        <w:spacing w:line="600" w:lineRule="exact"/>
        <w:ind w:firstLine="600" w:firstLineChars="200"/>
        <w:jc w:val="left"/>
        <w:rPr>
          <w:rFonts w:hint="eastAsia" w:ascii="宋体" w:hAnsi="宋体" w:cs="黑体"/>
          <w:b/>
          <w:kern w:val="0"/>
          <w:sz w:val="30"/>
          <w:szCs w:val="30"/>
          <w:lang w:val="zh-CN"/>
        </w:rPr>
      </w:pPr>
      <w:r>
        <w:rPr>
          <w:rFonts w:hint="eastAsia" w:ascii="仿宋" w:hAnsi="仿宋" w:eastAsia="仿宋" w:cs="仿宋"/>
          <w:kern w:val="0"/>
          <w:sz w:val="30"/>
          <w:szCs w:val="30"/>
          <w:lang w:val="zh-CN" w:bidi="ar"/>
        </w:rPr>
        <w:t>（二）项目效益情况。</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通过安排疫情防控经费，对于保障辖区疫情防控起到了积极作用。加强宣传工作对指导辖区居民正确做好个人防护，阻断病毒传播途径起到了引导和遏制作用。及时购进防控物资对防控工作得以正常延续起到了保障作用。在2020年新冠肺炎疫情防控工作中，仁和镇人民政府本着在辖区内“全民排查、全民监督、全民防疫”的原则，遵循习</w:t>
      </w:r>
      <w:r>
        <w:rPr>
          <w:rFonts w:hint="eastAsia" w:ascii="仿宋" w:hAnsi="仿宋" w:eastAsia="仿宋" w:cs="仿宋"/>
          <w:kern w:val="0"/>
          <w:sz w:val="30"/>
          <w:szCs w:val="30"/>
          <w:lang w:bidi="ar"/>
        </w:rPr>
        <w:t>近平</w:t>
      </w:r>
      <w:r>
        <w:rPr>
          <w:rFonts w:hint="eastAsia" w:ascii="仿宋" w:hAnsi="仿宋" w:eastAsia="仿宋" w:cs="仿宋"/>
          <w:kern w:val="0"/>
          <w:sz w:val="30"/>
          <w:szCs w:val="30"/>
          <w:lang w:val="zh-CN" w:bidi="ar"/>
        </w:rPr>
        <w:t>总书记“基层党组织和广大党员发挥战斗堡垒作用和先锋模范作用，广泛动员群众、组织群众、凝聚群众，全面落实联防联控措施，构筑群防群治的严密防线”重要指示，有效做好2020年新冠肺炎疫情防控工作，取得了稳定民心，打赢防疫</w:t>
      </w:r>
      <w:r>
        <w:rPr>
          <w:rFonts w:hint="eastAsia" w:ascii="仿宋" w:hAnsi="仿宋" w:eastAsia="仿宋" w:cs="仿宋"/>
          <w:kern w:val="0"/>
          <w:sz w:val="30"/>
          <w:szCs w:val="30"/>
          <w:highlight w:val="none"/>
          <w:lang w:val="zh-CN" w:bidi="ar"/>
        </w:rPr>
        <w:t>阻击战</w:t>
      </w:r>
      <w:r>
        <w:rPr>
          <w:rFonts w:hint="eastAsia" w:ascii="仿宋" w:hAnsi="仿宋" w:eastAsia="仿宋" w:cs="仿宋"/>
          <w:kern w:val="0"/>
          <w:sz w:val="30"/>
          <w:szCs w:val="30"/>
          <w:lang w:val="zh-CN" w:bidi="ar"/>
        </w:rPr>
        <w:t>，保护当地群众生命安全等重要的社会效益。</w:t>
      </w:r>
    </w:p>
    <w:p>
      <w:pPr>
        <w:adjustRightInd w:val="0"/>
        <w:snapToGrid w:val="0"/>
        <w:spacing w:line="500" w:lineRule="exact"/>
        <w:ind w:right="-428" w:rightChars="-204" w:firstLine="678" w:firstLineChars="225"/>
        <w:rPr>
          <w:rFonts w:hint="eastAsia" w:ascii="宋体" w:hAnsi="宋体" w:cs="宋体"/>
          <w:b/>
          <w:sz w:val="30"/>
          <w:szCs w:val="30"/>
        </w:rPr>
      </w:pPr>
      <w:r>
        <w:rPr>
          <w:rFonts w:hint="eastAsia" w:ascii="宋体" w:hAnsi="宋体" w:cs="宋体"/>
          <w:b/>
          <w:sz w:val="30"/>
          <w:szCs w:val="30"/>
        </w:rPr>
        <w:t>六、评价结论及存在问题</w:t>
      </w:r>
    </w:p>
    <w:p>
      <w:pPr>
        <w:autoSpaceDE w:val="0"/>
        <w:autoSpaceDN w:val="0"/>
        <w:adjustRightInd w:val="0"/>
        <w:spacing w:line="600" w:lineRule="exact"/>
        <w:ind w:firstLine="600" w:firstLineChars="20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（一）评价结论。</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仁和区仁和镇人民政府在2020年新冠肺炎疫情防控工作项目中，坚决落实习近平总书记重要指示，广泛动员群众，全面开展联防联控、群防群控、自防自控。在人流聚集地区卡点，选址准确；辖区全覆盖强化宣传，做到防控无空挡，落实防控物资采购，保障防控工作全年常态化，</w:t>
      </w:r>
      <w:r>
        <w:rPr>
          <w:rFonts w:hint="eastAsia" w:ascii="仿宋" w:hAnsi="仿宋" w:eastAsia="仿宋" w:cs="仿宋"/>
          <w:kern w:val="0"/>
          <w:sz w:val="30"/>
          <w:szCs w:val="30"/>
          <w:highlight w:val="none"/>
          <w:lang w:val="zh-CN" w:bidi="ar"/>
        </w:rPr>
        <w:t>圆满地完成</w:t>
      </w:r>
      <w:r>
        <w:rPr>
          <w:rFonts w:hint="eastAsia" w:ascii="仿宋" w:hAnsi="仿宋" w:eastAsia="仿宋" w:cs="仿宋"/>
          <w:kern w:val="0"/>
          <w:sz w:val="30"/>
          <w:szCs w:val="30"/>
          <w:lang w:val="zh-CN" w:bidi="ar"/>
        </w:rPr>
        <w:t>了2020年防疫攻坚。但还是存在工作人员补助滞后的缺陷。</w:t>
      </w:r>
    </w:p>
    <w:p>
      <w:pPr>
        <w:autoSpaceDE w:val="0"/>
        <w:autoSpaceDN w:val="0"/>
        <w:adjustRightInd w:val="0"/>
        <w:spacing w:line="600" w:lineRule="exact"/>
        <w:ind w:firstLine="600" w:firstLineChars="20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（二）存在问题。</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面对2020年肆无忌惮的新冠病毒，工作在一线的防疫工作者不畏艰险、无私奉献“逆行”回到岗位，24小时无间断坚守岗位，但由于2020年疫情来势汹涌，疫情涉及科学研究、物资调配、预防防控、人员管理、经济运行等各方面的工作相互牵涉，错综复杂、瞬息万变，前期大部分人力全部投入遏制疫情蔓延，排查、宣传、动员等防范工作，导致弥补人员值班补助经费下拨较晚，对工作人员的积极性有一定的挫伤。</w:t>
      </w:r>
    </w:p>
    <w:p>
      <w:pPr>
        <w:adjustRightInd w:val="0"/>
        <w:snapToGrid w:val="0"/>
        <w:spacing w:line="500" w:lineRule="exact"/>
        <w:ind w:right="-428" w:rightChars="-204" w:firstLine="678" w:firstLineChars="225"/>
        <w:rPr>
          <w:rFonts w:hint="eastAsia" w:ascii="宋体" w:hAnsi="宋体" w:cs="宋体"/>
          <w:b/>
          <w:sz w:val="30"/>
          <w:szCs w:val="30"/>
        </w:rPr>
      </w:pPr>
      <w:r>
        <w:rPr>
          <w:rFonts w:hint="eastAsia" w:ascii="宋体" w:hAnsi="宋体" w:cs="宋体"/>
          <w:b/>
          <w:sz w:val="30"/>
          <w:szCs w:val="30"/>
        </w:rPr>
        <w:t>七、相关建议</w:t>
      </w:r>
    </w:p>
    <w:p>
      <w:pPr>
        <w:spacing w:line="500" w:lineRule="exact"/>
        <w:ind w:right="-428" w:rightChars="-204" w:firstLine="630"/>
        <w:jc w:val="left"/>
        <w:rPr>
          <w:rFonts w:hint="eastAsia" w:ascii="仿宋" w:hAnsi="仿宋" w:eastAsia="仿宋" w:cs="仿宋"/>
          <w:kern w:val="0"/>
          <w:sz w:val="30"/>
          <w:szCs w:val="30"/>
          <w:lang w:val="zh-CN" w:bidi="ar"/>
        </w:rPr>
      </w:pPr>
      <w:r>
        <w:rPr>
          <w:rFonts w:hint="eastAsia" w:ascii="仿宋" w:hAnsi="仿宋" w:eastAsia="仿宋" w:cs="仿宋"/>
          <w:kern w:val="0"/>
          <w:sz w:val="30"/>
          <w:szCs w:val="30"/>
          <w:lang w:val="zh-CN" w:bidi="ar"/>
        </w:rPr>
        <w:t xml:space="preserve"> 针对突发群众性事件，我们一定要把工作落实落细，任何工作层面都要有保障，尽量兼顾大局各方面，尤其是在组织、凝聚群众，涉及群众利益方面一定要动员和保障并驾齐驱为群众做好坚强后盾。</w:t>
      </w:r>
    </w:p>
    <w:p>
      <w:pPr>
        <w:spacing w:line="500" w:lineRule="exact"/>
        <w:ind w:right="-428" w:rightChars="-204"/>
        <w:jc w:val="left"/>
        <w:rPr>
          <w:rFonts w:hint="eastAsia" w:ascii="仿宋" w:hAnsi="仿宋" w:eastAsia="仿宋" w:cs="仿宋"/>
          <w:kern w:val="0"/>
          <w:sz w:val="30"/>
          <w:szCs w:val="30"/>
          <w:lang w:bidi="ar"/>
        </w:rPr>
      </w:pPr>
    </w:p>
    <w:p>
      <w:pPr>
        <w:spacing w:line="500" w:lineRule="exact"/>
        <w:ind w:right="-428" w:rightChars="-204" w:firstLine="3000" w:firstLineChars="1000"/>
        <w:jc w:val="left"/>
        <w:rPr>
          <w:rFonts w:hint="eastAsia" w:ascii="仿宋" w:hAnsi="仿宋" w:eastAsia="仿宋" w:cs="仿宋"/>
          <w:kern w:val="0"/>
          <w:sz w:val="30"/>
          <w:szCs w:val="30"/>
          <w:lang w:bidi="ar"/>
        </w:rPr>
      </w:pPr>
      <w:r>
        <w:rPr>
          <w:rFonts w:hint="eastAsia" w:ascii="仿宋" w:hAnsi="仿宋" w:eastAsia="仿宋" w:cs="仿宋"/>
          <w:kern w:val="0"/>
          <w:sz w:val="30"/>
          <w:szCs w:val="30"/>
          <w:lang w:bidi="ar"/>
        </w:rPr>
        <w:t>攀枝花永道和会计咨询服务有限公司</w:t>
      </w:r>
    </w:p>
    <w:p>
      <w:pPr>
        <w:spacing w:line="500" w:lineRule="exact"/>
        <w:ind w:right="-428" w:rightChars="-204" w:firstLine="4500" w:firstLineChars="1500"/>
        <w:jc w:val="left"/>
        <w:rPr>
          <w:rFonts w:hint="eastAsia" w:ascii="仿宋" w:hAnsi="仿宋" w:eastAsia="仿宋" w:cs="仿宋"/>
          <w:kern w:val="0"/>
          <w:sz w:val="30"/>
          <w:szCs w:val="30"/>
          <w:lang w:bidi="ar"/>
        </w:rPr>
      </w:pPr>
      <w:r>
        <w:rPr>
          <w:rFonts w:hint="eastAsia" w:ascii="仿宋" w:hAnsi="仿宋" w:eastAsia="仿宋" w:cs="仿宋"/>
          <w:kern w:val="0"/>
          <w:sz w:val="30"/>
          <w:szCs w:val="30"/>
          <w:lang w:bidi="ar"/>
        </w:rPr>
        <w:t>2021年4月7日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C625E1"/>
    <w:rsid w:val="268277ED"/>
    <w:rsid w:val="47C62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Lines="30"/>
    </w:pPr>
    <w:rPr>
      <w:rFonts w:ascii="仿宋_GB2312" w:eastAsia="仿宋_GB2312"/>
      <w:kern w:val="0"/>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2021-12-03T02:32:00Z</dcterms:created>
  <dc:creator>宾玲</dc:creator>
  <cp:lastModifiedBy>伯    爵</cp:lastModifiedBy>
  <dcterms:modified xsi:type="dcterms:W3CDTF">2021-12-03T03:24:56Z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